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217F7F" w:rsidRPr="00C176BC" w:rsidTr="004A67F5">
        <w:trPr>
          <w:trHeight w:val="3767"/>
        </w:trPr>
        <w:tc>
          <w:tcPr>
            <w:tcW w:w="9854" w:type="dxa"/>
          </w:tcPr>
          <w:p w:rsidR="00217F7F" w:rsidRDefault="00217F7F" w:rsidP="004A67F5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sz w:val="20"/>
                <w:szCs w:val="20"/>
              </w:rPr>
              <w:t xml:space="preserve">A Kari Tanács </w:t>
            </w:r>
            <w:r>
              <w:rPr>
                <w:sz w:val="20"/>
                <w:szCs w:val="20"/>
              </w:rPr>
              <w:t>2</w:t>
            </w:r>
            <w:r w:rsidRPr="00C176BC">
              <w:rPr>
                <w:b/>
                <w:bCs/>
                <w:sz w:val="20"/>
                <w:szCs w:val="20"/>
              </w:rPr>
              <w:t>3/201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C176BC">
              <w:rPr>
                <w:b/>
                <w:bCs/>
                <w:sz w:val="20"/>
                <w:szCs w:val="20"/>
              </w:rPr>
              <w:t>. (</w:t>
            </w:r>
            <w:r>
              <w:rPr>
                <w:b/>
                <w:bCs/>
                <w:sz w:val="20"/>
                <w:szCs w:val="20"/>
              </w:rPr>
              <w:t>XI</w:t>
            </w:r>
            <w:r w:rsidRPr="00C176B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C176BC">
              <w:rPr>
                <w:b/>
                <w:bCs/>
                <w:sz w:val="20"/>
                <w:szCs w:val="20"/>
              </w:rPr>
              <w:t xml:space="preserve">.) számú határozatával </w:t>
            </w:r>
            <w:r w:rsidRPr="00C176BC">
              <w:rPr>
                <w:sz w:val="20"/>
                <w:szCs w:val="20"/>
              </w:rPr>
              <w:t>elfogadta a jogász oklevélhez csatolt betétlapokról szóló</w:t>
            </w:r>
            <w:r>
              <w:rPr>
                <w:sz w:val="20"/>
                <w:szCs w:val="20"/>
              </w:rPr>
              <w:t xml:space="preserve"> a</w:t>
            </w:r>
            <w:r w:rsidRPr="00C176BC">
              <w:rPr>
                <w:sz w:val="20"/>
                <w:szCs w:val="20"/>
              </w:rPr>
              <w:t xml:space="preserve"> 25/2009. (VIII. 21.) KT határozat</w:t>
            </w:r>
            <w:r>
              <w:rPr>
                <w:sz w:val="20"/>
                <w:szCs w:val="20"/>
              </w:rPr>
              <w:t>ot többször módosított új szabályozását</w:t>
            </w:r>
            <w:r w:rsidRPr="00C176BC">
              <w:rPr>
                <w:sz w:val="20"/>
                <w:szCs w:val="20"/>
              </w:rPr>
              <w:t xml:space="preserve"> (HFKI által gondozott két betétlap). Ennek értelmében a Nemzetközi gazdasági ismeretek betétlapon megszűnik:</w:t>
            </w:r>
          </w:p>
          <w:p w:rsidR="00217F7F" w:rsidRPr="00C176BC" w:rsidRDefault="00217F7F" w:rsidP="004A67F5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b/>
                <w:color w:val="2E74B5" w:themeColor="accent1" w:themeShade="BF"/>
                <w:sz w:val="28"/>
                <w:szCs w:val="28"/>
              </w:rPr>
              <w:t>JOKG463__0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Pr="00C176BC">
              <w:rPr>
                <w:b/>
                <w:color w:val="2E74B5" w:themeColor="accent1" w:themeShade="BF"/>
                <w:sz w:val="28"/>
                <w:szCs w:val="28"/>
              </w:rPr>
              <w:t>GAZDASÁGPOLITIKAI DILEMMÁK MAGYARORSZÁGON</w:t>
            </w:r>
          </w:p>
          <w:p w:rsidR="00217F7F" w:rsidRDefault="00217F7F" w:rsidP="004A67F5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76BC">
              <w:rPr>
                <w:sz w:val="20"/>
                <w:szCs w:val="20"/>
              </w:rPr>
              <w:t>Új tárgyként fel lehet venni:</w:t>
            </w:r>
          </w:p>
          <w:p w:rsidR="00217F7F" w:rsidRPr="00C176BC" w:rsidRDefault="00217F7F" w:rsidP="004A67F5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7F7F">
              <w:rPr>
                <w:b/>
                <w:color w:val="0070C0"/>
                <w:sz w:val="28"/>
                <w:szCs w:val="28"/>
              </w:rPr>
              <w:t>JOKG481XA0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217F7F">
              <w:rPr>
                <w:b/>
                <w:color w:val="0070C0"/>
                <w:sz w:val="28"/>
                <w:szCs w:val="28"/>
              </w:rPr>
              <w:t>HUMÁNERŐFORRÁS ÉS SZAKPOLITIKÁK</w:t>
            </w:r>
          </w:p>
          <w:p w:rsidR="00217F7F" w:rsidRPr="00C176BC" w:rsidRDefault="00217F7F" w:rsidP="004A67F5">
            <w:pPr>
              <w:pStyle w:val="Norml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176BC">
              <w:rPr>
                <w:b/>
                <w:sz w:val="20"/>
                <w:szCs w:val="20"/>
              </w:rPr>
              <w:t>A 201</w:t>
            </w:r>
            <w:r>
              <w:rPr>
                <w:b/>
                <w:sz w:val="20"/>
                <w:szCs w:val="20"/>
              </w:rPr>
              <w:t>8</w:t>
            </w:r>
            <w:r w:rsidRPr="00C176BC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XI.</w:t>
            </w:r>
            <w:r w:rsidRPr="00C176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</w:t>
            </w:r>
            <w:r w:rsidRPr="00C176B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e</w:t>
            </w:r>
            <w:r w:rsidRPr="00C176BC">
              <w:rPr>
                <w:b/>
                <w:sz w:val="20"/>
                <w:szCs w:val="20"/>
              </w:rPr>
              <w:t xml:space="preserve"> előtt felvett és teljesített tárgyak beszámítanak a betétlap megszerzésébe. 201</w:t>
            </w:r>
            <w:r>
              <w:rPr>
                <w:b/>
                <w:sz w:val="20"/>
                <w:szCs w:val="20"/>
              </w:rPr>
              <w:t>8</w:t>
            </w:r>
            <w:r w:rsidRPr="00C176BC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XI</w:t>
            </w:r>
            <w:r w:rsidRPr="00C176B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22</w:t>
            </w:r>
            <w:r w:rsidRPr="00C176B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é</w:t>
            </w:r>
            <w:r w:rsidRPr="00C176BC">
              <w:rPr>
                <w:b/>
                <w:sz w:val="20"/>
                <w:szCs w:val="20"/>
              </w:rPr>
              <w:t>t követően csak az</w:t>
            </w:r>
            <w:r>
              <w:rPr>
                <w:b/>
                <w:sz w:val="20"/>
                <w:szCs w:val="20"/>
              </w:rPr>
              <w:t xml:space="preserve"> új, módosított betétlap tárgya</w:t>
            </w:r>
            <w:r w:rsidRPr="00C176BC">
              <w:rPr>
                <w:b/>
                <w:sz w:val="20"/>
                <w:szCs w:val="20"/>
              </w:rPr>
              <w:t xml:space="preserve">t lehet beszámíttatni: </w:t>
            </w:r>
          </w:p>
          <w:p w:rsidR="00217F7F" w:rsidRDefault="00217F7F" w:rsidP="004A67F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217F7F" w:rsidRPr="00C176BC" w:rsidRDefault="00217F7F" w:rsidP="004A67F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NEMZETKÖZI GAZDASÁGI ISMERETEK</w:t>
            </w:r>
          </w:p>
          <w:p w:rsidR="00217F7F" w:rsidRPr="00C176BC" w:rsidRDefault="00217F7F" w:rsidP="004A67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i/>
                <w:color w:val="5B9BD5" w:themeColor="accent1"/>
                <w:sz w:val="28"/>
                <w:szCs w:val="28"/>
              </w:rPr>
              <w:t xml:space="preserve">Felelős oktató: Dr. Katona Klára </w:t>
            </w:r>
          </w:p>
          <w:p w:rsidR="00217F7F" w:rsidRPr="00C176BC" w:rsidRDefault="00217F7F" w:rsidP="004A67F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Kötelezően teljesítendő tárgyak</w:t>
            </w:r>
          </w:p>
          <w:tbl>
            <w:tblPr>
              <w:tblStyle w:val="Rcsostblzat"/>
              <w:tblW w:w="0" w:type="auto"/>
              <w:tblInd w:w="1425" w:type="dxa"/>
              <w:tblLook w:val="04A0" w:firstRow="1" w:lastRow="0" w:firstColumn="1" w:lastColumn="0" w:noHBand="0" w:noVBand="1"/>
            </w:tblPr>
            <w:tblGrid>
              <w:gridCol w:w="2107"/>
              <w:gridCol w:w="5852"/>
            </w:tblGrid>
            <w:tr w:rsidR="00217F7F" w:rsidRPr="00C176BC" w:rsidTr="004A67F5">
              <w:trPr>
                <w:trHeight w:val="404"/>
              </w:trPr>
              <w:tc>
                <w:tcPr>
                  <w:tcW w:w="2107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JOKG201XX0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BEVEZETÉS A KÖZGAZDASÁGTANBA</w:t>
                  </w:r>
                </w:p>
              </w:tc>
            </w:tr>
            <w:tr w:rsidR="00217F7F" w:rsidRPr="00C176BC" w:rsidTr="004A67F5">
              <w:trPr>
                <w:trHeight w:val="404"/>
              </w:trPr>
              <w:tc>
                <w:tcPr>
                  <w:tcW w:w="2107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JOKG202XX0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PÉNZÜGYI ISMERETEK ÉS GAZDASÁGPOLITIKA</w:t>
                  </w:r>
                </w:p>
              </w:tc>
            </w:tr>
            <w:tr w:rsidR="00217F7F" w:rsidRPr="00C176BC" w:rsidTr="004A67F5">
              <w:trPr>
                <w:trHeight w:val="404"/>
              </w:trPr>
              <w:tc>
                <w:tcPr>
                  <w:tcW w:w="2107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JOKG301XA0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EU GAZDASÁGTANA</w:t>
                  </w:r>
                </w:p>
              </w:tc>
            </w:tr>
            <w:tr w:rsidR="00217F7F" w:rsidRPr="00C176BC" w:rsidTr="004A67F5">
              <w:trPr>
                <w:trHeight w:val="404"/>
              </w:trPr>
              <w:tc>
                <w:tcPr>
                  <w:tcW w:w="2107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JOKG305XA0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VILÁGGAZDASÁGTAN</w:t>
                  </w:r>
                </w:p>
              </w:tc>
            </w:tr>
            <w:tr w:rsidR="00217F7F" w:rsidRPr="00C176BC" w:rsidTr="004A67F5">
              <w:trPr>
                <w:trHeight w:val="436"/>
              </w:trPr>
              <w:tc>
                <w:tcPr>
                  <w:tcW w:w="2107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JOKG302XA0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STATISZTIKA</w:t>
                  </w:r>
                </w:p>
              </w:tc>
            </w:tr>
            <w:tr w:rsidR="00217F7F" w:rsidRPr="00C176BC" w:rsidTr="004A67F5">
              <w:trPr>
                <w:trHeight w:val="369"/>
              </w:trPr>
              <w:tc>
                <w:tcPr>
                  <w:tcW w:w="2107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JOKG306XA0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KÖRNYEZETGAZDASÁGTAN</w:t>
                  </w:r>
                </w:p>
              </w:tc>
            </w:tr>
          </w:tbl>
          <w:p w:rsidR="00217F7F" w:rsidRPr="00C176BC" w:rsidRDefault="00217F7F" w:rsidP="004A67F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217F7F" w:rsidRPr="00C176BC" w:rsidRDefault="00217F7F" w:rsidP="004A67F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176BC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Választható tárgyak (teljesítendő tárgyak száma: 4)</w:t>
            </w:r>
          </w:p>
          <w:tbl>
            <w:tblPr>
              <w:tblStyle w:val="Rcsostblzat"/>
              <w:tblW w:w="0" w:type="auto"/>
              <w:tblInd w:w="1425" w:type="dxa"/>
              <w:tblLook w:val="04A0" w:firstRow="1" w:lastRow="0" w:firstColumn="1" w:lastColumn="0" w:noHBand="0" w:noVBand="1"/>
            </w:tblPr>
            <w:tblGrid>
              <w:gridCol w:w="2151"/>
              <w:gridCol w:w="5852"/>
            </w:tblGrid>
            <w:tr w:rsidR="00217F7F" w:rsidRPr="00C176BC" w:rsidTr="004A67F5">
              <w:trPr>
                <w:trHeight w:val="55"/>
              </w:trPr>
              <w:tc>
                <w:tcPr>
                  <w:tcW w:w="2151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JOKG457NA0</w:t>
                  </w:r>
                </w:p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JOKG457LA0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 xml:space="preserve">GAZDASÁGI NÖVEKEDÉS ÉS EGYNSÚLYHIÁNYOK AZ EURÓPAI UNIÓBAN </w:t>
                  </w:r>
                </w:p>
              </w:tc>
            </w:tr>
            <w:tr w:rsidR="00217F7F" w:rsidRPr="00C176BC" w:rsidTr="004A67F5">
              <w:trPr>
                <w:trHeight w:val="46"/>
              </w:trPr>
              <w:tc>
                <w:tcPr>
                  <w:tcW w:w="2151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JOKG418NA0</w:t>
                  </w:r>
                </w:p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JOKG418LA0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4A67F5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NEMZETKÖZI MŰKÖDŐTŐKE-ÁRAMLÁS</w:t>
                  </w:r>
                </w:p>
              </w:tc>
            </w:tr>
            <w:tr w:rsidR="00217F7F" w:rsidRPr="00C176BC" w:rsidTr="004A67F5">
              <w:trPr>
                <w:trHeight w:val="46"/>
              </w:trPr>
              <w:tc>
                <w:tcPr>
                  <w:tcW w:w="2151" w:type="dxa"/>
                </w:tcPr>
                <w:p w:rsidR="00217F7F" w:rsidRPr="00217F7F" w:rsidRDefault="00217F7F" w:rsidP="00217F7F">
                  <w:pP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217F7F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JOKG481XA0</w:t>
                  </w:r>
                </w:p>
              </w:tc>
              <w:tc>
                <w:tcPr>
                  <w:tcW w:w="5852" w:type="dxa"/>
                </w:tcPr>
                <w:p w:rsidR="00217F7F" w:rsidRPr="00217F7F" w:rsidRDefault="00217F7F" w:rsidP="00217F7F">
                  <w:pP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217F7F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HUMÁNERŐFORRÁS ÉS SZAKPOLITIKÁK</w:t>
                  </w:r>
                </w:p>
              </w:tc>
            </w:tr>
            <w:tr w:rsidR="00217F7F" w:rsidRPr="00C176BC" w:rsidTr="004A67F5">
              <w:trPr>
                <w:trHeight w:val="46"/>
              </w:trPr>
              <w:tc>
                <w:tcPr>
                  <w:tcW w:w="2151" w:type="dxa"/>
                </w:tcPr>
                <w:p w:rsidR="00217F7F" w:rsidRPr="00C176BC" w:rsidRDefault="00217F7F" w:rsidP="00217F7F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JOKG462__0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217F7F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MOTIVATION AND IMPACTS OF FOREIGN DIRECT INVERSTMENTS</w:t>
                  </w:r>
                </w:p>
              </w:tc>
            </w:tr>
            <w:tr w:rsidR="00217F7F" w:rsidRPr="00C176BC" w:rsidTr="004A67F5">
              <w:trPr>
                <w:trHeight w:val="46"/>
              </w:trPr>
              <w:tc>
                <w:tcPr>
                  <w:tcW w:w="2151" w:type="dxa"/>
                </w:tcPr>
                <w:p w:rsidR="00217F7F" w:rsidRPr="00C176BC" w:rsidRDefault="00217F7F" w:rsidP="00217F7F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JOKG438NA0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217F7F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DIE EUROPAISCHE INTEGRATION UND UNGARNS BEITRITT UND ERFABRUNGEN IN DER EUROPAEISCHEN UNION</w:t>
                  </w:r>
                </w:p>
              </w:tc>
            </w:tr>
            <w:tr w:rsidR="00217F7F" w:rsidRPr="00C176BC" w:rsidTr="004A67F5">
              <w:trPr>
                <w:trHeight w:val="55"/>
              </w:trPr>
              <w:tc>
                <w:tcPr>
                  <w:tcW w:w="2151" w:type="dxa"/>
                </w:tcPr>
                <w:p w:rsidR="00217F7F" w:rsidRPr="00C176BC" w:rsidRDefault="00217F7F" w:rsidP="00217F7F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JOPU411NA0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217F7F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EU KÖLTSÉGVETÉS – EU TÁMOGATÁSOK</w:t>
                  </w:r>
                </w:p>
              </w:tc>
            </w:tr>
            <w:tr w:rsidR="00217F7F" w:rsidRPr="00C176BC" w:rsidTr="004A67F5">
              <w:trPr>
                <w:trHeight w:val="46"/>
              </w:trPr>
              <w:tc>
                <w:tcPr>
                  <w:tcW w:w="2151" w:type="dxa"/>
                </w:tcPr>
                <w:p w:rsidR="00217F7F" w:rsidRPr="00C176BC" w:rsidRDefault="00217F7F" w:rsidP="00217F7F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JOKV439NA0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217F7F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EURÓPAI KÖRNYEZETPOLITIKA</w:t>
                  </w:r>
                </w:p>
              </w:tc>
            </w:tr>
            <w:tr w:rsidR="00217F7F" w:rsidRPr="00C176BC" w:rsidTr="004A67F5">
              <w:trPr>
                <w:trHeight w:val="46"/>
              </w:trPr>
              <w:tc>
                <w:tcPr>
                  <w:tcW w:w="2151" w:type="dxa"/>
                </w:tcPr>
                <w:p w:rsidR="00217F7F" w:rsidRPr="00C176BC" w:rsidRDefault="00217F7F" w:rsidP="00217F7F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JOIT405XA0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217F7F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INFORMATIKA KÖZGAZDASÁGI ISMERETEKHEZ</w:t>
                  </w:r>
                </w:p>
              </w:tc>
            </w:tr>
            <w:tr w:rsidR="00217F7F" w:rsidRPr="00C176BC" w:rsidTr="004A67F5">
              <w:trPr>
                <w:trHeight w:val="46"/>
              </w:trPr>
              <w:tc>
                <w:tcPr>
                  <w:tcW w:w="2151" w:type="dxa"/>
                </w:tcPr>
                <w:p w:rsidR="00217F7F" w:rsidRPr="00C176BC" w:rsidRDefault="00217F7F" w:rsidP="00217F7F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JOKG453NA0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217F7F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A GLOBALIZÁCIÓ KIHÍVÁSAI</w:t>
                  </w:r>
                </w:p>
              </w:tc>
            </w:tr>
            <w:tr w:rsidR="00217F7F" w:rsidRPr="00C176BC" w:rsidTr="004A67F5">
              <w:trPr>
                <w:trHeight w:val="714"/>
              </w:trPr>
              <w:tc>
                <w:tcPr>
                  <w:tcW w:w="2151" w:type="dxa"/>
                </w:tcPr>
                <w:p w:rsidR="00217F7F" w:rsidRPr="00C176BC" w:rsidRDefault="00217F7F" w:rsidP="00217F7F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JOPU427XA0</w:t>
                  </w:r>
                </w:p>
              </w:tc>
              <w:tc>
                <w:tcPr>
                  <w:tcW w:w="5852" w:type="dxa"/>
                </w:tcPr>
                <w:p w:rsidR="00217F7F" w:rsidRPr="00C176BC" w:rsidRDefault="00217F7F" w:rsidP="00217F7F">
                  <w:pPr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 w:rsidRPr="00C176BC"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8"/>
                      <w:szCs w:val="28"/>
                    </w:rPr>
                    <w:t>NEMZETKÖZI ADÓZÁS</w:t>
                  </w:r>
                </w:p>
              </w:tc>
            </w:tr>
          </w:tbl>
          <w:p w:rsidR="00217F7F" w:rsidRPr="00C176BC" w:rsidRDefault="00217F7F" w:rsidP="004A67F5">
            <w:pPr>
              <w:pStyle w:val="Norm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86168" w:rsidRDefault="00D86168"/>
    <w:sectPr w:rsidR="00D8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7F"/>
    <w:rsid w:val="00217F7F"/>
    <w:rsid w:val="00D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05599-807C-413A-91C3-5966A008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F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1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1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Járdány Zsoltné</cp:lastModifiedBy>
  <cp:revision>1</cp:revision>
  <dcterms:created xsi:type="dcterms:W3CDTF">2018-12-06T10:58:00Z</dcterms:created>
  <dcterms:modified xsi:type="dcterms:W3CDTF">2018-12-06T11:05:00Z</dcterms:modified>
</cp:coreProperties>
</file>