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A3D" w:rsidRPr="0075351E" w:rsidRDefault="007C5A3D">
      <w:pPr>
        <w:rPr>
          <w:rFonts w:asciiTheme="minorHAnsi" w:hAnsiTheme="minorHAnsi" w:cstheme="minorHAns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149"/>
        <w:gridCol w:w="2149"/>
        <w:gridCol w:w="2789"/>
      </w:tblGrid>
      <w:tr w:rsidR="00186AF4" w:rsidRPr="0075351E" w:rsidTr="00655DC1">
        <w:trPr>
          <w:cantSplit/>
        </w:trPr>
        <w:tc>
          <w:tcPr>
            <w:tcW w:w="2764" w:type="dxa"/>
            <w:shd w:val="clear" w:color="auto" w:fill="F2F2F2" w:themeFill="background1" w:themeFillShade="F2"/>
            <w:vAlign w:val="center"/>
          </w:tcPr>
          <w:p w:rsidR="00186AF4" w:rsidRPr="0075351E" w:rsidRDefault="00186AF4" w:rsidP="0075351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5351E">
              <w:rPr>
                <w:rFonts w:asciiTheme="minorHAnsi" w:hAnsiTheme="minorHAnsi" w:cstheme="minorHAnsi"/>
                <w:b/>
              </w:rPr>
              <w:t>Tárgynév:</w:t>
            </w:r>
          </w:p>
        </w:tc>
        <w:tc>
          <w:tcPr>
            <w:tcW w:w="7087" w:type="dxa"/>
            <w:gridSpan w:val="3"/>
            <w:vAlign w:val="center"/>
          </w:tcPr>
          <w:p w:rsidR="009221A9" w:rsidRPr="006F19B4" w:rsidRDefault="009221A9" w:rsidP="009221A9">
            <w:pPr>
              <w:jc w:val="both"/>
              <w:rPr>
                <w:u w:val="single"/>
              </w:rPr>
            </w:pPr>
            <w:r>
              <w:rPr>
                <w:bCs/>
              </w:rPr>
              <w:t>Az Emberi Jogok Európai Bíróságának büntetőjogi tárgyú esetjoga</w:t>
            </w:r>
          </w:p>
          <w:p w:rsidR="00186AF4" w:rsidRPr="0075351E" w:rsidRDefault="00186AF4" w:rsidP="0075351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86AF4" w:rsidRPr="0075351E" w:rsidTr="00655DC1">
        <w:trPr>
          <w:cantSplit/>
        </w:trPr>
        <w:tc>
          <w:tcPr>
            <w:tcW w:w="2764" w:type="dxa"/>
            <w:shd w:val="clear" w:color="auto" w:fill="F2F2F2" w:themeFill="background1" w:themeFillShade="F2"/>
            <w:vAlign w:val="center"/>
          </w:tcPr>
          <w:p w:rsidR="00186AF4" w:rsidRPr="0075351E" w:rsidRDefault="001D055E" w:rsidP="0075351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Szint</w:t>
            </w:r>
            <w:r w:rsidR="00186AF4" w:rsidRPr="0075351E">
              <w:rPr>
                <w:rFonts w:asciiTheme="minorHAnsi" w:hAnsiTheme="minorHAnsi" w:cstheme="minorHAnsi"/>
                <w:b/>
              </w:rPr>
              <w:t>:</w:t>
            </w:r>
            <w:r w:rsidR="0075351E" w:rsidRPr="0075351E">
              <w:rPr>
                <w:rStyle w:val="Lbjegyzet-hivatkozs"/>
                <w:rFonts w:asciiTheme="minorHAnsi" w:hAnsiTheme="minorHAnsi" w:cstheme="minorHAnsi"/>
                <w:b/>
              </w:rPr>
              <w:footnoteReference w:id="1"/>
            </w:r>
          </w:p>
        </w:tc>
        <w:tc>
          <w:tcPr>
            <w:tcW w:w="7087" w:type="dxa"/>
            <w:gridSpan w:val="3"/>
            <w:vAlign w:val="center"/>
          </w:tcPr>
          <w:p w:rsidR="00186AF4" w:rsidRPr="0087781F" w:rsidRDefault="0087781F" w:rsidP="0075351E">
            <w:pPr>
              <w:spacing w:before="60" w:after="60"/>
              <w:rPr>
                <w:rFonts w:asciiTheme="minorHAnsi" w:hAnsiTheme="minorHAnsi" w:cstheme="minorHAnsi"/>
              </w:rPr>
            </w:pPr>
            <w:r w:rsidRPr="0087781F">
              <w:rPr>
                <w:rFonts w:asciiTheme="minorHAnsi" w:hAnsiTheme="minorHAnsi" w:cstheme="minorHAnsi"/>
              </w:rPr>
              <w:t>5</w:t>
            </w:r>
          </w:p>
        </w:tc>
      </w:tr>
      <w:tr w:rsidR="00186AF4" w:rsidRPr="0075351E" w:rsidTr="00655DC1">
        <w:trPr>
          <w:cantSplit/>
        </w:trPr>
        <w:tc>
          <w:tcPr>
            <w:tcW w:w="2764" w:type="dxa"/>
            <w:shd w:val="clear" w:color="auto" w:fill="F2F2F2" w:themeFill="background1" w:themeFillShade="F2"/>
            <w:vAlign w:val="center"/>
          </w:tcPr>
          <w:p w:rsidR="00186AF4" w:rsidRPr="0075351E" w:rsidRDefault="0075351E" w:rsidP="0075351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5351E">
              <w:rPr>
                <w:rFonts w:asciiTheme="minorHAnsi" w:hAnsiTheme="minorHAnsi" w:cstheme="minorHAnsi"/>
                <w:b/>
              </w:rPr>
              <w:t>Elő</w:t>
            </w:r>
            <w:r>
              <w:rPr>
                <w:rFonts w:asciiTheme="minorHAnsi" w:hAnsiTheme="minorHAnsi" w:cstheme="minorHAnsi"/>
                <w:b/>
              </w:rPr>
              <w:t>feltétel</w:t>
            </w:r>
            <w:r w:rsidRPr="0075351E">
              <w:rPr>
                <w:rFonts w:asciiTheme="minorHAnsi" w:hAnsiTheme="minorHAnsi" w:cstheme="minorHAnsi"/>
                <w:b/>
              </w:rPr>
              <w:t>:</w:t>
            </w:r>
            <w:r w:rsidRPr="0075351E">
              <w:rPr>
                <w:rStyle w:val="Lbjegyzet-hivatkozs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7087" w:type="dxa"/>
            <w:gridSpan w:val="3"/>
            <w:vAlign w:val="center"/>
          </w:tcPr>
          <w:p w:rsidR="00186AF4" w:rsidRPr="0087781F" w:rsidRDefault="0087781F" w:rsidP="0075351E">
            <w:pPr>
              <w:spacing w:before="60" w:after="60"/>
              <w:rPr>
                <w:rFonts w:asciiTheme="minorHAnsi" w:hAnsiTheme="minorHAnsi" w:cstheme="minorHAnsi"/>
              </w:rPr>
            </w:pPr>
            <w:r w:rsidRPr="0087781F">
              <w:rPr>
                <w:rFonts w:asciiTheme="minorHAnsi" w:hAnsiTheme="minorHAnsi" w:cstheme="minorHAnsi"/>
              </w:rPr>
              <w:t>Büntetőjog2 tárgy lehallgatása</w:t>
            </w:r>
          </w:p>
        </w:tc>
      </w:tr>
      <w:tr w:rsidR="00186AF4" w:rsidRPr="0075351E" w:rsidTr="00655DC1">
        <w:trPr>
          <w:cantSplit/>
        </w:trPr>
        <w:tc>
          <w:tcPr>
            <w:tcW w:w="2764" w:type="dxa"/>
            <w:shd w:val="clear" w:color="auto" w:fill="F2F2F2" w:themeFill="background1" w:themeFillShade="F2"/>
            <w:vAlign w:val="center"/>
          </w:tcPr>
          <w:p w:rsidR="00186AF4" w:rsidRPr="0075351E" w:rsidRDefault="00186AF4" w:rsidP="0075351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5351E">
              <w:rPr>
                <w:rFonts w:asciiTheme="minorHAnsi" w:hAnsiTheme="minorHAnsi" w:cstheme="minorHAnsi"/>
                <w:b/>
              </w:rPr>
              <w:t>Követelmény típus:</w:t>
            </w:r>
            <w:r w:rsidRPr="0075351E">
              <w:rPr>
                <w:rStyle w:val="Lbjegyzet-hivatkozs"/>
                <w:rFonts w:asciiTheme="minorHAnsi" w:hAnsiTheme="minorHAnsi" w:cstheme="minorHAnsi"/>
                <w:b/>
              </w:rPr>
              <w:footnoteReference w:id="3"/>
            </w:r>
          </w:p>
        </w:tc>
        <w:tc>
          <w:tcPr>
            <w:tcW w:w="7087" w:type="dxa"/>
            <w:gridSpan w:val="3"/>
            <w:vAlign w:val="center"/>
          </w:tcPr>
          <w:p w:rsidR="00186AF4" w:rsidRPr="0075351E" w:rsidRDefault="002849DE" w:rsidP="0075351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beszámoló, 3 fokozatú</w:t>
            </w:r>
          </w:p>
        </w:tc>
      </w:tr>
      <w:tr w:rsidR="00186AF4" w:rsidRPr="0075351E" w:rsidTr="00655DC1">
        <w:trPr>
          <w:cantSplit/>
        </w:trPr>
        <w:tc>
          <w:tcPr>
            <w:tcW w:w="2764" w:type="dxa"/>
            <w:vMerge w:val="restart"/>
            <w:shd w:val="clear" w:color="auto" w:fill="F2F2F2" w:themeFill="background1" w:themeFillShade="F2"/>
            <w:vAlign w:val="center"/>
          </w:tcPr>
          <w:p w:rsidR="00186AF4" w:rsidRPr="0075351E" w:rsidRDefault="00186AF4" w:rsidP="0075351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5351E">
              <w:rPr>
                <w:rFonts w:asciiTheme="minorHAnsi" w:hAnsiTheme="minorHAnsi" w:cstheme="minorHAnsi"/>
                <w:b/>
              </w:rPr>
              <w:t>Óraszám</w:t>
            </w:r>
            <w:r w:rsidR="0075351E" w:rsidRPr="0075351E">
              <w:rPr>
                <w:rStyle w:val="Lbjegyzet-hivatkozs"/>
                <w:rFonts w:asciiTheme="minorHAnsi" w:hAnsiTheme="minorHAnsi" w:cstheme="minorHAnsi"/>
                <w:b/>
              </w:rPr>
              <w:footnoteReference w:id="4"/>
            </w:r>
            <w:r w:rsidR="0075351E">
              <w:rPr>
                <w:rFonts w:asciiTheme="minorHAnsi" w:hAnsiTheme="minorHAnsi" w:cstheme="minorHAnsi"/>
                <w:b/>
              </w:rPr>
              <w:t xml:space="preserve"> és -típus</w:t>
            </w:r>
            <w:r w:rsidRPr="0075351E">
              <w:rPr>
                <w:rFonts w:asciiTheme="minorHAnsi" w:hAnsiTheme="minorHAnsi" w:cstheme="minorHAnsi"/>
                <w:b/>
              </w:rPr>
              <w:t>:</w:t>
            </w:r>
            <w:r w:rsidR="0075351E" w:rsidRPr="0075351E">
              <w:rPr>
                <w:rStyle w:val="Lbjegyzet-hivatkozs"/>
                <w:rFonts w:asciiTheme="minorHAnsi" w:hAnsiTheme="minorHAnsi" w:cstheme="minorHAnsi"/>
                <w:b/>
              </w:rPr>
              <w:footnoteReference w:id="5"/>
            </w:r>
          </w:p>
        </w:tc>
        <w:tc>
          <w:tcPr>
            <w:tcW w:w="2149" w:type="dxa"/>
            <w:vMerge w:val="restart"/>
            <w:shd w:val="clear" w:color="auto" w:fill="F2F2F2" w:themeFill="background1" w:themeFillShade="F2"/>
            <w:vAlign w:val="center"/>
          </w:tcPr>
          <w:p w:rsidR="00186AF4" w:rsidRPr="0075351E" w:rsidRDefault="00186AF4" w:rsidP="0075351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5351E">
              <w:rPr>
                <w:rFonts w:asciiTheme="minorHAnsi" w:hAnsiTheme="minorHAnsi" w:cstheme="minorHAnsi"/>
                <w:b/>
              </w:rPr>
              <w:t>Nappali:</w:t>
            </w:r>
          </w:p>
        </w:tc>
        <w:tc>
          <w:tcPr>
            <w:tcW w:w="2149" w:type="dxa"/>
            <w:shd w:val="clear" w:color="auto" w:fill="F2F2F2" w:themeFill="background1" w:themeFillShade="F2"/>
            <w:vAlign w:val="center"/>
          </w:tcPr>
          <w:p w:rsidR="00186AF4" w:rsidRPr="0075351E" w:rsidRDefault="00186AF4" w:rsidP="0075351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5351E">
              <w:rPr>
                <w:rFonts w:asciiTheme="minorHAnsi" w:hAnsiTheme="minorHAnsi" w:cstheme="minorHAnsi"/>
                <w:b/>
              </w:rPr>
              <w:t>Előadás</w:t>
            </w:r>
            <w:r w:rsidR="0075351E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789" w:type="dxa"/>
            <w:vAlign w:val="center"/>
          </w:tcPr>
          <w:p w:rsidR="00186AF4" w:rsidRPr="0075351E" w:rsidRDefault="00186AF4" w:rsidP="0075351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86AF4" w:rsidRPr="0075351E" w:rsidTr="00655DC1">
        <w:trPr>
          <w:cantSplit/>
        </w:trPr>
        <w:tc>
          <w:tcPr>
            <w:tcW w:w="2764" w:type="dxa"/>
            <w:vMerge/>
            <w:shd w:val="clear" w:color="auto" w:fill="F2F2F2" w:themeFill="background1" w:themeFillShade="F2"/>
            <w:vAlign w:val="center"/>
          </w:tcPr>
          <w:p w:rsidR="00186AF4" w:rsidRPr="0075351E" w:rsidRDefault="00186AF4" w:rsidP="0075351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9" w:type="dxa"/>
            <w:vMerge/>
            <w:shd w:val="clear" w:color="auto" w:fill="F2F2F2" w:themeFill="background1" w:themeFillShade="F2"/>
            <w:vAlign w:val="center"/>
          </w:tcPr>
          <w:p w:rsidR="00186AF4" w:rsidRPr="0075351E" w:rsidRDefault="00186AF4" w:rsidP="0075351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9" w:type="dxa"/>
            <w:shd w:val="clear" w:color="auto" w:fill="F2F2F2" w:themeFill="background1" w:themeFillShade="F2"/>
            <w:vAlign w:val="center"/>
          </w:tcPr>
          <w:p w:rsidR="00186AF4" w:rsidRPr="0075351E" w:rsidRDefault="00186AF4" w:rsidP="0075351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5351E">
              <w:rPr>
                <w:rFonts w:asciiTheme="minorHAnsi" w:hAnsiTheme="minorHAnsi" w:cstheme="minorHAnsi"/>
                <w:b/>
              </w:rPr>
              <w:t>Gyakorlat</w:t>
            </w:r>
            <w:r w:rsidR="0075351E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789" w:type="dxa"/>
            <w:vAlign w:val="center"/>
          </w:tcPr>
          <w:p w:rsidR="00186AF4" w:rsidRPr="0075351E" w:rsidRDefault="002849DE" w:rsidP="0075351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heti 2 óra</w:t>
            </w:r>
          </w:p>
        </w:tc>
      </w:tr>
      <w:tr w:rsidR="00186AF4" w:rsidRPr="0075351E" w:rsidTr="00655DC1">
        <w:trPr>
          <w:cantSplit/>
        </w:trPr>
        <w:tc>
          <w:tcPr>
            <w:tcW w:w="2764" w:type="dxa"/>
            <w:vMerge/>
            <w:shd w:val="clear" w:color="auto" w:fill="F2F2F2" w:themeFill="background1" w:themeFillShade="F2"/>
            <w:vAlign w:val="center"/>
          </w:tcPr>
          <w:p w:rsidR="00186AF4" w:rsidRPr="0075351E" w:rsidRDefault="00186AF4" w:rsidP="0075351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9" w:type="dxa"/>
            <w:vMerge w:val="restart"/>
            <w:shd w:val="clear" w:color="auto" w:fill="F2F2F2" w:themeFill="background1" w:themeFillShade="F2"/>
            <w:vAlign w:val="center"/>
          </w:tcPr>
          <w:p w:rsidR="00186AF4" w:rsidRPr="0075351E" w:rsidRDefault="00186AF4" w:rsidP="0075351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5351E">
              <w:rPr>
                <w:rFonts w:asciiTheme="minorHAnsi" w:hAnsiTheme="minorHAnsi" w:cstheme="minorHAnsi"/>
                <w:b/>
              </w:rPr>
              <w:t>Levelező:</w:t>
            </w:r>
          </w:p>
        </w:tc>
        <w:tc>
          <w:tcPr>
            <w:tcW w:w="2149" w:type="dxa"/>
            <w:shd w:val="clear" w:color="auto" w:fill="F2F2F2" w:themeFill="background1" w:themeFillShade="F2"/>
            <w:vAlign w:val="center"/>
          </w:tcPr>
          <w:p w:rsidR="00186AF4" w:rsidRPr="0075351E" w:rsidRDefault="00186AF4" w:rsidP="0075351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5351E">
              <w:rPr>
                <w:rFonts w:asciiTheme="minorHAnsi" w:hAnsiTheme="minorHAnsi" w:cstheme="minorHAnsi"/>
                <w:b/>
              </w:rPr>
              <w:t>Előadás</w:t>
            </w:r>
            <w:r w:rsidR="0075351E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789" w:type="dxa"/>
            <w:vAlign w:val="center"/>
          </w:tcPr>
          <w:p w:rsidR="00186AF4" w:rsidRPr="0075351E" w:rsidRDefault="00186AF4" w:rsidP="0075351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86AF4" w:rsidRPr="0075351E" w:rsidTr="00655DC1">
        <w:trPr>
          <w:cantSplit/>
        </w:trPr>
        <w:tc>
          <w:tcPr>
            <w:tcW w:w="2764" w:type="dxa"/>
            <w:vMerge/>
            <w:shd w:val="clear" w:color="auto" w:fill="F2F2F2" w:themeFill="background1" w:themeFillShade="F2"/>
            <w:vAlign w:val="center"/>
          </w:tcPr>
          <w:p w:rsidR="00186AF4" w:rsidRPr="0075351E" w:rsidRDefault="00186AF4" w:rsidP="0075351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9" w:type="dxa"/>
            <w:vMerge/>
            <w:shd w:val="clear" w:color="auto" w:fill="F2F2F2" w:themeFill="background1" w:themeFillShade="F2"/>
            <w:vAlign w:val="center"/>
          </w:tcPr>
          <w:p w:rsidR="00186AF4" w:rsidRPr="0075351E" w:rsidRDefault="00186AF4" w:rsidP="0075351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9" w:type="dxa"/>
            <w:shd w:val="clear" w:color="auto" w:fill="F2F2F2" w:themeFill="background1" w:themeFillShade="F2"/>
            <w:vAlign w:val="center"/>
          </w:tcPr>
          <w:p w:rsidR="00186AF4" w:rsidRPr="0075351E" w:rsidRDefault="00186AF4" w:rsidP="0075351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5351E">
              <w:rPr>
                <w:rFonts w:asciiTheme="minorHAnsi" w:hAnsiTheme="minorHAnsi" w:cstheme="minorHAnsi"/>
                <w:b/>
              </w:rPr>
              <w:t>Gyakorlat</w:t>
            </w:r>
            <w:r w:rsidR="0075351E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789" w:type="dxa"/>
            <w:vAlign w:val="center"/>
          </w:tcPr>
          <w:p w:rsidR="00186AF4" w:rsidRPr="0075351E" w:rsidRDefault="00186AF4" w:rsidP="0075351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86AF4" w:rsidRPr="0075351E" w:rsidTr="00655DC1">
        <w:trPr>
          <w:cantSplit/>
        </w:trPr>
        <w:tc>
          <w:tcPr>
            <w:tcW w:w="2764" w:type="dxa"/>
            <w:shd w:val="clear" w:color="auto" w:fill="F2F2F2" w:themeFill="background1" w:themeFillShade="F2"/>
            <w:vAlign w:val="center"/>
          </w:tcPr>
          <w:p w:rsidR="00186AF4" w:rsidRPr="0075351E" w:rsidRDefault="00186AF4" w:rsidP="0075351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5351E">
              <w:rPr>
                <w:rFonts w:asciiTheme="minorHAnsi" w:hAnsiTheme="minorHAnsi" w:cstheme="minorHAnsi"/>
                <w:b/>
              </w:rPr>
              <w:t>Kredit:</w:t>
            </w:r>
            <w:r w:rsidRPr="0075351E">
              <w:rPr>
                <w:rStyle w:val="Lbjegyzet-hivatkozs"/>
                <w:rFonts w:asciiTheme="minorHAnsi" w:hAnsiTheme="minorHAnsi" w:cstheme="minorHAnsi"/>
                <w:b/>
              </w:rPr>
              <w:footnoteReference w:id="6"/>
            </w:r>
          </w:p>
        </w:tc>
        <w:tc>
          <w:tcPr>
            <w:tcW w:w="7087" w:type="dxa"/>
            <w:gridSpan w:val="3"/>
            <w:vAlign w:val="center"/>
          </w:tcPr>
          <w:p w:rsidR="00186AF4" w:rsidRPr="0075351E" w:rsidRDefault="002849DE" w:rsidP="0075351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186AF4" w:rsidRPr="0075351E" w:rsidTr="00655DC1">
        <w:trPr>
          <w:cantSplit/>
        </w:trPr>
        <w:tc>
          <w:tcPr>
            <w:tcW w:w="2764" w:type="dxa"/>
            <w:shd w:val="clear" w:color="auto" w:fill="F2F2F2" w:themeFill="background1" w:themeFillShade="F2"/>
            <w:vAlign w:val="center"/>
          </w:tcPr>
          <w:p w:rsidR="00186AF4" w:rsidRPr="0075351E" w:rsidRDefault="00186AF4" w:rsidP="0075351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5351E">
              <w:rPr>
                <w:rFonts w:asciiTheme="minorHAnsi" w:hAnsiTheme="minorHAnsi" w:cstheme="minorHAnsi"/>
                <w:b/>
              </w:rPr>
              <w:t>Felelős szervezet neve:</w:t>
            </w:r>
            <w:r w:rsidRPr="0075351E">
              <w:rPr>
                <w:rStyle w:val="Lbjegyzet-hivatkozs"/>
                <w:rFonts w:asciiTheme="minorHAnsi" w:hAnsiTheme="minorHAnsi" w:cstheme="minorHAnsi"/>
                <w:b/>
              </w:rPr>
              <w:footnoteReference w:id="7"/>
            </w:r>
          </w:p>
        </w:tc>
        <w:tc>
          <w:tcPr>
            <w:tcW w:w="7087" w:type="dxa"/>
            <w:gridSpan w:val="3"/>
            <w:vAlign w:val="center"/>
          </w:tcPr>
          <w:p w:rsidR="00186AF4" w:rsidRPr="0075351E" w:rsidRDefault="002849DE" w:rsidP="0075351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Büntető Anyagi, Eljárási és Végrehajtási Jogi Tanszék</w:t>
            </w:r>
          </w:p>
        </w:tc>
      </w:tr>
      <w:tr w:rsidR="00186AF4" w:rsidRPr="0075351E" w:rsidTr="00655DC1">
        <w:trPr>
          <w:cantSplit/>
        </w:trPr>
        <w:tc>
          <w:tcPr>
            <w:tcW w:w="2764" w:type="dxa"/>
            <w:shd w:val="clear" w:color="auto" w:fill="F2F2F2" w:themeFill="background1" w:themeFillShade="F2"/>
            <w:vAlign w:val="center"/>
          </w:tcPr>
          <w:p w:rsidR="00186AF4" w:rsidRPr="0075351E" w:rsidRDefault="00186AF4" w:rsidP="0075351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5351E">
              <w:rPr>
                <w:rFonts w:asciiTheme="minorHAnsi" w:hAnsiTheme="minorHAnsi" w:cstheme="minorHAnsi"/>
                <w:b/>
              </w:rPr>
              <w:t>Tárgyfelelős neve:</w:t>
            </w:r>
          </w:p>
        </w:tc>
        <w:tc>
          <w:tcPr>
            <w:tcW w:w="7087" w:type="dxa"/>
            <w:gridSpan w:val="3"/>
            <w:vAlign w:val="center"/>
          </w:tcPr>
          <w:p w:rsidR="00186AF4" w:rsidRPr="0075351E" w:rsidRDefault="009221A9" w:rsidP="0075351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Békés Ádám</w:t>
            </w:r>
          </w:p>
        </w:tc>
      </w:tr>
      <w:tr w:rsidR="0075351E" w:rsidRPr="0075351E" w:rsidTr="00655DC1">
        <w:trPr>
          <w:cantSplit/>
        </w:trPr>
        <w:tc>
          <w:tcPr>
            <w:tcW w:w="2764" w:type="dxa"/>
            <w:shd w:val="clear" w:color="auto" w:fill="D6E3BC" w:themeFill="accent3" w:themeFillTint="66"/>
            <w:vAlign w:val="center"/>
          </w:tcPr>
          <w:p w:rsidR="0075351E" w:rsidRPr="0075351E" w:rsidRDefault="0075351E" w:rsidP="0075351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Oktatás célja:</w:t>
            </w:r>
            <w:r>
              <w:rPr>
                <w:rStyle w:val="Lbjegyzet-hivatkozs"/>
                <w:rFonts w:asciiTheme="minorHAnsi" w:hAnsiTheme="minorHAnsi" w:cstheme="minorHAnsi"/>
                <w:b/>
              </w:rPr>
              <w:footnoteReference w:id="8"/>
            </w:r>
          </w:p>
        </w:tc>
        <w:tc>
          <w:tcPr>
            <w:tcW w:w="7087" w:type="dxa"/>
            <w:gridSpan w:val="3"/>
            <w:vAlign w:val="center"/>
          </w:tcPr>
          <w:p w:rsidR="0075351E" w:rsidRPr="00E45CAC" w:rsidRDefault="00834CD4" w:rsidP="00834CD4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45CAC">
              <w:rPr>
                <w:rFonts w:asciiTheme="minorHAnsi" w:hAnsiTheme="minorHAnsi"/>
                <w:sz w:val="22"/>
                <w:szCs w:val="22"/>
              </w:rPr>
              <w:t xml:space="preserve">Az oktatás célja </w:t>
            </w:r>
            <w:r w:rsidRPr="00E45CAC">
              <w:rPr>
                <w:rFonts w:asciiTheme="minorHAnsi" w:hAnsiTheme="minorHAnsi"/>
                <w:i/>
                <w:sz w:val="22"/>
                <w:szCs w:val="22"/>
              </w:rPr>
              <w:t>(a KKK 7.1.1. és 8.1.1. pontjában foglalt elemekre is kitérve)</w:t>
            </w:r>
            <w:r w:rsidRPr="00E45CAC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2849DE" w:rsidRPr="00DA4354" w:rsidRDefault="002849DE" w:rsidP="002849DE">
            <w:pPr>
              <w:jc w:val="both"/>
              <w:rPr>
                <w:u w:val="single"/>
              </w:rPr>
            </w:pPr>
            <w:r w:rsidRPr="00DA4354">
              <w:rPr>
                <w:u w:val="single"/>
              </w:rPr>
              <w:t>Oktatás célja:</w:t>
            </w:r>
          </w:p>
          <w:p w:rsidR="009221A9" w:rsidRDefault="009221A9" w:rsidP="009221A9">
            <w:pPr>
              <w:jc w:val="both"/>
            </w:pPr>
            <w:r>
              <w:t>Az Emberi Jog</w:t>
            </w:r>
            <w:r>
              <w:t xml:space="preserve">ok Európai Bírósága az esetjogának </w:t>
            </w:r>
            <w:r>
              <w:t xml:space="preserve">eredményei a magyar jogalkotásban is tetten érhetőek az új eljárási törvényben és a büntető törvénykönyveben. A tárgy célja bemutatni a releváns cikkek esetjogon keresztül kialakult tartalmát. </w:t>
            </w:r>
          </w:p>
          <w:p w:rsidR="002849DE" w:rsidRDefault="002849DE" w:rsidP="002849DE">
            <w:pPr>
              <w:jc w:val="both"/>
            </w:pPr>
          </w:p>
          <w:p w:rsidR="00655DC1" w:rsidRPr="00E45CAC" w:rsidRDefault="00655DC1" w:rsidP="00834CD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55DC1" w:rsidRPr="0075351E" w:rsidRDefault="00655DC1" w:rsidP="0075351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75351E" w:rsidRPr="0075351E" w:rsidTr="00655DC1">
        <w:trPr>
          <w:cantSplit/>
        </w:trPr>
        <w:tc>
          <w:tcPr>
            <w:tcW w:w="2764" w:type="dxa"/>
            <w:shd w:val="clear" w:color="auto" w:fill="D6E3BC" w:themeFill="accent3" w:themeFillTint="66"/>
            <w:vAlign w:val="center"/>
          </w:tcPr>
          <w:p w:rsidR="0075351E" w:rsidRPr="0075351E" w:rsidRDefault="00F52125" w:rsidP="0075351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Tantárgy tartalma:</w:t>
            </w:r>
            <w:r>
              <w:rPr>
                <w:rStyle w:val="Lbjegyzet-hivatkozs"/>
                <w:rFonts w:asciiTheme="minorHAnsi" w:hAnsiTheme="minorHAnsi" w:cstheme="minorHAnsi"/>
                <w:b/>
              </w:rPr>
              <w:footnoteReference w:id="9"/>
            </w:r>
          </w:p>
        </w:tc>
        <w:tc>
          <w:tcPr>
            <w:tcW w:w="7087" w:type="dxa"/>
            <w:gridSpan w:val="3"/>
            <w:vAlign w:val="center"/>
          </w:tcPr>
          <w:p w:rsidR="009221A9" w:rsidRDefault="009221A9" w:rsidP="009221A9">
            <w:pPr>
              <w:jc w:val="both"/>
            </w:pPr>
            <w:r>
              <w:t xml:space="preserve">Az Emberi Jogok Európai Bírósága az esetjogán keresztül számos mérföldkövet rakott le a büntetőjog és a büntető eljárásjog területén. Az évtizedek során alakuló ítélkezési gyakorlat jelentősen hozzájárult ahhoz, hogy a büntetőjog alapelvei, illetve a büntetőeljárásjog garanciarendszere folyamatosan fejlődjön. Ezek eredményei a magyar jogalkotásban is tetten érhetőek az új eljárási törvényben és a büntető törvénykönyveben. A tárgy célja bemutatni a releváns cikkek esetjogon keresztül kialakult tartalmát. </w:t>
            </w:r>
          </w:p>
          <w:p w:rsidR="009221A9" w:rsidRDefault="009221A9" w:rsidP="009221A9">
            <w:pPr>
              <w:jc w:val="both"/>
            </w:pPr>
            <w:r>
              <w:t xml:space="preserve">Tekintettel arra, hogy az Egyezmény a precedensekben él, elengedhetetlen a jogesetmegoldás. Ezért a hallgatók alkalmanként kapnak a témához kapcsolódó eseteket is a közös feldolgozás és megoldás érdekében. </w:t>
            </w:r>
          </w:p>
          <w:p w:rsidR="009221A9" w:rsidRPr="006F19B4" w:rsidRDefault="009221A9" w:rsidP="009221A9">
            <w:pPr>
              <w:jc w:val="both"/>
              <w:rPr>
                <w:b/>
              </w:rPr>
            </w:pPr>
            <w:r w:rsidRPr="006F19B4">
              <w:rPr>
                <w:b/>
              </w:rPr>
              <w:t>Tervezett tematika:</w:t>
            </w:r>
          </w:p>
          <w:p w:rsidR="009221A9" w:rsidRPr="00D7720B" w:rsidRDefault="009221A9" w:rsidP="009221A9">
            <w:pPr>
              <w:jc w:val="both"/>
            </w:pPr>
            <w:r w:rsidRPr="00D7720B">
              <w:t>A Bíróság működése, az eljárás szabályai</w:t>
            </w:r>
          </w:p>
          <w:p w:rsidR="009221A9" w:rsidRPr="00D7720B" w:rsidRDefault="009221A9" w:rsidP="009221A9">
            <w:pPr>
              <w:jc w:val="both"/>
            </w:pPr>
            <w:r w:rsidRPr="00D7720B">
              <w:t>A Bíróság, az Egyezmény és az Európai Unió, valamint a luxemburgi székhelyű Bíróságának kapcsolata</w:t>
            </w:r>
          </w:p>
          <w:p w:rsidR="009221A9" w:rsidRPr="00D7720B" w:rsidRDefault="009221A9" w:rsidP="009221A9">
            <w:pPr>
              <w:jc w:val="both"/>
            </w:pPr>
            <w:r w:rsidRPr="00D7720B">
              <w:t>2. cikk: Élethez való jog</w:t>
            </w:r>
          </w:p>
          <w:p w:rsidR="009221A9" w:rsidRPr="00D7720B" w:rsidRDefault="009221A9" w:rsidP="009221A9">
            <w:pPr>
              <w:jc w:val="both"/>
            </w:pPr>
            <w:r w:rsidRPr="00D7720B">
              <w:t>3. cikk: Kínzás tilalma</w:t>
            </w:r>
          </w:p>
          <w:p w:rsidR="009221A9" w:rsidRPr="00D7720B" w:rsidRDefault="009221A9" w:rsidP="009221A9">
            <w:pPr>
              <w:jc w:val="both"/>
            </w:pPr>
            <w:r w:rsidRPr="00D7720B">
              <w:t>5. cikk: Szabadsághoz és biztonsághoz való jog</w:t>
            </w:r>
          </w:p>
          <w:p w:rsidR="009221A9" w:rsidRPr="00D7720B" w:rsidRDefault="009221A9" w:rsidP="009221A9">
            <w:pPr>
              <w:jc w:val="both"/>
            </w:pPr>
            <w:r w:rsidRPr="00D7720B">
              <w:t>6. cikk: Tisztességes tárgyaláshoz való jog</w:t>
            </w:r>
          </w:p>
          <w:p w:rsidR="009221A9" w:rsidRPr="00D7720B" w:rsidRDefault="009221A9" w:rsidP="009221A9">
            <w:pPr>
              <w:jc w:val="both"/>
            </w:pPr>
            <w:r w:rsidRPr="00D7720B">
              <w:t>7. cikk: Büntetés kiszabásának tilalma törvényi rendelkezés nélkül</w:t>
            </w:r>
          </w:p>
          <w:p w:rsidR="009221A9" w:rsidRPr="00456CA6" w:rsidRDefault="009221A9" w:rsidP="009221A9">
            <w:pPr>
              <w:jc w:val="both"/>
            </w:pPr>
            <w:r w:rsidRPr="00D7720B">
              <w:t>10. cikk: Véleménynyilvánítás szabadsága</w:t>
            </w:r>
          </w:p>
          <w:p w:rsidR="009221A9" w:rsidRPr="001D4966" w:rsidRDefault="009221A9" w:rsidP="009221A9">
            <w:pPr>
              <w:jc w:val="both"/>
            </w:pPr>
          </w:p>
          <w:p w:rsidR="0075351E" w:rsidRPr="00E45CAC" w:rsidRDefault="0075351E" w:rsidP="007535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12FA" w:rsidRPr="0075351E" w:rsidTr="00655DC1">
        <w:trPr>
          <w:cantSplit/>
        </w:trPr>
        <w:tc>
          <w:tcPr>
            <w:tcW w:w="2764" w:type="dxa"/>
            <w:shd w:val="clear" w:color="auto" w:fill="D6E3BC" w:themeFill="accent3" w:themeFillTint="66"/>
            <w:vAlign w:val="center"/>
          </w:tcPr>
          <w:p w:rsidR="007F12FA" w:rsidRDefault="007F12FA" w:rsidP="0075351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Számonkérési és értékelési rendszere:</w:t>
            </w:r>
            <w:r>
              <w:rPr>
                <w:rStyle w:val="Lbjegyzet-hivatkozs"/>
                <w:rFonts w:asciiTheme="minorHAnsi" w:hAnsiTheme="minorHAnsi" w:cstheme="minorHAnsi"/>
                <w:b/>
              </w:rPr>
              <w:footnoteReference w:id="10"/>
            </w:r>
          </w:p>
        </w:tc>
        <w:tc>
          <w:tcPr>
            <w:tcW w:w="7087" w:type="dxa"/>
            <w:gridSpan w:val="3"/>
            <w:vAlign w:val="center"/>
          </w:tcPr>
          <w:p w:rsidR="009221A9" w:rsidRPr="006F19B4" w:rsidRDefault="009221A9" w:rsidP="009221A9">
            <w:pPr>
              <w:jc w:val="both"/>
              <w:rPr>
                <w:b/>
              </w:rPr>
            </w:pPr>
            <w:r w:rsidRPr="006F19B4">
              <w:rPr>
                <w:b/>
              </w:rPr>
              <w:t xml:space="preserve">Követelmények: </w:t>
            </w:r>
          </w:p>
          <w:p w:rsidR="009221A9" w:rsidRDefault="009221A9" w:rsidP="009221A9">
            <w:pPr>
              <w:jc w:val="both"/>
            </w:pPr>
            <w:r w:rsidRPr="006F19B4">
              <w:t>A kurzuson való aktív részvétel és szóbeli beszámoló (prezentáció tartása).</w:t>
            </w:r>
          </w:p>
          <w:p w:rsidR="009221A9" w:rsidRDefault="009221A9" w:rsidP="009221A9">
            <w:pPr>
              <w:jc w:val="both"/>
            </w:pPr>
          </w:p>
          <w:p w:rsidR="009221A9" w:rsidRDefault="009221A9" w:rsidP="009221A9">
            <w:pPr>
              <w:jc w:val="both"/>
            </w:pPr>
            <w:r w:rsidRPr="00C73BA9">
              <w:rPr>
                <w:b/>
                <w:bCs/>
              </w:rPr>
              <w:t>A tárgy oktatási nyelve:</w:t>
            </w:r>
            <w:r>
              <w:t xml:space="preserve"> angol</w:t>
            </w:r>
          </w:p>
          <w:p w:rsidR="009221A9" w:rsidRDefault="009221A9" w:rsidP="009221A9">
            <w:pPr>
              <w:jc w:val="both"/>
            </w:pPr>
          </w:p>
          <w:p w:rsidR="002849DE" w:rsidRDefault="002849DE" w:rsidP="002849DE">
            <w:pPr>
              <w:jc w:val="both"/>
            </w:pPr>
          </w:p>
          <w:p w:rsidR="002849DE" w:rsidRDefault="002849DE" w:rsidP="002849DE">
            <w:r>
              <w:t>Beszámoló: a háromfokozatú értékelési rendszer szerint jó</w:t>
            </w:r>
            <w:r w:rsidR="00437049">
              <w:t>l megfelelt (5), megfelelt (3),</w:t>
            </w:r>
            <w:bookmarkStart w:id="0" w:name="_GoBack"/>
            <w:bookmarkEnd w:id="0"/>
            <w:r>
              <w:t xml:space="preserve"> nem felelt meg (1) minősítéssel történik.</w:t>
            </w:r>
          </w:p>
          <w:p w:rsidR="007F12FA" w:rsidRPr="0075351E" w:rsidRDefault="007F12FA" w:rsidP="0075351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7F12FA" w:rsidRPr="0075351E" w:rsidTr="00655DC1">
        <w:trPr>
          <w:cantSplit/>
        </w:trPr>
        <w:tc>
          <w:tcPr>
            <w:tcW w:w="2764" w:type="dxa"/>
            <w:shd w:val="clear" w:color="auto" w:fill="D6E3BC" w:themeFill="accent3" w:themeFillTint="66"/>
            <w:vAlign w:val="center"/>
          </w:tcPr>
          <w:p w:rsidR="007F12FA" w:rsidRDefault="007F12FA" w:rsidP="0075351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Irodalom:</w:t>
            </w:r>
            <w:r>
              <w:rPr>
                <w:rStyle w:val="Lbjegyzet-hivatkozs"/>
                <w:rFonts w:asciiTheme="minorHAnsi" w:hAnsiTheme="minorHAnsi" w:cstheme="minorHAnsi"/>
                <w:b/>
              </w:rPr>
              <w:footnoteReference w:id="11"/>
            </w:r>
          </w:p>
        </w:tc>
        <w:tc>
          <w:tcPr>
            <w:tcW w:w="7087" w:type="dxa"/>
            <w:gridSpan w:val="3"/>
            <w:vAlign w:val="center"/>
          </w:tcPr>
          <w:p w:rsidR="009221A9" w:rsidRDefault="009221A9" w:rsidP="009221A9">
            <w:pPr>
              <w:jc w:val="both"/>
            </w:pPr>
            <w:proofErr w:type="spellStart"/>
            <w:r w:rsidRPr="00C73BA9">
              <w:t>Delmas-Marty</w:t>
            </w:r>
            <w:proofErr w:type="spellEnd"/>
            <w:r w:rsidRPr="006F19B4">
              <w:t xml:space="preserve">, </w:t>
            </w:r>
            <w:proofErr w:type="spellStart"/>
            <w:r w:rsidRPr="006F19B4">
              <w:t>Mireille</w:t>
            </w:r>
            <w:proofErr w:type="spellEnd"/>
            <w:r w:rsidRPr="006F19B4">
              <w:t xml:space="preserve"> and </w:t>
            </w:r>
            <w:r w:rsidRPr="00C73BA9">
              <w:t>Spencer,</w:t>
            </w:r>
            <w:r w:rsidRPr="006F19B4">
              <w:t xml:space="preserve"> J</w:t>
            </w:r>
            <w:proofErr w:type="gramStart"/>
            <w:r w:rsidRPr="006F19B4">
              <w:t>.R</w:t>
            </w:r>
            <w:proofErr w:type="gramEnd"/>
            <w:r w:rsidRPr="006F19B4">
              <w:t xml:space="preserve">.: </w:t>
            </w:r>
            <w:hyperlink r:id="rId8" w:tgtFrame="_blank" w:history="1">
              <w:r w:rsidRPr="00C73BA9">
                <w:t xml:space="preserve">European </w:t>
              </w:r>
              <w:proofErr w:type="spellStart"/>
              <w:r w:rsidRPr="00C73BA9">
                <w:t>Criminal</w:t>
              </w:r>
              <w:proofErr w:type="spellEnd"/>
              <w:r w:rsidRPr="00C73BA9">
                <w:t xml:space="preserve"> </w:t>
              </w:r>
              <w:proofErr w:type="spellStart"/>
              <w:r w:rsidRPr="00C73BA9">
                <w:t>Procedures</w:t>
              </w:r>
              <w:proofErr w:type="spellEnd"/>
              <w:r w:rsidRPr="00C73BA9">
                <w:t>. Cambridge University Press, 2006 </w:t>
              </w:r>
            </w:hyperlink>
            <w:r w:rsidRPr="00C73BA9">
              <w:t xml:space="preserve"> </w:t>
            </w:r>
          </w:p>
          <w:p w:rsidR="009221A9" w:rsidRDefault="009221A9" w:rsidP="009221A9">
            <w:pPr>
              <w:jc w:val="both"/>
            </w:pPr>
          </w:p>
          <w:p w:rsidR="009221A9" w:rsidRPr="00C73BA9" w:rsidRDefault="009221A9" w:rsidP="009221A9">
            <w:pPr>
              <w:jc w:val="both"/>
            </w:pPr>
            <w:proofErr w:type="spellStart"/>
            <w:r>
              <w:t>Jeremy</w:t>
            </w:r>
            <w:proofErr w:type="spellEnd"/>
            <w:r>
              <w:t xml:space="preserve"> </w:t>
            </w:r>
            <w:proofErr w:type="spellStart"/>
            <w:r>
              <w:t>McBride</w:t>
            </w:r>
            <w:proofErr w:type="spellEnd"/>
            <w:r>
              <w:t xml:space="preserve">, Human </w:t>
            </w:r>
            <w:proofErr w:type="spellStart"/>
            <w:r>
              <w:t>rights</w:t>
            </w:r>
            <w:proofErr w:type="spellEnd"/>
            <w:r>
              <w:t xml:space="preserve"> and </w:t>
            </w:r>
            <w:proofErr w:type="spellStart"/>
            <w:r>
              <w:t>criminal</w:t>
            </w:r>
            <w:proofErr w:type="spellEnd"/>
            <w:r>
              <w:t xml:space="preserve"> </w:t>
            </w:r>
            <w:proofErr w:type="spellStart"/>
            <w:r>
              <w:t>procedure</w:t>
            </w:r>
            <w:proofErr w:type="spellEnd"/>
            <w:r>
              <w:t xml:space="preserve">, </w:t>
            </w:r>
            <w:proofErr w:type="spellStart"/>
            <w:r>
              <w:t>Council</w:t>
            </w:r>
            <w:proofErr w:type="spellEnd"/>
            <w:r>
              <w:t xml:space="preserve"> of Europe Publishing, 2009</w:t>
            </w:r>
          </w:p>
          <w:p w:rsidR="009221A9" w:rsidRDefault="009221A9" w:rsidP="009221A9">
            <w:pPr>
              <w:jc w:val="both"/>
            </w:pPr>
          </w:p>
          <w:p w:rsidR="009221A9" w:rsidRDefault="009221A9" w:rsidP="009221A9">
            <w:pPr>
              <w:jc w:val="both"/>
            </w:pPr>
            <w:proofErr w:type="spellStart"/>
            <w:r w:rsidRPr="00F427C2">
              <w:t>Dovydas</w:t>
            </w:r>
            <w:proofErr w:type="spellEnd"/>
            <w:r w:rsidRPr="00F427C2">
              <w:t xml:space="preserve"> </w:t>
            </w:r>
            <w:proofErr w:type="spellStart"/>
            <w:r w:rsidRPr="00F427C2">
              <w:t>Vitkauskas</w:t>
            </w:r>
            <w:proofErr w:type="spellEnd"/>
            <w:r w:rsidRPr="00F427C2">
              <w:t xml:space="preserve">, </w:t>
            </w:r>
            <w:proofErr w:type="spellStart"/>
            <w:r w:rsidRPr="00F427C2">
              <w:t>Grigoriy</w:t>
            </w:r>
            <w:proofErr w:type="spellEnd"/>
            <w:r w:rsidRPr="00F427C2">
              <w:t xml:space="preserve"> </w:t>
            </w:r>
            <w:proofErr w:type="spellStart"/>
            <w:r w:rsidRPr="00F427C2">
              <w:t>Dikov</w:t>
            </w:r>
            <w:proofErr w:type="spellEnd"/>
            <w:r w:rsidRPr="00F427C2">
              <w:t xml:space="preserve">: </w:t>
            </w:r>
            <w:proofErr w:type="spellStart"/>
            <w:r w:rsidRPr="00F427C2">
              <w:t>Protecting</w:t>
            </w:r>
            <w:proofErr w:type="spellEnd"/>
            <w:r w:rsidRPr="00F427C2">
              <w:t xml:space="preserve"> </w:t>
            </w:r>
            <w:proofErr w:type="spellStart"/>
            <w:r w:rsidRPr="00F427C2">
              <w:t>the</w:t>
            </w:r>
            <w:proofErr w:type="spellEnd"/>
            <w:r w:rsidRPr="00F427C2">
              <w:t xml:space="preserve"> </w:t>
            </w:r>
            <w:proofErr w:type="spellStart"/>
            <w:r w:rsidRPr="00F427C2">
              <w:t>right</w:t>
            </w:r>
            <w:proofErr w:type="spellEnd"/>
            <w:r w:rsidRPr="00F427C2">
              <w:t xml:space="preserve"> </w:t>
            </w:r>
            <w:proofErr w:type="spellStart"/>
            <w:r w:rsidRPr="00F427C2">
              <w:t>to</w:t>
            </w:r>
            <w:proofErr w:type="spellEnd"/>
            <w:r w:rsidRPr="00F427C2">
              <w:t xml:space="preserve"> a fair </w:t>
            </w:r>
            <w:proofErr w:type="spellStart"/>
            <w:r w:rsidRPr="00F427C2">
              <w:t>trial</w:t>
            </w:r>
            <w:proofErr w:type="spellEnd"/>
            <w:r w:rsidRPr="00F427C2">
              <w:t xml:space="preserve"> </w:t>
            </w:r>
            <w:proofErr w:type="spellStart"/>
            <w:r w:rsidRPr="00F427C2">
              <w:t>under</w:t>
            </w:r>
            <w:proofErr w:type="spellEnd"/>
            <w:r w:rsidRPr="00F427C2">
              <w:t xml:space="preserve"> </w:t>
            </w:r>
            <w:proofErr w:type="spellStart"/>
            <w:r w:rsidRPr="00F427C2">
              <w:t>the</w:t>
            </w:r>
            <w:proofErr w:type="spellEnd"/>
            <w:r w:rsidRPr="00F427C2">
              <w:t xml:space="preserve"> European </w:t>
            </w:r>
            <w:proofErr w:type="spellStart"/>
            <w:r w:rsidRPr="00F427C2">
              <w:t>Convention</w:t>
            </w:r>
            <w:proofErr w:type="spellEnd"/>
            <w:r w:rsidRPr="00F427C2">
              <w:t xml:space="preserve"> </w:t>
            </w:r>
            <w:proofErr w:type="spellStart"/>
            <w:r w:rsidRPr="00F427C2">
              <w:t>on</w:t>
            </w:r>
            <w:proofErr w:type="spellEnd"/>
            <w:r w:rsidRPr="00F427C2">
              <w:t xml:space="preserve"> Human </w:t>
            </w:r>
            <w:proofErr w:type="spellStart"/>
            <w:r w:rsidRPr="00F427C2">
              <w:t>Rights</w:t>
            </w:r>
            <w:proofErr w:type="spellEnd"/>
            <w:r w:rsidRPr="00F427C2">
              <w:t xml:space="preserve">, </w:t>
            </w:r>
            <w:proofErr w:type="spellStart"/>
            <w:r w:rsidRPr="00F427C2">
              <w:t>Council</w:t>
            </w:r>
            <w:proofErr w:type="spellEnd"/>
            <w:r w:rsidRPr="00F427C2">
              <w:t xml:space="preserve"> of Europe Publishing, 2012</w:t>
            </w:r>
          </w:p>
          <w:p w:rsidR="009221A9" w:rsidRDefault="009221A9" w:rsidP="009221A9">
            <w:pPr>
              <w:jc w:val="both"/>
            </w:pPr>
          </w:p>
          <w:p w:rsidR="009221A9" w:rsidRPr="00F427C2" w:rsidRDefault="009221A9" w:rsidP="009221A9">
            <w:pPr>
              <w:jc w:val="both"/>
            </w:pPr>
            <w:proofErr w:type="spellStart"/>
            <w:r>
              <w:t>Monica</w:t>
            </w:r>
            <w:proofErr w:type="spellEnd"/>
            <w:r>
              <w:t xml:space="preserve"> </w:t>
            </w:r>
            <w:proofErr w:type="spellStart"/>
            <w:r>
              <w:t>Macovei</w:t>
            </w:r>
            <w:proofErr w:type="spellEnd"/>
            <w:r>
              <w:t xml:space="preserve">, </w:t>
            </w:r>
            <w:r w:rsidRPr="00F427C2">
              <w:t xml:space="preserve">A </w:t>
            </w:r>
            <w:proofErr w:type="spellStart"/>
            <w:r w:rsidRPr="00F427C2">
              <w:t>guide</w:t>
            </w:r>
            <w:proofErr w:type="spellEnd"/>
            <w:r w:rsidRPr="00F427C2">
              <w:t xml:space="preserve"> </w:t>
            </w:r>
            <w:proofErr w:type="spellStart"/>
            <w:r w:rsidRPr="00F427C2">
              <w:t>to</w:t>
            </w:r>
            <w:proofErr w:type="spellEnd"/>
            <w:r w:rsidRPr="00F427C2">
              <w:t xml:space="preserve"> </w:t>
            </w:r>
            <w:proofErr w:type="spellStart"/>
            <w:r w:rsidRPr="00F427C2">
              <w:t>the</w:t>
            </w:r>
            <w:proofErr w:type="spellEnd"/>
            <w:r w:rsidRPr="00F427C2">
              <w:t xml:space="preserve"> </w:t>
            </w:r>
            <w:proofErr w:type="spellStart"/>
            <w:r w:rsidRPr="00F427C2">
              <w:t>implementation</w:t>
            </w:r>
            <w:proofErr w:type="spellEnd"/>
            <w:r w:rsidRPr="00F427C2">
              <w:t xml:space="preserve"> of </w:t>
            </w:r>
            <w:proofErr w:type="spellStart"/>
            <w:r w:rsidRPr="00F427C2">
              <w:t>Article</w:t>
            </w:r>
            <w:proofErr w:type="spellEnd"/>
            <w:r w:rsidRPr="00F427C2">
              <w:t xml:space="preserve"> 5 of </w:t>
            </w:r>
            <w:proofErr w:type="spellStart"/>
            <w:r w:rsidRPr="00F427C2">
              <w:t>the</w:t>
            </w:r>
            <w:proofErr w:type="spellEnd"/>
            <w:r w:rsidRPr="00F427C2">
              <w:t xml:space="preserve"> European </w:t>
            </w:r>
            <w:proofErr w:type="spellStart"/>
            <w:r w:rsidRPr="00F427C2">
              <w:t>Convention</w:t>
            </w:r>
            <w:proofErr w:type="spellEnd"/>
            <w:r w:rsidRPr="00F427C2">
              <w:t xml:space="preserve"> </w:t>
            </w:r>
            <w:proofErr w:type="spellStart"/>
            <w:r w:rsidRPr="00F427C2">
              <w:t>on</w:t>
            </w:r>
            <w:proofErr w:type="spellEnd"/>
            <w:r w:rsidRPr="00F427C2">
              <w:t xml:space="preserve"> Human </w:t>
            </w:r>
            <w:proofErr w:type="spellStart"/>
            <w:r w:rsidRPr="00F427C2">
              <w:t>Rights</w:t>
            </w:r>
            <w:proofErr w:type="spellEnd"/>
            <w:r w:rsidRPr="00F427C2">
              <w:t xml:space="preserve">, Human </w:t>
            </w:r>
            <w:proofErr w:type="spellStart"/>
            <w:r w:rsidRPr="00F427C2">
              <w:t>rights</w:t>
            </w:r>
            <w:proofErr w:type="spellEnd"/>
            <w:r w:rsidRPr="00F427C2">
              <w:t xml:space="preserve"> </w:t>
            </w:r>
            <w:proofErr w:type="spellStart"/>
            <w:r w:rsidRPr="00F427C2">
              <w:t>handbooks</w:t>
            </w:r>
            <w:proofErr w:type="spellEnd"/>
            <w:r w:rsidRPr="00F427C2">
              <w:t xml:space="preserve">, No. 5 </w:t>
            </w:r>
          </w:p>
          <w:p w:rsidR="009221A9" w:rsidRPr="00D7720B" w:rsidRDefault="009221A9" w:rsidP="009221A9">
            <w:pPr>
              <w:jc w:val="both"/>
            </w:pPr>
            <w:r w:rsidRPr="00F427C2">
              <w:t xml:space="preserve"> </w:t>
            </w:r>
          </w:p>
          <w:p w:rsidR="007F12FA" w:rsidRPr="0075351E" w:rsidRDefault="007F12FA" w:rsidP="0043704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90A8D" w:rsidRPr="00F46DDF" w:rsidRDefault="00A90A8D" w:rsidP="00A90A8D">
      <w:pPr>
        <w:rPr>
          <w:rFonts w:asciiTheme="minorHAnsi" w:hAnsiTheme="minorHAnsi" w:cstheme="minorHAnsi"/>
        </w:rPr>
      </w:pPr>
    </w:p>
    <w:p w:rsidR="007F12FA" w:rsidRDefault="007F12FA" w:rsidP="00A90A8D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149"/>
        <w:gridCol w:w="2149"/>
        <w:gridCol w:w="2789"/>
      </w:tblGrid>
      <w:tr w:rsidR="007F12FA" w:rsidRPr="00F46DDF" w:rsidTr="00655DC1">
        <w:trPr>
          <w:cantSplit/>
        </w:trPr>
        <w:tc>
          <w:tcPr>
            <w:tcW w:w="2764" w:type="dxa"/>
            <w:shd w:val="clear" w:color="auto" w:fill="F2F2F2" w:themeFill="background1" w:themeFillShade="F2"/>
            <w:vAlign w:val="center"/>
          </w:tcPr>
          <w:p w:rsidR="007F12FA" w:rsidRPr="00F46DDF" w:rsidRDefault="001C4B9F" w:rsidP="00D9764C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  <w:r w:rsidRPr="00F46DDF">
              <w:rPr>
                <w:rFonts w:asciiTheme="minorHAnsi" w:hAnsiTheme="minorHAnsi" w:cstheme="minorHAnsi"/>
                <w:b/>
                <w:lang w:val="en-GB"/>
              </w:rPr>
              <w:t>Name of the course</w:t>
            </w:r>
            <w:r w:rsidR="007F12FA" w:rsidRPr="00F46DDF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:rsidR="009221A9" w:rsidRPr="00B2746D" w:rsidRDefault="00130EB1" w:rsidP="009221A9">
            <w:pPr>
              <w:jc w:val="center"/>
              <w:rPr>
                <w:b/>
                <w:lang w:val="en-US"/>
              </w:rPr>
            </w:pPr>
            <w:r w:rsidRPr="00E36270">
              <w:rPr>
                <w:b/>
              </w:rPr>
              <w:t xml:space="preserve"> </w:t>
            </w:r>
            <w:r w:rsidR="009221A9" w:rsidRPr="00B2746D">
              <w:rPr>
                <w:b/>
                <w:lang w:val="en-US"/>
              </w:rPr>
              <w:t>Plan for a Special Course of Criminal Procedure Law</w:t>
            </w:r>
          </w:p>
          <w:p w:rsidR="00130EB1" w:rsidRDefault="00130EB1" w:rsidP="00130EB1">
            <w:pPr>
              <w:jc w:val="both"/>
              <w:rPr>
                <w:b/>
              </w:rPr>
            </w:pPr>
          </w:p>
          <w:p w:rsidR="00130EB1" w:rsidRDefault="00130EB1" w:rsidP="00130EB1">
            <w:pPr>
              <w:jc w:val="both"/>
              <w:rPr>
                <w:b/>
              </w:rPr>
            </w:pPr>
          </w:p>
          <w:p w:rsidR="007F12FA" w:rsidRPr="00E45CAC" w:rsidRDefault="007F12FA" w:rsidP="00D9764C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F12FA" w:rsidRPr="00F46DDF" w:rsidTr="00655DC1">
        <w:trPr>
          <w:cantSplit/>
        </w:trPr>
        <w:tc>
          <w:tcPr>
            <w:tcW w:w="2764" w:type="dxa"/>
            <w:shd w:val="clear" w:color="auto" w:fill="F2F2F2" w:themeFill="background1" w:themeFillShade="F2"/>
            <w:vAlign w:val="center"/>
          </w:tcPr>
          <w:p w:rsidR="007F12FA" w:rsidRPr="00F46DDF" w:rsidRDefault="00330CBF" w:rsidP="00D9764C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Level</w:t>
            </w:r>
            <w:r w:rsidR="007F12FA" w:rsidRPr="00F46DDF">
              <w:rPr>
                <w:rFonts w:asciiTheme="minorHAnsi" w:hAnsiTheme="minorHAnsi" w:cstheme="minorHAnsi"/>
                <w:b/>
                <w:lang w:val="en-GB"/>
              </w:rPr>
              <w:t>:</w:t>
            </w:r>
            <w:r w:rsidR="007F12FA" w:rsidRPr="00F46DDF">
              <w:rPr>
                <w:rStyle w:val="Lbjegyzet-hivatkozs"/>
                <w:rFonts w:asciiTheme="minorHAnsi" w:hAnsiTheme="minorHAnsi" w:cstheme="minorHAnsi"/>
                <w:b/>
                <w:lang w:val="en-GB"/>
              </w:rPr>
              <w:footnoteReference w:id="12"/>
            </w:r>
          </w:p>
        </w:tc>
        <w:tc>
          <w:tcPr>
            <w:tcW w:w="7087" w:type="dxa"/>
            <w:gridSpan w:val="3"/>
            <w:vAlign w:val="center"/>
          </w:tcPr>
          <w:p w:rsidR="007F12FA" w:rsidRPr="00E45CAC" w:rsidRDefault="00700EEE" w:rsidP="00D9764C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5</w:t>
            </w:r>
          </w:p>
        </w:tc>
      </w:tr>
      <w:tr w:rsidR="007F12FA" w:rsidRPr="00F46DDF" w:rsidTr="00655DC1">
        <w:trPr>
          <w:cantSplit/>
        </w:trPr>
        <w:tc>
          <w:tcPr>
            <w:tcW w:w="2764" w:type="dxa"/>
            <w:shd w:val="clear" w:color="auto" w:fill="F2F2F2" w:themeFill="background1" w:themeFillShade="F2"/>
            <w:vAlign w:val="center"/>
          </w:tcPr>
          <w:p w:rsidR="007F12FA" w:rsidRPr="00F46DDF" w:rsidRDefault="001C4B9F" w:rsidP="00D9764C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  <w:r w:rsidRPr="00F46DDF">
              <w:rPr>
                <w:rFonts w:asciiTheme="minorHAnsi" w:hAnsiTheme="minorHAnsi" w:cstheme="minorHAnsi"/>
                <w:b/>
                <w:lang w:val="en-GB"/>
              </w:rPr>
              <w:t>Prerequisites</w:t>
            </w:r>
            <w:r w:rsidR="007F12FA" w:rsidRPr="00F46DDF">
              <w:rPr>
                <w:rFonts w:asciiTheme="minorHAnsi" w:hAnsiTheme="minorHAnsi" w:cstheme="minorHAnsi"/>
                <w:b/>
                <w:lang w:val="en-GB"/>
              </w:rPr>
              <w:t>:</w:t>
            </w:r>
            <w:r w:rsidR="007F12FA" w:rsidRPr="00F46DDF">
              <w:rPr>
                <w:rStyle w:val="Lbjegyzet-hivatkozs"/>
                <w:rFonts w:asciiTheme="minorHAnsi" w:hAnsiTheme="minorHAnsi" w:cstheme="minorHAnsi"/>
                <w:b/>
                <w:lang w:val="en-GB"/>
              </w:rPr>
              <w:footnoteReference w:id="13"/>
            </w:r>
          </w:p>
        </w:tc>
        <w:tc>
          <w:tcPr>
            <w:tcW w:w="7087" w:type="dxa"/>
            <w:gridSpan w:val="3"/>
            <w:vAlign w:val="center"/>
          </w:tcPr>
          <w:p w:rsidR="007F12FA" w:rsidRPr="00E45CAC" w:rsidRDefault="00700EEE" w:rsidP="00D9764C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Criminal Law 2 </w:t>
            </w:r>
          </w:p>
        </w:tc>
      </w:tr>
      <w:tr w:rsidR="007F12FA" w:rsidRPr="00F46DDF" w:rsidTr="00655DC1">
        <w:trPr>
          <w:cantSplit/>
        </w:trPr>
        <w:tc>
          <w:tcPr>
            <w:tcW w:w="2764" w:type="dxa"/>
            <w:shd w:val="clear" w:color="auto" w:fill="F2F2F2" w:themeFill="background1" w:themeFillShade="F2"/>
            <w:vAlign w:val="center"/>
          </w:tcPr>
          <w:p w:rsidR="007F12FA" w:rsidRPr="00F46DDF" w:rsidRDefault="001C4B9F" w:rsidP="00D9764C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  <w:r w:rsidRPr="00F46DDF">
              <w:rPr>
                <w:rFonts w:asciiTheme="minorHAnsi" w:hAnsiTheme="minorHAnsi" w:cstheme="minorHAnsi"/>
                <w:b/>
                <w:lang w:val="en-GB"/>
              </w:rPr>
              <w:t>Requirement type</w:t>
            </w:r>
            <w:r w:rsidR="007F12FA" w:rsidRPr="00F46DDF">
              <w:rPr>
                <w:rFonts w:asciiTheme="minorHAnsi" w:hAnsiTheme="minorHAnsi" w:cstheme="minorHAnsi"/>
                <w:b/>
                <w:lang w:val="en-GB"/>
              </w:rPr>
              <w:t>:</w:t>
            </w:r>
            <w:r w:rsidR="007F12FA" w:rsidRPr="00F46DDF">
              <w:rPr>
                <w:rStyle w:val="Lbjegyzet-hivatkozs"/>
                <w:rFonts w:asciiTheme="minorHAnsi" w:hAnsiTheme="minorHAnsi" w:cstheme="minorHAnsi"/>
                <w:b/>
                <w:lang w:val="en-GB"/>
              </w:rPr>
              <w:footnoteReference w:id="14"/>
            </w:r>
          </w:p>
        </w:tc>
        <w:tc>
          <w:tcPr>
            <w:tcW w:w="7087" w:type="dxa"/>
            <w:gridSpan w:val="3"/>
            <w:vAlign w:val="center"/>
          </w:tcPr>
          <w:p w:rsidR="007F12FA" w:rsidRPr="00E45CAC" w:rsidRDefault="003F28DB" w:rsidP="00D9764C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t>Evaluation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three-scale</w:t>
            </w:r>
            <w:proofErr w:type="spellEnd"/>
            <w:r>
              <w:t xml:space="preserve"> </w:t>
            </w:r>
            <w:proofErr w:type="spellStart"/>
            <w:r>
              <w:t>grading</w:t>
            </w:r>
            <w:proofErr w:type="spellEnd"/>
          </w:p>
        </w:tc>
      </w:tr>
      <w:tr w:rsidR="007F12FA" w:rsidRPr="00F46DDF" w:rsidTr="00655DC1">
        <w:trPr>
          <w:cantSplit/>
        </w:trPr>
        <w:tc>
          <w:tcPr>
            <w:tcW w:w="2764" w:type="dxa"/>
            <w:vMerge w:val="restart"/>
            <w:shd w:val="clear" w:color="auto" w:fill="F2F2F2" w:themeFill="background1" w:themeFillShade="F2"/>
            <w:vAlign w:val="center"/>
          </w:tcPr>
          <w:p w:rsidR="007F12FA" w:rsidRPr="00F46DDF" w:rsidRDefault="00846E33" w:rsidP="00846E33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  <w:r w:rsidRPr="00F46DDF">
              <w:rPr>
                <w:rFonts w:asciiTheme="minorHAnsi" w:hAnsiTheme="minorHAnsi" w:cstheme="minorHAnsi"/>
                <w:b/>
                <w:lang w:val="en-GB"/>
              </w:rPr>
              <w:t>Number</w:t>
            </w:r>
            <w:r w:rsidR="007F12FA" w:rsidRPr="00F46DDF">
              <w:rPr>
                <w:rStyle w:val="Lbjegyzet-hivatkozs"/>
                <w:rFonts w:asciiTheme="minorHAnsi" w:hAnsiTheme="minorHAnsi" w:cstheme="minorHAnsi"/>
                <w:b/>
                <w:lang w:val="en-GB"/>
              </w:rPr>
              <w:footnoteReference w:id="15"/>
            </w:r>
            <w:r w:rsidR="007F12FA" w:rsidRPr="00F46DDF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F46DDF">
              <w:rPr>
                <w:rFonts w:asciiTheme="minorHAnsi" w:hAnsiTheme="minorHAnsi" w:cstheme="minorHAnsi"/>
                <w:b/>
                <w:lang w:val="en-GB"/>
              </w:rPr>
              <w:t>and type of contact hours</w:t>
            </w:r>
            <w:r w:rsidR="007F12FA" w:rsidRPr="00F46DDF">
              <w:rPr>
                <w:rFonts w:asciiTheme="minorHAnsi" w:hAnsiTheme="minorHAnsi" w:cstheme="minorHAnsi"/>
                <w:b/>
                <w:lang w:val="en-GB"/>
              </w:rPr>
              <w:t>:</w:t>
            </w:r>
            <w:r w:rsidR="007F12FA" w:rsidRPr="00F46DDF">
              <w:rPr>
                <w:rStyle w:val="Lbjegyzet-hivatkozs"/>
                <w:rFonts w:asciiTheme="minorHAnsi" w:hAnsiTheme="minorHAnsi" w:cstheme="minorHAnsi"/>
                <w:b/>
                <w:lang w:val="en-GB"/>
              </w:rPr>
              <w:footnoteReference w:id="16"/>
            </w:r>
          </w:p>
        </w:tc>
        <w:tc>
          <w:tcPr>
            <w:tcW w:w="2149" w:type="dxa"/>
            <w:vMerge w:val="restart"/>
            <w:shd w:val="clear" w:color="auto" w:fill="F2F2F2" w:themeFill="background1" w:themeFillShade="F2"/>
            <w:vAlign w:val="center"/>
          </w:tcPr>
          <w:p w:rsidR="007F12FA" w:rsidRPr="00F46DDF" w:rsidRDefault="00846E33" w:rsidP="00D9764C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  <w:r w:rsidRPr="00F46DDF">
              <w:rPr>
                <w:rFonts w:asciiTheme="minorHAnsi" w:hAnsiTheme="minorHAnsi" w:cstheme="minorHAnsi"/>
                <w:b/>
                <w:lang w:val="en-GB"/>
              </w:rPr>
              <w:t>Full-time training</w:t>
            </w:r>
            <w:r w:rsidR="007F12FA" w:rsidRPr="00F46DDF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  <w:tc>
          <w:tcPr>
            <w:tcW w:w="2149" w:type="dxa"/>
            <w:shd w:val="clear" w:color="auto" w:fill="F2F2F2" w:themeFill="background1" w:themeFillShade="F2"/>
            <w:vAlign w:val="center"/>
          </w:tcPr>
          <w:p w:rsidR="007F12FA" w:rsidRPr="00F46DDF" w:rsidRDefault="00846E33" w:rsidP="00D9764C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  <w:r w:rsidRPr="00F46DDF">
              <w:rPr>
                <w:rFonts w:asciiTheme="minorHAnsi" w:hAnsiTheme="minorHAnsi" w:cstheme="minorHAnsi"/>
                <w:b/>
                <w:lang w:val="en-GB"/>
              </w:rPr>
              <w:t>Lecture</w:t>
            </w:r>
            <w:r w:rsidR="007F12FA" w:rsidRPr="00F46DDF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  <w:tc>
          <w:tcPr>
            <w:tcW w:w="2789" w:type="dxa"/>
            <w:vAlign w:val="center"/>
          </w:tcPr>
          <w:p w:rsidR="007F12FA" w:rsidRPr="00F46DDF" w:rsidRDefault="007F12FA" w:rsidP="00D9764C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F12FA" w:rsidRPr="00F46DDF" w:rsidTr="00655DC1">
        <w:trPr>
          <w:cantSplit/>
        </w:trPr>
        <w:tc>
          <w:tcPr>
            <w:tcW w:w="2764" w:type="dxa"/>
            <w:vMerge/>
            <w:shd w:val="clear" w:color="auto" w:fill="F2F2F2" w:themeFill="background1" w:themeFillShade="F2"/>
            <w:vAlign w:val="center"/>
          </w:tcPr>
          <w:p w:rsidR="007F12FA" w:rsidRPr="00F46DDF" w:rsidRDefault="007F12FA" w:rsidP="00D9764C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149" w:type="dxa"/>
            <w:vMerge/>
            <w:shd w:val="clear" w:color="auto" w:fill="F2F2F2" w:themeFill="background1" w:themeFillShade="F2"/>
            <w:vAlign w:val="center"/>
          </w:tcPr>
          <w:p w:rsidR="007F12FA" w:rsidRPr="00F46DDF" w:rsidRDefault="007F12FA" w:rsidP="00D9764C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149" w:type="dxa"/>
            <w:shd w:val="clear" w:color="auto" w:fill="F2F2F2" w:themeFill="background1" w:themeFillShade="F2"/>
            <w:vAlign w:val="center"/>
          </w:tcPr>
          <w:p w:rsidR="007F12FA" w:rsidRPr="00F46DDF" w:rsidRDefault="00846E33" w:rsidP="00D9764C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  <w:r w:rsidRPr="00F46DDF">
              <w:rPr>
                <w:rFonts w:asciiTheme="minorHAnsi" w:hAnsiTheme="minorHAnsi" w:cstheme="minorHAnsi"/>
                <w:b/>
                <w:lang w:val="en-GB"/>
              </w:rPr>
              <w:t>Seminar</w:t>
            </w:r>
            <w:r w:rsidR="007F12FA" w:rsidRPr="00F46DDF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  <w:tc>
          <w:tcPr>
            <w:tcW w:w="2789" w:type="dxa"/>
            <w:vAlign w:val="center"/>
          </w:tcPr>
          <w:p w:rsidR="007F12FA" w:rsidRPr="00F46DDF" w:rsidRDefault="003F28DB" w:rsidP="00D9764C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2h/week</w:t>
            </w:r>
          </w:p>
        </w:tc>
      </w:tr>
      <w:tr w:rsidR="007F12FA" w:rsidRPr="00F46DDF" w:rsidTr="00655DC1">
        <w:trPr>
          <w:cantSplit/>
        </w:trPr>
        <w:tc>
          <w:tcPr>
            <w:tcW w:w="2764" w:type="dxa"/>
            <w:vMerge/>
            <w:shd w:val="clear" w:color="auto" w:fill="F2F2F2" w:themeFill="background1" w:themeFillShade="F2"/>
            <w:vAlign w:val="center"/>
          </w:tcPr>
          <w:p w:rsidR="007F12FA" w:rsidRPr="00F46DDF" w:rsidRDefault="007F12FA" w:rsidP="00D9764C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149" w:type="dxa"/>
            <w:vMerge w:val="restart"/>
            <w:shd w:val="clear" w:color="auto" w:fill="F2F2F2" w:themeFill="background1" w:themeFillShade="F2"/>
            <w:vAlign w:val="center"/>
          </w:tcPr>
          <w:p w:rsidR="007F12FA" w:rsidRPr="00F46DDF" w:rsidRDefault="00846E33" w:rsidP="00D9764C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  <w:r w:rsidRPr="00F46DDF">
              <w:rPr>
                <w:rFonts w:asciiTheme="minorHAnsi" w:hAnsiTheme="minorHAnsi" w:cstheme="minorHAnsi"/>
                <w:b/>
                <w:lang w:val="en-GB"/>
              </w:rPr>
              <w:t>Part-time training</w:t>
            </w:r>
            <w:r w:rsidR="007F12FA" w:rsidRPr="00F46DDF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  <w:tc>
          <w:tcPr>
            <w:tcW w:w="2149" w:type="dxa"/>
            <w:shd w:val="clear" w:color="auto" w:fill="F2F2F2" w:themeFill="background1" w:themeFillShade="F2"/>
            <w:vAlign w:val="center"/>
          </w:tcPr>
          <w:p w:rsidR="007F12FA" w:rsidRPr="00F46DDF" w:rsidRDefault="00846E33" w:rsidP="00D9764C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  <w:r w:rsidRPr="00F46DDF">
              <w:rPr>
                <w:rFonts w:asciiTheme="minorHAnsi" w:hAnsiTheme="minorHAnsi" w:cstheme="minorHAnsi"/>
                <w:b/>
                <w:lang w:val="en-GB"/>
              </w:rPr>
              <w:t>Lecture</w:t>
            </w:r>
            <w:r w:rsidR="007F12FA" w:rsidRPr="00F46DDF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  <w:tc>
          <w:tcPr>
            <w:tcW w:w="2789" w:type="dxa"/>
            <w:vAlign w:val="center"/>
          </w:tcPr>
          <w:p w:rsidR="007F12FA" w:rsidRPr="00F46DDF" w:rsidRDefault="007F12FA" w:rsidP="00D9764C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F12FA" w:rsidRPr="00F46DDF" w:rsidTr="00655DC1">
        <w:trPr>
          <w:cantSplit/>
        </w:trPr>
        <w:tc>
          <w:tcPr>
            <w:tcW w:w="2764" w:type="dxa"/>
            <w:vMerge/>
            <w:shd w:val="clear" w:color="auto" w:fill="F2F2F2" w:themeFill="background1" w:themeFillShade="F2"/>
            <w:vAlign w:val="center"/>
          </w:tcPr>
          <w:p w:rsidR="007F12FA" w:rsidRPr="00F46DDF" w:rsidRDefault="007F12FA" w:rsidP="00D9764C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149" w:type="dxa"/>
            <w:vMerge/>
            <w:shd w:val="clear" w:color="auto" w:fill="F2F2F2" w:themeFill="background1" w:themeFillShade="F2"/>
            <w:vAlign w:val="center"/>
          </w:tcPr>
          <w:p w:rsidR="007F12FA" w:rsidRPr="00F46DDF" w:rsidRDefault="007F12FA" w:rsidP="00D9764C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149" w:type="dxa"/>
            <w:shd w:val="clear" w:color="auto" w:fill="F2F2F2" w:themeFill="background1" w:themeFillShade="F2"/>
            <w:vAlign w:val="center"/>
          </w:tcPr>
          <w:p w:rsidR="007F12FA" w:rsidRPr="00F46DDF" w:rsidRDefault="00846E33" w:rsidP="00D9764C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  <w:r w:rsidRPr="00F46DDF">
              <w:rPr>
                <w:rFonts w:asciiTheme="minorHAnsi" w:hAnsiTheme="minorHAnsi" w:cstheme="minorHAnsi"/>
                <w:b/>
                <w:lang w:val="en-GB"/>
              </w:rPr>
              <w:t>Seminar</w:t>
            </w:r>
            <w:r w:rsidR="007F12FA" w:rsidRPr="00F46DDF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  <w:tc>
          <w:tcPr>
            <w:tcW w:w="2789" w:type="dxa"/>
            <w:vAlign w:val="center"/>
          </w:tcPr>
          <w:p w:rsidR="007F12FA" w:rsidRPr="00F46DDF" w:rsidRDefault="007F12FA" w:rsidP="00D9764C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F12FA" w:rsidRPr="00F46DDF" w:rsidTr="00655DC1">
        <w:trPr>
          <w:cantSplit/>
        </w:trPr>
        <w:tc>
          <w:tcPr>
            <w:tcW w:w="2764" w:type="dxa"/>
            <w:shd w:val="clear" w:color="auto" w:fill="F2F2F2" w:themeFill="background1" w:themeFillShade="F2"/>
            <w:vAlign w:val="center"/>
          </w:tcPr>
          <w:p w:rsidR="007F12FA" w:rsidRPr="00F46DDF" w:rsidRDefault="00846E33" w:rsidP="00D9764C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  <w:r w:rsidRPr="00F46DDF">
              <w:rPr>
                <w:rFonts w:asciiTheme="minorHAnsi" w:hAnsiTheme="minorHAnsi" w:cstheme="minorHAnsi"/>
                <w:b/>
                <w:lang w:val="en-GB"/>
              </w:rPr>
              <w:t>Credit</w:t>
            </w:r>
            <w:r w:rsidR="007F12FA" w:rsidRPr="00F46DDF">
              <w:rPr>
                <w:rFonts w:asciiTheme="minorHAnsi" w:hAnsiTheme="minorHAnsi" w:cstheme="minorHAnsi"/>
                <w:b/>
                <w:lang w:val="en-GB"/>
              </w:rPr>
              <w:t>:</w:t>
            </w:r>
            <w:r w:rsidR="007F12FA" w:rsidRPr="00F46DDF">
              <w:rPr>
                <w:rStyle w:val="Lbjegyzet-hivatkozs"/>
                <w:rFonts w:asciiTheme="minorHAnsi" w:hAnsiTheme="minorHAnsi" w:cstheme="minorHAnsi"/>
                <w:b/>
                <w:lang w:val="en-GB"/>
              </w:rPr>
              <w:footnoteReference w:id="17"/>
            </w:r>
          </w:p>
        </w:tc>
        <w:tc>
          <w:tcPr>
            <w:tcW w:w="7087" w:type="dxa"/>
            <w:gridSpan w:val="3"/>
            <w:vAlign w:val="center"/>
          </w:tcPr>
          <w:p w:rsidR="007F12FA" w:rsidRPr="00E45CAC" w:rsidRDefault="00130EB1" w:rsidP="00D9764C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</w:t>
            </w:r>
          </w:p>
        </w:tc>
      </w:tr>
      <w:tr w:rsidR="007F12FA" w:rsidRPr="00F46DDF" w:rsidTr="00655DC1">
        <w:trPr>
          <w:cantSplit/>
        </w:trPr>
        <w:tc>
          <w:tcPr>
            <w:tcW w:w="2764" w:type="dxa"/>
            <w:shd w:val="clear" w:color="auto" w:fill="F2F2F2" w:themeFill="background1" w:themeFillShade="F2"/>
            <w:vAlign w:val="center"/>
          </w:tcPr>
          <w:p w:rsidR="007F12FA" w:rsidRPr="00F46DDF" w:rsidRDefault="00C87EFA" w:rsidP="00C87EFA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  <w:r w:rsidRPr="00F46DDF">
              <w:rPr>
                <w:rFonts w:asciiTheme="minorHAnsi" w:hAnsiTheme="minorHAnsi" w:cstheme="minorHAnsi"/>
                <w:b/>
                <w:lang w:val="en-GB"/>
              </w:rPr>
              <w:t>Responsible department</w:t>
            </w:r>
            <w:r w:rsidR="007F12FA" w:rsidRPr="00F46DDF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:rsidR="007F12FA" w:rsidRPr="00E45CAC" w:rsidRDefault="00700EEE" w:rsidP="00D9764C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Büntet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Anyagi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Eljárási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Végrehajtási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Jogi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Tanszék</w:t>
            </w:r>
            <w:proofErr w:type="spellEnd"/>
          </w:p>
        </w:tc>
      </w:tr>
      <w:tr w:rsidR="007F12FA" w:rsidRPr="00F46DDF" w:rsidTr="00655DC1">
        <w:trPr>
          <w:cantSplit/>
        </w:trPr>
        <w:tc>
          <w:tcPr>
            <w:tcW w:w="2764" w:type="dxa"/>
            <w:shd w:val="clear" w:color="auto" w:fill="F2F2F2" w:themeFill="background1" w:themeFillShade="F2"/>
            <w:vAlign w:val="center"/>
          </w:tcPr>
          <w:p w:rsidR="007F12FA" w:rsidRPr="00F46DDF" w:rsidRDefault="00C87EFA" w:rsidP="00D9764C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  <w:r w:rsidRPr="00F46DDF">
              <w:rPr>
                <w:rFonts w:asciiTheme="minorHAnsi" w:hAnsiTheme="minorHAnsi" w:cstheme="minorHAnsi"/>
                <w:b/>
                <w:lang w:val="en-GB"/>
              </w:rPr>
              <w:t>Name of the lecturer</w:t>
            </w:r>
            <w:r w:rsidR="007F12FA" w:rsidRPr="00F46DDF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:rsidR="007F12FA" w:rsidRPr="00E45CAC" w:rsidRDefault="009221A9" w:rsidP="00D9764C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Dr.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Békés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Ádám</w:t>
            </w:r>
            <w:proofErr w:type="spellEnd"/>
          </w:p>
        </w:tc>
      </w:tr>
      <w:tr w:rsidR="007F12FA" w:rsidRPr="00F46DDF" w:rsidTr="00655DC1">
        <w:trPr>
          <w:cantSplit/>
        </w:trPr>
        <w:tc>
          <w:tcPr>
            <w:tcW w:w="2764" w:type="dxa"/>
            <w:shd w:val="clear" w:color="auto" w:fill="D6E3BC" w:themeFill="accent3" w:themeFillTint="66"/>
            <w:vAlign w:val="center"/>
          </w:tcPr>
          <w:p w:rsidR="007F12FA" w:rsidRPr="00F46DDF" w:rsidRDefault="00C87EFA" w:rsidP="00D9764C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  <w:r w:rsidRPr="00F46DDF">
              <w:rPr>
                <w:rFonts w:asciiTheme="minorHAnsi" w:hAnsiTheme="minorHAnsi" w:cstheme="minorHAnsi"/>
                <w:b/>
                <w:lang w:val="en-GB"/>
              </w:rPr>
              <w:lastRenderedPageBreak/>
              <w:t>Aim of the course</w:t>
            </w:r>
            <w:r w:rsidR="007F12FA" w:rsidRPr="00F46DDF">
              <w:rPr>
                <w:rFonts w:asciiTheme="minorHAnsi" w:hAnsiTheme="minorHAnsi" w:cstheme="minorHAnsi"/>
                <w:b/>
                <w:lang w:val="en-GB"/>
              </w:rPr>
              <w:t>:</w:t>
            </w:r>
            <w:r w:rsidR="007F12FA" w:rsidRPr="00F46DDF">
              <w:rPr>
                <w:rStyle w:val="Lbjegyzet-hivatkozs"/>
                <w:rFonts w:asciiTheme="minorHAnsi" w:hAnsiTheme="minorHAnsi" w:cstheme="minorHAnsi"/>
                <w:b/>
                <w:lang w:val="en-GB"/>
              </w:rPr>
              <w:footnoteReference w:id="18"/>
            </w:r>
          </w:p>
        </w:tc>
        <w:tc>
          <w:tcPr>
            <w:tcW w:w="7087" w:type="dxa"/>
            <w:gridSpan w:val="3"/>
            <w:vAlign w:val="center"/>
          </w:tcPr>
          <w:p w:rsidR="009221A9" w:rsidRPr="00B2746D" w:rsidRDefault="009221A9" w:rsidP="009221A9">
            <w:pPr>
              <w:jc w:val="both"/>
              <w:rPr>
                <w:bCs/>
                <w:lang w:val="en-US"/>
              </w:rPr>
            </w:pPr>
            <w:r w:rsidRPr="00B2746D">
              <w:rPr>
                <w:bCs/>
                <w:lang w:val="en-US"/>
              </w:rPr>
              <w:t>Case law of the European Court of Human Rights in relation with criminal law</w:t>
            </w:r>
          </w:p>
          <w:p w:rsidR="00700EEE" w:rsidRDefault="00700EEE" w:rsidP="00700EEE">
            <w:pPr>
              <w:jc w:val="both"/>
            </w:pPr>
          </w:p>
          <w:p w:rsidR="00655DC1" w:rsidRPr="00E45CAC" w:rsidRDefault="00655DC1" w:rsidP="00655D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5DC1" w:rsidRPr="00E45CAC" w:rsidRDefault="00655DC1" w:rsidP="00655DC1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</w:tc>
      </w:tr>
      <w:tr w:rsidR="007F12FA" w:rsidRPr="00F46DDF" w:rsidTr="00655DC1">
        <w:trPr>
          <w:cantSplit/>
        </w:trPr>
        <w:tc>
          <w:tcPr>
            <w:tcW w:w="2764" w:type="dxa"/>
            <w:shd w:val="clear" w:color="auto" w:fill="D6E3BC" w:themeFill="accent3" w:themeFillTint="66"/>
            <w:vAlign w:val="center"/>
          </w:tcPr>
          <w:p w:rsidR="007F12FA" w:rsidRPr="00F46DDF" w:rsidRDefault="00C87EFA" w:rsidP="00D9764C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  <w:r w:rsidRPr="00F46DDF">
              <w:rPr>
                <w:rFonts w:asciiTheme="minorHAnsi" w:hAnsiTheme="minorHAnsi" w:cstheme="minorHAnsi"/>
                <w:b/>
                <w:lang w:val="en-GB"/>
              </w:rPr>
              <w:t>Outline of the course</w:t>
            </w:r>
            <w:r w:rsidR="007F12FA" w:rsidRPr="00F46DDF">
              <w:rPr>
                <w:rFonts w:asciiTheme="minorHAnsi" w:hAnsiTheme="minorHAnsi" w:cstheme="minorHAnsi"/>
                <w:b/>
                <w:lang w:val="en-GB"/>
              </w:rPr>
              <w:t>:</w:t>
            </w:r>
            <w:r w:rsidR="007F12FA" w:rsidRPr="00F46DDF">
              <w:rPr>
                <w:rStyle w:val="Lbjegyzet-hivatkozs"/>
                <w:rFonts w:asciiTheme="minorHAnsi" w:hAnsiTheme="minorHAnsi" w:cstheme="minorHAnsi"/>
                <w:b/>
                <w:lang w:val="en-GB"/>
              </w:rPr>
              <w:footnoteReference w:id="19"/>
            </w:r>
          </w:p>
        </w:tc>
        <w:tc>
          <w:tcPr>
            <w:tcW w:w="7087" w:type="dxa"/>
            <w:gridSpan w:val="3"/>
            <w:vAlign w:val="center"/>
          </w:tcPr>
          <w:p w:rsidR="009221A9" w:rsidRPr="00B2746D" w:rsidRDefault="009221A9" w:rsidP="009221A9">
            <w:pPr>
              <w:jc w:val="both"/>
              <w:rPr>
                <w:lang w:val="en-US"/>
              </w:rPr>
            </w:pPr>
            <w:r w:rsidRPr="00B2746D">
              <w:rPr>
                <w:lang w:val="en-US"/>
              </w:rPr>
              <w:t xml:space="preserve">Through its case law, the European Court of Human Rights laid down </w:t>
            </w:r>
            <w:r>
              <w:rPr>
                <w:lang w:val="en-US"/>
              </w:rPr>
              <w:t>several</w:t>
            </w:r>
            <w:r w:rsidRPr="00B2746D">
              <w:rPr>
                <w:lang w:val="en-US"/>
              </w:rPr>
              <w:t xml:space="preserve"> milestones in the field of criminal law and criminal procedural law. The case law</w:t>
            </w:r>
            <w:r>
              <w:rPr>
                <w:lang w:val="en-US"/>
              </w:rPr>
              <w:t xml:space="preserve"> – </w:t>
            </w:r>
            <w:r w:rsidRPr="00B2746D">
              <w:rPr>
                <w:lang w:val="en-US"/>
              </w:rPr>
              <w:t xml:space="preserve">developing over </w:t>
            </w:r>
            <w:r>
              <w:rPr>
                <w:lang w:val="en-US"/>
              </w:rPr>
              <w:t xml:space="preserve">the </w:t>
            </w:r>
            <w:r w:rsidRPr="00B2746D">
              <w:rPr>
                <w:lang w:val="en-US"/>
              </w:rPr>
              <w:t xml:space="preserve">decades </w:t>
            </w:r>
            <w:r>
              <w:rPr>
                <w:lang w:val="en-US"/>
              </w:rPr>
              <w:t xml:space="preserve">– </w:t>
            </w:r>
            <w:r w:rsidRPr="00B2746D">
              <w:rPr>
                <w:lang w:val="en-US"/>
              </w:rPr>
              <w:t xml:space="preserve">has contributed significantly to the continuous development of the principles of criminal law and the guarantee system of criminal procedural law. The results of these developments </w:t>
            </w:r>
            <w:r>
              <w:rPr>
                <w:lang w:val="en-US"/>
              </w:rPr>
              <w:t>can be found i</w:t>
            </w:r>
            <w:r w:rsidRPr="00B2746D">
              <w:rPr>
                <w:lang w:val="en-US"/>
              </w:rPr>
              <w:t xml:space="preserve">n the new </w:t>
            </w:r>
            <w:r>
              <w:rPr>
                <w:lang w:val="en-US"/>
              </w:rPr>
              <w:t>Act on C</w:t>
            </w:r>
            <w:r w:rsidRPr="00B2746D">
              <w:rPr>
                <w:lang w:val="en-US"/>
              </w:rPr>
              <w:t xml:space="preserve">riminal </w:t>
            </w:r>
            <w:r>
              <w:rPr>
                <w:lang w:val="en-US"/>
              </w:rPr>
              <w:t>Proceedings</w:t>
            </w:r>
            <w:r w:rsidRPr="00B2746D">
              <w:rPr>
                <w:lang w:val="en-US"/>
              </w:rPr>
              <w:t xml:space="preserve"> and in the </w:t>
            </w:r>
            <w:r>
              <w:rPr>
                <w:lang w:val="en-US"/>
              </w:rPr>
              <w:t>Criminal</w:t>
            </w:r>
            <w:r w:rsidRPr="00B2746D">
              <w:rPr>
                <w:lang w:val="en-US"/>
              </w:rPr>
              <w:t xml:space="preserve"> Code</w:t>
            </w:r>
            <w:r>
              <w:rPr>
                <w:lang w:val="en-US"/>
              </w:rPr>
              <w:t xml:space="preserve"> of the Hungarian legislation too</w:t>
            </w:r>
            <w:r w:rsidRPr="00B2746D">
              <w:rPr>
                <w:lang w:val="en-US"/>
              </w:rPr>
              <w:t xml:space="preserve">. The aim of this course is to present the content of these relevant articles that </w:t>
            </w:r>
            <w:r>
              <w:rPr>
                <w:lang w:val="en-US"/>
              </w:rPr>
              <w:t>were</w:t>
            </w:r>
            <w:r w:rsidRPr="00B2746D">
              <w:rPr>
                <w:lang w:val="en-US"/>
              </w:rPr>
              <w:t xml:space="preserve"> developed through case law.</w:t>
            </w:r>
          </w:p>
          <w:p w:rsidR="009221A9" w:rsidRPr="00B2746D" w:rsidRDefault="009221A9" w:rsidP="009221A9">
            <w:pPr>
              <w:jc w:val="both"/>
              <w:rPr>
                <w:lang w:val="en-US"/>
              </w:rPr>
            </w:pPr>
          </w:p>
          <w:p w:rsidR="009221A9" w:rsidRPr="00B2746D" w:rsidRDefault="009221A9" w:rsidP="009221A9">
            <w:pPr>
              <w:jc w:val="both"/>
              <w:rPr>
                <w:lang w:val="en-US"/>
              </w:rPr>
            </w:pPr>
            <w:r w:rsidRPr="00B2746D">
              <w:rPr>
                <w:lang w:val="en-US"/>
              </w:rPr>
              <w:t xml:space="preserve">Given that the European Convention on Human Rights builds on precedents, it is essential to solve legal issues. Therefore, students occasionally will receive topic related cases for joint processing and </w:t>
            </w:r>
            <w:r>
              <w:rPr>
                <w:lang w:val="en-US"/>
              </w:rPr>
              <w:t>finding their legal solution</w:t>
            </w:r>
            <w:r w:rsidRPr="00B2746D">
              <w:rPr>
                <w:lang w:val="en-US"/>
              </w:rPr>
              <w:t>.</w:t>
            </w:r>
          </w:p>
          <w:p w:rsidR="009221A9" w:rsidRPr="00B2746D" w:rsidRDefault="009221A9" w:rsidP="009221A9">
            <w:pPr>
              <w:jc w:val="both"/>
              <w:rPr>
                <w:lang w:val="en-US"/>
              </w:rPr>
            </w:pPr>
          </w:p>
          <w:p w:rsidR="009221A9" w:rsidRPr="00B2746D" w:rsidRDefault="009221A9" w:rsidP="009221A9">
            <w:pPr>
              <w:jc w:val="both"/>
              <w:rPr>
                <w:b/>
                <w:lang w:val="en-US"/>
              </w:rPr>
            </w:pPr>
            <w:r w:rsidRPr="00B2746D">
              <w:rPr>
                <w:b/>
                <w:lang w:val="en-US"/>
              </w:rPr>
              <w:t>Planned topics:</w:t>
            </w:r>
          </w:p>
          <w:p w:rsidR="009221A9" w:rsidRPr="00B2746D" w:rsidRDefault="009221A9" w:rsidP="009221A9">
            <w:pPr>
              <w:jc w:val="both"/>
              <w:rPr>
                <w:bCs/>
                <w:lang w:val="en-US"/>
              </w:rPr>
            </w:pPr>
            <w:r w:rsidRPr="00B2746D">
              <w:rPr>
                <w:bCs/>
                <w:lang w:val="en-US"/>
              </w:rPr>
              <w:t>Operations of the European Court of Human Rights</w:t>
            </w:r>
            <w:r>
              <w:rPr>
                <w:bCs/>
                <w:lang w:val="en-US"/>
              </w:rPr>
              <w:t>;</w:t>
            </w:r>
            <w:r w:rsidRPr="00B2746D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R</w:t>
            </w:r>
            <w:r w:rsidRPr="00B2746D">
              <w:rPr>
                <w:bCs/>
                <w:lang w:val="en-US"/>
              </w:rPr>
              <w:t>ules of its procedure</w:t>
            </w:r>
          </w:p>
          <w:p w:rsidR="009221A9" w:rsidRPr="00B2746D" w:rsidRDefault="009221A9" w:rsidP="009221A9">
            <w:pPr>
              <w:jc w:val="both"/>
              <w:rPr>
                <w:lang w:val="en-US"/>
              </w:rPr>
            </w:pPr>
            <w:r w:rsidRPr="00B2746D">
              <w:rPr>
                <w:lang w:val="en-US"/>
              </w:rPr>
              <w:t>Relationship among the European Court of Human Rights, the European Convention on Human Rights, the European Union and its Luxembourg-based Court</w:t>
            </w:r>
          </w:p>
          <w:p w:rsidR="009221A9" w:rsidRPr="00B2746D" w:rsidRDefault="009221A9" w:rsidP="009221A9">
            <w:pPr>
              <w:jc w:val="both"/>
              <w:rPr>
                <w:lang w:val="en-US"/>
              </w:rPr>
            </w:pPr>
            <w:r w:rsidRPr="00B2746D">
              <w:rPr>
                <w:lang w:val="en-US"/>
              </w:rPr>
              <w:t>Article 2: Right to life</w:t>
            </w:r>
          </w:p>
          <w:p w:rsidR="009221A9" w:rsidRPr="00B2746D" w:rsidRDefault="009221A9" w:rsidP="009221A9">
            <w:pPr>
              <w:jc w:val="both"/>
              <w:rPr>
                <w:lang w:val="en-US"/>
              </w:rPr>
            </w:pPr>
            <w:r w:rsidRPr="00B2746D">
              <w:rPr>
                <w:lang w:val="en-US"/>
              </w:rPr>
              <w:t>Article 3: Prohibition of torture</w:t>
            </w:r>
          </w:p>
          <w:p w:rsidR="009221A9" w:rsidRPr="00B2746D" w:rsidRDefault="009221A9" w:rsidP="009221A9">
            <w:pPr>
              <w:jc w:val="both"/>
              <w:rPr>
                <w:lang w:val="en-US"/>
              </w:rPr>
            </w:pPr>
            <w:r w:rsidRPr="00B2746D">
              <w:rPr>
                <w:lang w:val="en-US"/>
              </w:rPr>
              <w:t>Article 5: Right to liberty and security</w:t>
            </w:r>
          </w:p>
          <w:p w:rsidR="009221A9" w:rsidRPr="00B2746D" w:rsidRDefault="009221A9" w:rsidP="009221A9">
            <w:pPr>
              <w:jc w:val="both"/>
              <w:rPr>
                <w:lang w:val="en-US"/>
              </w:rPr>
            </w:pPr>
            <w:r w:rsidRPr="00B2746D">
              <w:rPr>
                <w:lang w:val="en-US"/>
              </w:rPr>
              <w:t>Article 6: Right to a fair trial</w:t>
            </w:r>
          </w:p>
          <w:p w:rsidR="009221A9" w:rsidRPr="00B2746D" w:rsidRDefault="009221A9" w:rsidP="009221A9">
            <w:pPr>
              <w:jc w:val="both"/>
              <w:rPr>
                <w:lang w:val="en-US"/>
              </w:rPr>
            </w:pPr>
            <w:r w:rsidRPr="00B2746D">
              <w:rPr>
                <w:lang w:val="en-US"/>
              </w:rPr>
              <w:t>Article 7: No punishment without law</w:t>
            </w:r>
          </w:p>
          <w:p w:rsidR="009221A9" w:rsidRPr="00B2746D" w:rsidRDefault="009221A9" w:rsidP="009221A9">
            <w:pPr>
              <w:jc w:val="both"/>
              <w:rPr>
                <w:lang w:val="en-US"/>
              </w:rPr>
            </w:pPr>
            <w:r w:rsidRPr="00B2746D">
              <w:rPr>
                <w:lang w:val="en-US"/>
              </w:rPr>
              <w:t>Article 10: Freedom of expression</w:t>
            </w:r>
          </w:p>
          <w:p w:rsidR="007F12FA" w:rsidRPr="00E45CAC" w:rsidRDefault="007F12FA" w:rsidP="009221A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F12FA" w:rsidRPr="00F46DDF" w:rsidTr="00655DC1">
        <w:trPr>
          <w:cantSplit/>
        </w:trPr>
        <w:tc>
          <w:tcPr>
            <w:tcW w:w="2764" w:type="dxa"/>
            <w:shd w:val="clear" w:color="auto" w:fill="D6E3BC" w:themeFill="accent3" w:themeFillTint="66"/>
            <w:vAlign w:val="center"/>
          </w:tcPr>
          <w:p w:rsidR="007F12FA" w:rsidRPr="00F46DDF" w:rsidRDefault="00F46DDF" w:rsidP="00D9764C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  <w:r w:rsidRPr="00F46DDF">
              <w:rPr>
                <w:rFonts w:asciiTheme="minorHAnsi" w:hAnsiTheme="minorHAnsi" w:cstheme="minorHAnsi"/>
                <w:b/>
                <w:lang w:val="en-GB"/>
              </w:rPr>
              <w:t>Testing</w:t>
            </w:r>
            <w:r w:rsidR="00C87EFA" w:rsidRPr="00F46DDF">
              <w:rPr>
                <w:rFonts w:asciiTheme="minorHAnsi" w:hAnsiTheme="minorHAnsi" w:cstheme="minorHAnsi"/>
                <w:b/>
                <w:lang w:val="en-GB"/>
              </w:rPr>
              <w:t xml:space="preserve"> and evaluation</w:t>
            </w:r>
            <w:r w:rsidR="007F12FA" w:rsidRPr="00F46DDF">
              <w:rPr>
                <w:rFonts w:asciiTheme="minorHAnsi" w:hAnsiTheme="minorHAnsi" w:cstheme="minorHAnsi"/>
                <w:b/>
                <w:lang w:val="en-GB"/>
              </w:rPr>
              <w:t>:</w:t>
            </w:r>
            <w:r w:rsidR="007F12FA" w:rsidRPr="00F46DDF">
              <w:rPr>
                <w:rStyle w:val="Lbjegyzet-hivatkozs"/>
                <w:rFonts w:asciiTheme="minorHAnsi" w:hAnsiTheme="minorHAnsi" w:cstheme="minorHAnsi"/>
                <w:b/>
                <w:lang w:val="en-GB"/>
              </w:rPr>
              <w:footnoteReference w:id="20"/>
            </w:r>
          </w:p>
        </w:tc>
        <w:tc>
          <w:tcPr>
            <w:tcW w:w="7087" w:type="dxa"/>
            <w:gridSpan w:val="3"/>
            <w:vAlign w:val="center"/>
          </w:tcPr>
          <w:p w:rsidR="00437049" w:rsidRPr="00B2746D" w:rsidRDefault="00437049" w:rsidP="00437049">
            <w:pPr>
              <w:jc w:val="both"/>
              <w:rPr>
                <w:lang w:val="en-US"/>
              </w:rPr>
            </w:pPr>
            <w:r w:rsidRPr="00B2746D">
              <w:rPr>
                <w:lang w:val="en-US"/>
              </w:rPr>
              <w:t>Attendance and active participation in the lectures and holding an oral presentation.</w:t>
            </w:r>
          </w:p>
          <w:p w:rsidR="00437049" w:rsidRPr="00B2746D" w:rsidRDefault="00437049" w:rsidP="00437049">
            <w:pPr>
              <w:jc w:val="both"/>
              <w:rPr>
                <w:lang w:val="en-US"/>
              </w:rPr>
            </w:pPr>
            <w:r w:rsidRPr="00B2746D">
              <w:rPr>
                <w:lang w:val="en-US"/>
              </w:rPr>
              <w:t xml:space="preserve">Criminal law 1. </w:t>
            </w:r>
            <w:proofErr w:type="gramStart"/>
            <w:r w:rsidRPr="00B2746D">
              <w:rPr>
                <w:lang w:val="en-US"/>
              </w:rPr>
              <w:t>and</w:t>
            </w:r>
            <w:proofErr w:type="gramEnd"/>
            <w:r w:rsidRPr="00B2746D">
              <w:rPr>
                <w:lang w:val="en-US"/>
              </w:rPr>
              <w:t xml:space="preserve"> Criminal law 2.</w:t>
            </w:r>
          </w:p>
          <w:p w:rsidR="00437049" w:rsidRDefault="00437049" w:rsidP="00437049"/>
          <w:p w:rsidR="00437049" w:rsidRDefault="00437049" w:rsidP="00437049">
            <w:proofErr w:type="spellStart"/>
            <w:r>
              <w:t>Three-scale</w:t>
            </w:r>
            <w:proofErr w:type="spellEnd"/>
            <w:r>
              <w:t xml:space="preserve"> </w:t>
            </w:r>
            <w:proofErr w:type="spellStart"/>
            <w:r>
              <w:t>grade</w:t>
            </w:r>
            <w:proofErr w:type="spellEnd"/>
            <w:r>
              <w:t xml:space="preserve">: </w:t>
            </w:r>
            <w:proofErr w:type="spellStart"/>
            <w:r>
              <w:t>evaluation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three-scale</w:t>
            </w:r>
            <w:proofErr w:type="spellEnd"/>
            <w:r>
              <w:t xml:space="preserve"> </w:t>
            </w:r>
            <w:proofErr w:type="spellStart"/>
            <w:r>
              <w:t>grading</w:t>
            </w:r>
            <w:proofErr w:type="spellEnd"/>
            <w:r>
              <w:t xml:space="preserve"> </w:t>
            </w:r>
            <w:proofErr w:type="spellStart"/>
            <w:r>
              <w:t>scheme</w:t>
            </w:r>
            <w:proofErr w:type="spellEnd"/>
            <w:r>
              <w:t xml:space="preserve">: </w:t>
            </w:r>
            <w:proofErr w:type="spellStart"/>
            <w:r>
              <w:t>excellent</w:t>
            </w:r>
            <w:proofErr w:type="spellEnd"/>
            <w:r>
              <w:t xml:space="preserve"> (5), </w:t>
            </w:r>
            <w:proofErr w:type="spellStart"/>
            <w:r>
              <w:t>satisfactory</w:t>
            </w:r>
            <w:proofErr w:type="spellEnd"/>
            <w:r>
              <w:t xml:space="preserve"> (3), </w:t>
            </w:r>
            <w:proofErr w:type="spellStart"/>
            <w:r>
              <w:t>fail</w:t>
            </w:r>
            <w:proofErr w:type="spellEnd"/>
            <w:r>
              <w:t xml:space="preserve"> (1)</w:t>
            </w:r>
          </w:p>
          <w:p w:rsidR="007F12FA" w:rsidRPr="00E45CAC" w:rsidRDefault="007F12FA" w:rsidP="00D9764C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F12FA" w:rsidRPr="00F46DDF" w:rsidTr="00655DC1">
        <w:trPr>
          <w:cantSplit/>
        </w:trPr>
        <w:tc>
          <w:tcPr>
            <w:tcW w:w="2764" w:type="dxa"/>
            <w:shd w:val="clear" w:color="auto" w:fill="D6E3BC" w:themeFill="accent3" w:themeFillTint="66"/>
            <w:vAlign w:val="center"/>
          </w:tcPr>
          <w:p w:rsidR="007F12FA" w:rsidRPr="00F46DDF" w:rsidRDefault="00F46DDF" w:rsidP="00D9764C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  <w:r w:rsidRPr="00F46DDF">
              <w:rPr>
                <w:rFonts w:asciiTheme="minorHAnsi" w:hAnsiTheme="minorHAnsi" w:cstheme="minorHAnsi"/>
                <w:b/>
                <w:lang w:val="en-GB"/>
              </w:rPr>
              <w:lastRenderedPageBreak/>
              <w:t>Course materials</w:t>
            </w:r>
            <w:r w:rsidR="007F12FA" w:rsidRPr="00F46DDF">
              <w:rPr>
                <w:rFonts w:asciiTheme="minorHAnsi" w:hAnsiTheme="minorHAnsi" w:cstheme="minorHAnsi"/>
                <w:b/>
                <w:lang w:val="en-GB"/>
              </w:rPr>
              <w:t>:</w:t>
            </w:r>
            <w:r w:rsidR="007F12FA" w:rsidRPr="00F46DDF">
              <w:rPr>
                <w:rStyle w:val="Lbjegyzet-hivatkozs"/>
                <w:rFonts w:asciiTheme="minorHAnsi" w:hAnsiTheme="minorHAnsi" w:cstheme="minorHAnsi"/>
                <w:b/>
                <w:lang w:val="en-GB"/>
              </w:rPr>
              <w:footnoteReference w:id="21"/>
            </w:r>
          </w:p>
        </w:tc>
        <w:tc>
          <w:tcPr>
            <w:tcW w:w="7087" w:type="dxa"/>
            <w:gridSpan w:val="3"/>
            <w:vAlign w:val="center"/>
          </w:tcPr>
          <w:p w:rsidR="00437049" w:rsidRDefault="00437049" w:rsidP="00437049">
            <w:pPr>
              <w:jc w:val="both"/>
            </w:pPr>
            <w:proofErr w:type="spellStart"/>
            <w:r w:rsidRPr="00C73BA9">
              <w:t>Delmas-Marty</w:t>
            </w:r>
            <w:proofErr w:type="spellEnd"/>
            <w:r w:rsidRPr="006F19B4">
              <w:t xml:space="preserve">, </w:t>
            </w:r>
            <w:proofErr w:type="spellStart"/>
            <w:r w:rsidRPr="006F19B4">
              <w:t>Mireille</w:t>
            </w:r>
            <w:proofErr w:type="spellEnd"/>
            <w:r w:rsidRPr="006F19B4">
              <w:t xml:space="preserve"> and </w:t>
            </w:r>
            <w:r w:rsidRPr="00C73BA9">
              <w:t>Spencer,</w:t>
            </w:r>
            <w:r w:rsidRPr="006F19B4">
              <w:t xml:space="preserve"> J</w:t>
            </w:r>
            <w:proofErr w:type="gramStart"/>
            <w:r w:rsidRPr="006F19B4">
              <w:t>.R</w:t>
            </w:r>
            <w:proofErr w:type="gramEnd"/>
            <w:r w:rsidRPr="006F19B4">
              <w:t xml:space="preserve">.: </w:t>
            </w:r>
            <w:hyperlink r:id="rId9" w:tgtFrame="_blank" w:history="1">
              <w:r w:rsidRPr="00C73BA9">
                <w:t xml:space="preserve">European </w:t>
              </w:r>
              <w:proofErr w:type="spellStart"/>
              <w:r w:rsidRPr="00C73BA9">
                <w:t>Criminal</w:t>
              </w:r>
              <w:proofErr w:type="spellEnd"/>
              <w:r w:rsidRPr="00C73BA9">
                <w:t xml:space="preserve"> </w:t>
              </w:r>
              <w:proofErr w:type="spellStart"/>
              <w:r w:rsidRPr="00C73BA9">
                <w:t>Procedures</w:t>
              </w:r>
              <w:proofErr w:type="spellEnd"/>
              <w:r w:rsidRPr="00C73BA9">
                <w:t>. Cambridge University Press, 2006 </w:t>
              </w:r>
            </w:hyperlink>
            <w:r w:rsidRPr="00C73BA9">
              <w:t xml:space="preserve"> </w:t>
            </w:r>
          </w:p>
          <w:p w:rsidR="00437049" w:rsidRDefault="00437049" w:rsidP="00437049">
            <w:pPr>
              <w:jc w:val="both"/>
            </w:pPr>
          </w:p>
          <w:p w:rsidR="00437049" w:rsidRPr="00C73BA9" w:rsidRDefault="00437049" w:rsidP="00437049">
            <w:pPr>
              <w:jc w:val="both"/>
            </w:pPr>
            <w:proofErr w:type="spellStart"/>
            <w:r>
              <w:t>Jeremy</w:t>
            </w:r>
            <w:proofErr w:type="spellEnd"/>
            <w:r>
              <w:t xml:space="preserve"> </w:t>
            </w:r>
            <w:proofErr w:type="spellStart"/>
            <w:r>
              <w:t>McBride</w:t>
            </w:r>
            <w:proofErr w:type="spellEnd"/>
            <w:r>
              <w:t xml:space="preserve">, Human </w:t>
            </w:r>
            <w:proofErr w:type="spellStart"/>
            <w:r>
              <w:t>rights</w:t>
            </w:r>
            <w:proofErr w:type="spellEnd"/>
            <w:r>
              <w:t xml:space="preserve"> and </w:t>
            </w:r>
            <w:proofErr w:type="spellStart"/>
            <w:r>
              <w:t>criminal</w:t>
            </w:r>
            <w:proofErr w:type="spellEnd"/>
            <w:r>
              <w:t xml:space="preserve"> </w:t>
            </w:r>
            <w:proofErr w:type="spellStart"/>
            <w:r>
              <w:t>procedure</w:t>
            </w:r>
            <w:proofErr w:type="spellEnd"/>
            <w:r>
              <w:t xml:space="preserve">, </w:t>
            </w:r>
            <w:proofErr w:type="spellStart"/>
            <w:r>
              <w:t>Council</w:t>
            </w:r>
            <w:proofErr w:type="spellEnd"/>
            <w:r>
              <w:t xml:space="preserve"> of Europe Publishing, 2009</w:t>
            </w:r>
          </w:p>
          <w:p w:rsidR="00437049" w:rsidRDefault="00437049" w:rsidP="00437049">
            <w:pPr>
              <w:jc w:val="both"/>
            </w:pPr>
          </w:p>
          <w:p w:rsidR="00437049" w:rsidRDefault="00437049" w:rsidP="00437049">
            <w:pPr>
              <w:jc w:val="both"/>
            </w:pPr>
            <w:proofErr w:type="spellStart"/>
            <w:r w:rsidRPr="00F427C2">
              <w:t>Dovydas</w:t>
            </w:r>
            <w:proofErr w:type="spellEnd"/>
            <w:r w:rsidRPr="00F427C2">
              <w:t xml:space="preserve"> </w:t>
            </w:r>
            <w:proofErr w:type="spellStart"/>
            <w:r w:rsidRPr="00F427C2">
              <w:t>Vitkauskas</w:t>
            </w:r>
            <w:proofErr w:type="spellEnd"/>
            <w:r w:rsidRPr="00F427C2">
              <w:t xml:space="preserve">, </w:t>
            </w:r>
            <w:proofErr w:type="spellStart"/>
            <w:r w:rsidRPr="00F427C2">
              <w:t>Grigoriy</w:t>
            </w:r>
            <w:proofErr w:type="spellEnd"/>
            <w:r w:rsidRPr="00F427C2">
              <w:t xml:space="preserve"> </w:t>
            </w:r>
            <w:proofErr w:type="spellStart"/>
            <w:r w:rsidRPr="00F427C2">
              <w:t>Dikov</w:t>
            </w:r>
            <w:proofErr w:type="spellEnd"/>
            <w:r w:rsidRPr="00F427C2">
              <w:t xml:space="preserve">: </w:t>
            </w:r>
            <w:proofErr w:type="spellStart"/>
            <w:r w:rsidRPr="00F427C2">
              <w:t>Protecting</w:t>
            </w:r>
            <w:proofErr w:type="spellEnd"/>
            <w:r w:rsidRPr="00F427C2">
              <w:t xml:space="preserve"> </w:t>
            </w:r>
            <w:proofErr w:type="spellStart"/>
            <w:r w:rsidRPr="00F427C2">
              <w:t>the</w:t>
            </w:r>
            <w:proofErr w:type="spellEnd"/>
            <w:r w:rsidRPr="00F427C2">
              <w:t xml:space="preserve"> </w:t>
            </w:r>
            <w:proofErr w:type="spellStart"/>
            <w:r w:rsidRPr="00F427C2">
              <w:t>right</w:t>
            </w:r>
            <w:proofErr w:type="spellEnd"/>
            <w:r w:rsidRPr="00F427C2">
              <w:t xml:space="preserve"> </w:t>
            </w:r>
            <w:proofErr w:type="spellStart"/>
            <w:r w:rsidRPr="00F427C2">
              <w:t>to</w:t>
            </w:r>
            <w:proofErr w:type="spellEnd"/>
            <w:r w:rsidRPr="00F427C2">
              <w:t xml:space="preserve"> a fair </w:t>
            </w:r>
            <w:proofErr w:type="spellStart"/>
            <w:r w:rsidRPr="00F427C2">
              <w:t>trial</w:t>
            </w:r>
            <w:proofErr w:type="spellEnd"/>
            <w:r w:rsidRPr="00F427C2">
              <w:t xml:space="preserve"> </w:t>
            </w:r>
            <w:proofErr w:type="spellStart"/>
            <w:r w:rsidRPr="00F427C2">
              <w:t>under</w:t>
            </w:r>
            <w:proofErr w:type="spellEnd"/>
            <w:r w:rsidRPr="00F427C2">
              <w:t xml:space="preserve"> </w:t>
            </w:r>
            <w:proofErr w:type="spellStart"/>
            <w:r w:rsidRPr="00F427C2">
              <w:t>the</w:t>
            </w:r>
            <w:proofErr w:type="spellEnd"/>
            <w:r w:rsidRPr="00F427C2">
              <w:t xml:space="preserve"> European </w:t>
            </w:r>
            <w:proofErr w:type="spellStart"/>
            <w:r w:rsidRPr="00F427C2">
              <w:t>Convention</w:t>
            </w:r>
            <w:proofErr w:type="spellEnd"/>
            <w:r w:rsidRPr="00F427C2">
              <w:t xml:space="preserve"> </w:t>
            </w:r>
            <w:proofErr w:type="spellStart"/>
            <w:r w:rsidRPr="00F427C2">
              <w:t>on</w:t>
            </w:r>
            <w:proofErr w:type="spellEnd"/>
            <w:r w:rsidRPr="00F427C2">
              <w:t xml:space="preserve"> Human </w:t>
            </w:r>
            <w:proofErr w:type="spellStart"/>
            <w:r w:rsidRPr="00F427C2">
              <w:t>Rights</w:t>
            </w:r>
            <w:proofErr w:type="spellEnd"/>
            <w:r w:rsidRPr="00F427C2">
              <w:t xml:space="preserve">, </w:t>
            </w:r>
            <w:proofErr w:type="spellStart"/>
            <w:r w:rsidRPr="00F427C2">
              <w:t>Council</w:t>
            </w:r>
            <w:proofErr w:type="spellEnd"/>
            <w:r w:rsidRPr="00F427C2">
              <w:t xml:space="preserve"> of Europe Publishing, 2012</w:t>
            </w:r>
          </w:p>
          <w:p w:rsidR="00437049" w:rsidRDefault="00437049" w:rsidP="00437049">
            <w:pPr>
              <w:jc w:val="both"/>
            </w:pPr>
          </w:p>
          <w:p w:rsidR="007F12FA" w:rsidRPr="00E45CAC" w:rsidRDefault="00437049" w:rsidP="00437049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t>Monica</w:t>
            </w:r>
            <w:proofErr w:type="spellEnd"/>
            <w:r>
              <w:t xml:space="preserve"> </w:t>
            </w:r>
            <w:proofErr w:type="spellStart"/>
            <w:r>
              <w:t>Macovei</w:t>
            </w:r>
            <w:proofErr w:type="spellEnd"/>
            <w:r>
              <w:t xml:space="preserve">, </w:t>
            </w:r>
            <w:r w:rsidRPr="00F427C2">
              <w:t xml:space="preserve">A </w:t>
            </w:r>
            <w:proofErr w:type="spellStart"/>
            <w:r w:rsidRPr="00F427C2">
              <w:t>guide</w:t>
            </w:r>
            <w:proofErr w:type="spellEnd"/>
            <w:r w:rsidRPr="00F427C2">
              <w:t xml:space="preserve"> </w:t>
            </w:r>
            <w:proofErr w:type="spellStart"/>
            <w:r w:rsidRPr="00F427C2">
              <w:t>to</w:t>
            </w:r>
            <w:proofErr w:type="spellEnd"/>
            <w:r w:rsidRPr="00F427C2">
              <w:t xml:space="preserve"> </w:t>
            </w:r>
            <w:proofErr w:type="spellStart"/>
            <w:r w:rsidRPr="00F427C2">
              <w:t>the</w:t>
            </w:r>
            <w:proofErr w:type="spellEnd"/>
            <w:r w:rsidRPr="00F427C2">
              <w:t xml:space="preserve"> </w:t>
            </w:r>
            <w:proofErr w:type="spellStart"/>
            <w:r w:rsidRPr="00F427C2">
              <w:t>implementation</w:t>
            </w:r>
            <w:proofErr w:type="spellEnd"/>
            <w:r w:rsidRPr="00F427C2">
              <w:t xml:space="preserve"> of </w:t>
            </w:r>
            <w:proofErr w:type="spellStart"/>
            <w:r w:rsidRPr="00F427C2">
              <w:t>Article</w:t>
            </w:r>
            <w:proofErr w:type="spellEnd"/>
            <w:r w:rsidRPr="00F427C2">
              <w:t xml:space="preserve"> 5 of </w:t>
            </w:r>
            <w:proofErr w:type="spellStart"/>
            <w:r w:rsidRPr="00F427C2">
              <w:t>the</w:t>
            </w:r>
            <w:proofErr w:type="spellEnd"/>
            <w:r w:rsidRPr="00F427C2">
              <w:t xml:space="preserve"> European </w:t>
            </w:r>
            <w:proofErr w:type="spellStart"/>
            <w:r w:rsidRPr="00F427C2">
              <w:t>Convention</w:t>
            </w:r>
            <w:proofErr w:type="spellEnd"/>
            <w:r w:rsidRPr="00F427C2">
              <w:t xml:space="preserve"> </w:t>
            </w:r>
            <w:proofErr w:type="spellStart"/>
            <w:r w:rsidRPr="00F427C2">
              <w:t>on</w:t>
            </w:r>
            <w:proofErr w:type="spellEnd"/>
            <w:r w:rsidRPr="00F427C2">
              <w:t xml:space="preserve"> Human </w:t>
            </w:r>
            <w:proofErr w:type="spellStart"/>
            <w:r w:rsidRPr="00F427C2">
              <w:t>Rights</w:t>
            </w:r>
            <w:proofErr w:type="spellEnd"/>
            <w:r w:rsidRPr="00F427C2">
              <w:t xml:space="preserve">, Human </w:t>
            </w:r>
            <w:proofErr w:type="spellStart"/>
            <w:r w:rsidRPr="00F427C2">
              <w:t>rights</w:t>
            </w:r>
            <w:proofErr w:type="spellEnd"/>
            <w:r w:rsidRPr="00F427C2">
              <w:t xml:space="preserve"> </w:t>
            </w:r>
            <w:proofErr w:type="spellStart"/>
            <w:r w:rsidRPr="00F427C2">
              <w:t>handbooks</w:t>
            </w:r>
            <w:proofErr w:type="spellEnd"/>
            <w:r w:rsidRPr="00F427C2">
              <w:t>, No. 5</w:t>
            </w:r>
          </w:p>
        </w:tc>
      </w:tr>
    </w:tbl>
    <w:p w:rsidR="007F12FA" w:rsidRPr="00F46DDF" w:rsidRDefault="007F12FA" w:rsidP="00A90A8D">
      <w:pPr>
        <w:jc w:val="both"/>
        <w:rPr>
          <w:rFonts w:asciiTheme="minorHAnsi" w:hAnsiTheme="minorHAnsi" w:cstheme="minorHAnsi"/>
          <w:lang w:val="en-GB"/>
        </w:rPr>
      </w:pPr>
    </w:p>
    <w:sectPr w:rsidR="007F12FA" w:rsidRPr="00F46DDF" w:rsidSect="00655D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8B2" w:rsidRDefault="00E668B2" w:rsidP="00791B0A">
      <w:r>
        <w:separator/>
      </w:r>
    </w:p>
  </w:endnote>
  <w:endnote w:type="continuationSeparator" w:id="0">
    <w:p w:rsidR="00E668B2" w:rsidRDefault="00E668B2" w:rsidP="0079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8B2" w:rsidRDefault="00E668B2" w:rsidP="00791B0A">
      <w:r>
        <w:separator/>
      </w:r>
    </w:p>
  </w:footnote>
  <w:footnote w:type="continuationSeparator" w:id="0">
    <w:p w:rsidR="00E668B2" w:rsidRDefault="00E668B2" w:rsidP="00791B0A">
      <w:r>
        <w:continuationSeparator/>
      </w:r>
    </w:p>
  </w:footnote>
  <w:footnote w:id="1">
    <w:p w:rsidR="0075351E" w:rsidRPr="00F46DDF" w:rsidRDefault="0075351E" w:rsidP="007F12FA">
      <w:pPr>
        <w:pStyle w:val="Lbjegyzetszveg"/>
        <w:jc w:val="both"/>
        <w:rPr>
          <w:rFonts w:asciiTheme="minorHAnsi" w:hAnsiTheme="minorHAnsi" w:cstheme="minorHAnsi"/>
        </w:rPr>
      </w:pPr>
      <w:r w:rsidRPr="00F46DDF">
        <w:rPr>
          <w:rStyle w:val="Lbjegyzet-hivatkozs"/>
          <w:rFonts w:asciiTheme="minorHAnsi" w:hAnsiTheme="minorHAnsi" w:cstheme="minorHAnsi"/>
        </w:rPr>
        <w:footnoteRef/>
      </w:r>
      <w:r w:rsidRPr="00F46DDF">
        <w:rPr>
          <w:rFonts w:asciiTheme="minorHAnsi" w:hAnsiTheme="minorHAnsi" w:cstheme="minorHAnsi"/>
        </w:rPr>
        <w:t xml:space="preserve"> </w:t>
      </w:r>
      <w:r w:rsidR="00330CBF">
        <w:rPr>
          <w:rFonts w:asciiTheme="minorHAnsi" w:hAnsiTheme="minorHAnsi" w:cstheme="minorHAnsi"/>
          <w:b/>
        </w:rPr>
        <w:t>Szint</w:t>
      </w:r>
      <w:r w:rsidRPr="00F46DDF">
        <w:rPr>
          <w:rFonts w:asciiTheme="minorHAnsi" w:hAnsiTheme="minorHAnsi" w:cstheme="minorHAnsi"/>
          <w:b/>
        </w:rPr>
        <w:t>:</w:t>
      </w:r>
      <w:r w:rsidRPr="00F46DDF">
        <w:rPr>
          <w:rFonts w:asciiTheme="minorHAnsi" w:hAnsiTheme="minorHAnsi" w:cstheme="minorHAnsi"/>
        </w:rPr>
        <w:t xml:space="preserve"> </w:t>
      </w:r>
      <w:r w:rsidR="00330CBF">
        <w:rPr>
          <w:rFonts w:asciiTheme="minorHAnsi" w:hAnsiTheme="minorHAnsi" w:cstheme="minorHAnsi"/>
        </w:rPr>
        <w:t>1-10: amely félévhez a tárgy a mintatanterv szerint tartozik, vagy amelyen hallgatása egyébként ajánlott</w:t>
      </w:r>
      <w:r w:rsidRPr="00F46DDF">
        <w:rPr>
          <w:rFonts w:asciiTheme="minorHAnsi" w:hAnsiTheme="minorHAnsi" w:cstheme="minorHAnsi"/>
        </w:rPr>
        <w:t>.</w:t>
      </w:r>
    </w:p>
  </w:footnote>
  <w:footnote w:id="2">
    <w:p w:rsidR="0075351E" w:rsidRPr="00F46DDF" w:rsidRDefault="0075351E" w:rsidP="007F12FA">
      <w:pPr>
        <w:pStyle w:val="Lbjegyzetszveg"/>
        <w:jc w:val="both"/>
        <w:rPr>
          <w:rFonts w:asciiTheme="minorHAnsi" w:hAnsiTheme="minorHAnsi" w:cstheme="minorHAnsi"/>
        </w:rPr>
      </w:pPr>
      <w:r w:rsidRPr="00F46DDF">
        <w:rPr>
          <w:rStyle w:val="Lbjegyzet-hivatkozs"/>
          <w:rFonts w:asciiTheme="minorHAnsi" w:hAnsiTheme="minorHAnsi" w:cstheme="minorHAnsi"/>
        </w:rPr>
        <w:footnoteRef/>
      </w:r>
      <w:r w:rsidRPr="00F46DDF">
        <w:rPr>
          <w:rFonts w:asciiTheme="minorHAnsi" w:hAnsiTheme="minorHAnsi" w:cstheme="minorHAnsi"/>
        </w:rPr>
        <w:t xml:space="preserve"> </w:t>
      </w:r>
      <w:r w:rsidRPr="00F46DDF">
        <w:rPr>
          <w:rFonts w:asciiTheme="minorHAnsi" w:hAnsiTheme="minorHAnsi" w:cstheme="minorHAnsi"/>
          <w:b/>
        </w:rPr>
        <w:t>Előfeltételt</w:t>
      </w:r>
      <w:r w:rsidRPr="00F46DDF">
        <w:rPr>
          <w:rFonts w:asciiTheme="minorHAnsi" w:hAnsiTheme="minorHAnsi" w:cstheme="minorHAnsi"/>
        </w:rPr>
        <w:t xml:space="preserve"> meghatározni opcionális. Megadható például előfeltételként valamely tárgy előhallgatása vagy párhuzamos hallgatása; minimális kreditszám. Az erre vonatkozó szűrőt a Tanulmányi Osztály tudja beállítani.</w:t>
      </w:r>
    </w:p>
  </w:footnote>
  <w:footnote w:id="3">
    <w:p w:rsidR="00186AF4" w:rsidRPr="00F46DDF" w:rsidRDefault="00186AF4" w:rsidP="007F12FA">
      <w:pPr>
        <w:pStyle w:val="Lbjegyzetszveg"/>
        <w:jc w:val="both"/>
        <w:rPr>
          <w:rFonts w:asciiTheme="minorHAnsi" w:hAnsiTheme="minorHAnsi" w:cstheme="minorHAnsi"/>
        </w:rPr>
      </w:pPr>
      <w:r w:rsidRPr="00F46DDF">
        <w:rPr>
          <w:rStyle w:val="Lbjegyzet-hivatkozs"/>
          <w:rFonts w:asciiTheme="minorHAnsi" w:hAnsiTheme="minorHAnsi" w:cstheme="minorHAnsi"/>
        </w:rPr>
        <w:footnoteRef/>
      </w:r>
      <w:r w:rsidRPr="00F46DDF">
        <w:rPr>
          <w:rFonts w:asciiTheme="minorHAnsi" w:hAnsiTheme="minorHAnsi" w:cstheme="minorHAnsi"/>
        </w:rPr>
        <w:t xml:space="preserve"> </w:t>
      </w:r>
      <w:r w:rsidR="0075351E" w:rsidRPr="00F46DDF">
        <w:rPr>
          <w:rFonts w:asciiTheme="minorHAnsi" w:hAnsiTheme="minorHAnsi" w:cstheme="minorHAnsi"/>
          <w:b/>
        </w:rPr>
        <w:t>Követelmény típus:</w:t>
      </w:r>
      <w:r w:rsidR="0075351E" w:rsidRPr="00F46DDF">
        <w:rPr>
          <w:rFonts w:asciiTheme="minorHAnsi" w:hAnsiTheme="minorHAnsi" w:cstheme="minorHAnsi"/>
        </w:rPr>
        <w:t xml:space="preserve"> k</w:t>
      </w:r>
      <w:r w:rsidRPr="00F46DDF">
        <w:rPr>
          <w:rFonts w:asciiTheme="minorHAnsi" w:hAnsiTheme="minorHAnsi" w:cstheme="minorHAnsi"/>
        </w:rPr>
        <w:t>ötelezően választhatónál „Évközi jegy” (ötfokozatú)”, szabadon választhatónál „Beszámoló (háromfokozatú)”.</w:t>
      </w:r>
    </w:p>
  </w:footnote>
  <w:footnote w:id="4">
    <w:p w:rsidR="0075351E" w:rsidRPr="00F46DDF" w:rsidRDefault="0075351E" w:rsidP="007F12FA">
      <w:pPr>
        <w:pStyle w:val="Lbjegyzetszveg"/>
        <w:jc w:val="both"/>
        <w:rPr>
          <w:rFonts w:asciiTheme="minorHAnsi" w:hAnsiTheme="minorHAnsi" w:cstheme="minorHAnsi"/>
        </w:rPr>
      </w:pPr>
      <w:r w:rsidRPr="00F46DDF">
        <w:rPr>
          <w:rStyle w:val="Lbjegyzet-hivatkozs"/>
          <w:rFonts w:asciiTheme="minorHAnsi" w:hAnsiTheme="minorHAnsi" w:cstheme="minorHAnsi"/>
        </w:rPr>
        <w:footnoteRef/>
      </w:r>
      <w:r w:rsidRPr="00F46DDF">
        <w:rPr>
          <w:rFonts w:asciiTheme="minorHAnsi" w:hAnsiTheme="minorHAnsi" w:cstheme="minorHAnsi"/>
        </w:rPr>
        <w:t xml:space="preserve"> </w:t>
      </w:r>
      <w:r w:rsidRPr="00F46DDF">
        <w:rPr>
          <w:rFonts w:asciiTheme="minorHAnsi" w:hAnsiTheme="minorHAnsi" w:cstheme="minorHAnsi"/>
          <w:b/>
        </w:rPr>
        <w:t>Óraszám:</w:t>
      </w:r>
      <w:r w:rsidRPr="00F46DDF">
        <w:rPr>
          <w:rFonts w:asciiTheme="minorHAnsi" w:hAnsiTheme="minorHAnsi" w:cstheme="minorHAnsi"/>
        </w:rPr>
        <w:t xml:space="preserve"> kötelezően választhatónál nappalin 2 óra/hét, levelezőn 3 óra/félév. Szabadon választhatónál nappalin 2 óra/hét, levelezőn 2 óra/félév.</w:t>
      </w:r>
    </w:p>
  </w:footnote>
  <w:footnote w:id="5">
    <w:p w:rsidR="0075351E" w:rsidRPr="00F46DDF" w:rsidRDefault="0075351E" w:rsidP="007F12FA">
      <w:pPr>
        <w:pStyle w:val="Lbjegyzetszveg"/>
        <w:jc w:val="both"/>
        <w:rPr>
          <w:rFonts w:asciiTheme="minorHAnsi" w:hAnsiTheme="minorHAnsi" w:cstheme="minorHAnsi"/>
        </w:rPr>
      </w:pPr>
      <w:r w:rsidRPr="00F46DDF">
        <w:rPr>
          <w:rStyle w:val="Lbjegyzet-hivatkozs"/>
          <w:rFonts w:asciiTheme="minorHAnsi" w:hAnsiTheme="minorHAnsi" w:cstheme="minorHAnsi"/>
        </w:rPr>
        <w:footnoteRef/>
      </w:r>
      <w:r w:rsidRPr="00F46DDF">
        <w:rPr>
          <w:rFonts w:asciiTheme="minorHAnsi" w:hAnsiTheme="minorHAnsi" w:cstheme="minorHAnsi"/>
        </w:rPr>
        <w:t xml:space="preserve"> </w:t>
      </w:r>
      <w:r w:rsidRPr="00F46DDF">
        <w:rPr>
          <w:rFonts w:asciiTheme="minorHAnsi" w:hAnsiTheme="minorHAnsi" w:cstheme="minorHAnsi"/>
          <w:b/>
        </w:rPr>
        <w:t>Óratípus:</w:t>
      </w:r>
      <w:r w:rsidRPr="00F46DDF">
        <w:rPr>
          <w:rFonts w:asciiTheme="minorHAnsi" w:hAnsiTheme="minorHAnsi" w:cstheme="minorHAnsi"/>
        </w:rPr>
        <w:t xml:space="preserve"> kötelezően választhatónál „Előadás”, szabadon választhatónál „Gyakorlat”.</w:t>
      </w:r>
    </w:p>
  </w:footnote>
  <w:footnote w:id="6">
    <w:p w:rsidR="00186AF4" w:rsidRPr="00F46DDF" w:rsidRDefault="00186AF4" w:rsidP="007F12FA">
      <w:pPr>
        <w:pStyle w:val="Lbjegyzetszveg"/>
        <w:jc w:val="both"/>
        <w:rPr>
          <w:rFonts w:asciiTheme="minorHAnsi" w:hAnsiTheme="minorHAnsi" w:cstheme="minorHAnsi"/>
        </w:rPr>
      </w:pPr>
      <w:r w:rsidRPr="00F46DDF">
        <w:rPr>
          <w:rStyle w:val="Lbjegyzet-hivatkozs"/>
          <w:rFonts w:asciiTheme="minorHAnsi" w:hAnsiTheme="minorHAnsi" w:cstheme="minorHAnsi"/>
        </w:rPr>
        <w:footnoteRef/>
      </w:r>
      <w:r w:rsidR="0075351E" w:rsidRPr="00F46DDF">
        <w:rPr>
          <w:rFonts w:asciiTheme="minorHAnsi" w:hAnsiTheme="minorHAnsi" w:cstheme="minorHAnsi"/>
        </w:rPr>
        <w:t xml:space="preserve"> </w:t>
      </w:r>
      <w:r w:rsidR="0075351E" w:rsidRPr="00F46DDF">
        <w:rPr>
          <w:rFonts w:asciiTheme="minorHAnsi" w:hAnsiTheme="minorHAnsi" w:cstheme="minorHAnsi"/>
          <w:b/>
        </w:rPr>
        <w:t>Kredit:</w:t>
      </w:r>
      <w:r w:rsidR="0075351E" w:rsidRPr="00F46DDF">
        <w:rPr>
          <w:rFonts w:asciiTheme="minorHAnsi" w:hAnsiTheme="minorHAnsi" w:cstheme="minorHAnsi"/>
        </w:rPr>
        <w:t xml:space="preserve"> k</w:t>
      </w:r>
      <w:r w:rsidRPr="00F46DDF">
        <w:rPr>
          <w:rFonts w:asciiTheme="minorHAnsi" w:hAnsiTheme="minorHAnsi" w:cstheme="minorHAnsi"/>
        </w:rPr>
        <w:t>ötelezően és szabadon választhatóknál egyaránt 2 kredit.</w:t>
      </w:r>
    </w:p>
  </w:footnote>
  <w:footnote w:id="7">
    <w:p w:rsidR="00186AF4" w:rsidRPr="00F46DDF" w:rsidRDefault="00186AF4" w:rsidP="007F12FA">
      <w:pPr>
        <w:pStyle w:val="Lbjegyzetszveg"/>
        <w:jc w:val="both"/>
        <w:rPr>
          <w:rFonts w:asciiTheme="minorHAnsi" w:hAnsiTheme="minorHAnsi" w:cstheme="minorHAnsi"/>
        </w:rPr>
      </w:pPr>
      <w:r w:rsidRPr="00F46DDF">
        <w:rPr>
          <w:rStyle w:val="Lbjegyzet-hivatkozs"/>
          <w:rFonts w:asciiTheme="minorHAnsi" w:hAnsiTheme="minorHAnsi" w:cstheme="minorHAnsi"/>
        </w:rPr>
        <w:footnoteRef/>
      </w:r>
      <w:r w:rsidR="0075351E" w:rsidRPr="00F46DDF">
        <w:rPr>
          <w:rFonts w:asciiTheme="minorHAnsi" w:hAnsiTheme="minorHAnsi" w:cstheme="minorHAnsi"/>
        </w:rPr>
        <w:t xml:space="preserve"> </w:t>
      </w:r>
      <w:r w:rsidR="0075351E" w:rsidRPr="00F46DDF">
        <w:rPr>
          <w:rFonts w:asciiTheme="minorHAnsi" w:hAnsiTheme="minorHAnsi" w:cstheme="minorHAnsi"/>
          <w:b/>
        </w:rPr>
        <w:t>Felelős szervezet neve:</w:t>
      </w:r>
      <w:r w:rsidR="0075351E" w:rsidRPr="00F46DDF">
        <w:rPr>
          <w:rFonts w:asciiTheme="minorHAnsi" w:hAnsiTheme="minorHAnsi" w:cstheme="minorHAnsi"/>
        </w:rPr>
        <w:t xml:space="preserve"> konkrét t</w:t>
      </w:r>
      <w:r w:rsidRPr="00F46DDF">
        <w:rPr>
          <w:rFonts w:asciiTheme="minorHAnsi" w:hAnsiTheme="minorHAnsi" w:cstheme="minorHAnsi"/>
        </w:rPr>
        <w:t>anszék, intézet, stb.</w:t>
      </w:r>
    </w:p>
  </w:footnote>
  <w:footnote w:id="8">
    <w:p w:rsidR="0075351E" w:rsidRPr="00F46DDF" w:rsidRDefault="0075351E" w:rsidP="007F12FA">
      <w:pPr>
        <w:jc w:val="both"/>
        <w:rPr>
          <w:rFonts w:asciiTheme="minorHAnsi" w:hAnsiTheme="minorHAnsi" w:cstheme="minorHAnsi"/>
          <w:sz w:val="20"/>
          <w:szCs w:val="20"/>
        </w:rPr>
      </w:pPr>
      <w:r w:rsidRPr="00F46DDF">
        <w:rPr>
          <w:rStyle w:val="Lbjegyzet-hivatkozs"/>
          <w:rFonts w:asciiTheme="minorHAnsi" w:hAnsiTheme="minorHAnsi" w:cstheme="minorHAnsi"/>
          <w:sz w:val="20"/>
          <w:szCs w:val="20"/>
        </w:rPr>
        <w:footnoteRef/>
      </w:r>
      <w:r w:rsidRPr="00F46DDF">
        <w:rPr>
          <w:rFonts w:asciiTheme="minorHAnsi" w:hAnsiTheme="minorHAnsi" w:cstheme="minorHAnsi"/>
          <w:sz w:val="20"/>
          <w:szCs w:val="20"/>
        </w:rPr>
        <w:t xml:space="preserve"> </w:t>
      </w:r>
      <w:r w:rsidRPr="00F46DDF">
        <w:rPr>
          <w:rFonts w:asciiTheme="minorHAnsi" w:hAnsiTheme="minorHAnsi" w:cstheme="minorHAnsi"/>
          <w:b/>
          <w:sz w:val="20"/>
          <w:szCs w:val="20"/>
        </w:rPr>
        <w:t>Oktatás célja</w:t>
      </w:r>
      <w:r w:rsidR="00F52125" w:rsidRPr="00F46DDF">
        <w:rPr>
          <w:rFonts w:asciiTheme="minorHAnsi" w:hAnsiTheme="minorHAnsi" w:cstheme="minorHAnsi"/>
          <w:sz w:val="20"/>
          <w:szCs w:val="20"/>
        </w:rPr>
        <w:t xml:space="preserve"> (kellően alapos kifejtéssel)</w:t>
      </w:r>
      <w:r w:rsidRPr="00F46DDF">
        <w:rPr>
          <w:rFonts w:asciiTheme="minorHAnsi" w:hAnsiTheme="minorHAnsi" w:cstheme="minorHAnsi"/>
          <w:sz w:val="20"/>
          <w:szCs w:val="20"/>
        </w:rPr>
        <w:t xml:space="preserve">: a </w:t>
      </w:r>
      <w:r w:rsidRPr="00F46DDF">
        <w:rPr>
          <w:rFonts w:asciiTheme="minorHAnsi" w:hAnsiTheme="minorHAnsi" w:cstheme="minorHAnsi"/>
          <w:b/>
          <w:sz w:val="20"/>
          <w:szCs w:val="20"/>
        </w:rPr>
        <w:t>képzési és kimeneti követelményhez</w:t>
      </w:r>
      <w:r w:rsidR="00F52125" w:rsidRPr="00F46DDF">
        <w:rPr>
          <w:rFonts w:asciiTheme="minorHAnsi" w:hAnsiTheme="minorHAnsi" w:cstheme="minorHAnsi"/>
          <w:b/>
          <w:sz w:val="20"/>
          <w:szCs w:val="20"/>
        </w:rPr>
        <w:t xml:space="preserve"> (KKK)</w:t>
      </w:r>
      <w:r w:rsidRPr="00F46DDF">
        <w:rPr>
          <w:rFonts w:asciiTheme="minorHAnsi" w:hAnsiTheme="minorHAnsi" w:cstheme="minorHAnsi"/>
          <w:b/>
          <w:sz w:val="20"/>
          <w:szCs w:val="20"/>
        </w:rPr>
        <w:t xml:space="preserve"> igazodva</w:t>
      </w:r>
      <w:r w:rsidRPr="00F46DDF">
        <w:rPr>
          <w:rFonts w:asciiTheme="minorHAnsi" w:hAnsiTheme="minorHAnsi" w:cstheme="minorHAnsi"/>
          <w:sz w:val="20"/>
          <w:szCs w:val="20"/>
        </w:rPr>
        <w:t xml:space="preserve">, így pl. jogász osztatlan szakon a </w:t>
      </w:r>
      <w:r w:rsidRPr="00F46DDF">
        <w:rPr>
          <w:rFonts w:asciiTheme="minorHAnsi" w:hAnsiTheme="minorHAnsi" w:cstheme="minorHAnsi"/>
          <w:i/>
          <w:sz w:val="20"/>
          <w:szCs w:val="20"/>
        </w:rPr>
        <w:t>18/2016. (VIII. 5.) EMMI rendelet</w:t>
      </w:r>
      <w:r w:rsidRPr="00F46DDF">
        <w:rPr>
          <w:rFonts w:asciiTheme="minorHAnsi" w:hAnsiTheme="minorHAnsi" w:cstheme="minorHAnsi"/>
          <w:sz w:val="20"/>
          <w:szCs w:val="20"/>
        </w:rPr>
        <w:t xml:space="preserve"> 4. melléklet V./2. </w:t>
      </w:r>
      <w:proofErr w:type="gramStart"/>
      <w:r w:rsidRPr="00F46DDF">
        <w:rPr>
          <w:rFonts w:asciiTheme="minorHAnsi" w:hAnsiTheme="minorHAnsi" w:cstheme="minorHAnsi"/>
          <w:sz w:val="20"/>
          <w:szCs w:val="20"/>
        </w:rPr>
        <w:t>fejezet</w:t>
      </w:r>
      <w:proofErr w:type="gramEnd"/>
      <w:r w:rsidRPr="00F46DDF">
        <w:rPr>
          <w:rFonts w:asciiTheme="minorHAnsi" w:hAnsiTheme="minorHAnsi" w:cstheme="minorHAnsi"/>
          <w:sz w:val="20"/>
          <w:szCs w:val="20"/>
        </w:rPr>
        <w:t xml:space="preserve"> 7.1.1. pontban felsorolt </w:t>
      </w:r>
      <w:r w:rsidR="00F52125" w:rsidRPr="00F46DDF">
        <w:rPr>
          <w:rFonts w:asciiTheme="minorHAnsi" w:hAnsiTheme="minorHAnsi" w:cstheme="minorHAnsi"/>
          <w:sz w:val="20"/>
          <w:szCs w:val="20"/>
        </w:rPr>
        <w:t>tudás-, képesség-, attitűd-, autonómia- és felelősségelemek közül melyek átadásához, fejlesztéséhez járul hozzá az adott tárgy és hogyan. Itt kell megadni azt is, hogy a KKK 8.1.1. pontjában meghatározott kategóriák közül leginkább melyikbe tartozik az adott tárgy (társadalomtudományi alapismeretek, jogász szakterület-specifikus szakmai ismeretek, az alapvető szakmai ismeretekhez kapcsolódó választható ismeretkörök, stb.).</w:t>
      </w:r>
    </w:p>
  </w:footnote>
  <w:footnote w:id="9">
    <w:p w:rsidR="00F52125" w:rsidRPr="00F46DDF" w:rsidRDefault="00F52125" w:rsidP="007F12FA">
      <w:pPr>
        <w:pStyle w:val="Lbjegyzetszveg"/>
        <w:jc w:val="both"/>
        <w:rPr>
          <w:rFonts w:asciiTheme="minorHAnsi" w:hAnsiTheme="minorHAnsi" w:cstheme="minorHAnsi"/>
        </w:rPr>
      </w:pPr>
      <w:r w:rsidRPr="00F46DDF">
        <w:rPr>
          <w:rStyle w:val="Lbjegyzet-hivatkozs"/>
          <w:rFonts w:asciiTheme="minorHAnsi" w:hAnsiTheme="minorHAnsi" w:cstheme="minorHAnsi"/>
        </w:rPr>
        <w:footnoteRef/>
      </w:r>
      <w:r w:rsidRPr="00F46DDF">
        <w:rPr>
          <w:rFonts w:asciiTheme="minorHAnsi" w:hAnsiTheme="minorHAnsi" w:cstheme="minorHAnsi"/>
        </w:rPr>
        <w:t xml:space="preserve"> </w:t>
      </w:r>
      <w:r w:rsidRPr="00F46DDF">
        <w:rPr>
          <w:rFonts w:asciiTheme="minorHAnsi" w:hAnsiTheme="minorHAnsi" w:cstheme="minorHAnsi"/>
          <w:b/>
        </w:rPr>
        <w:t>Tantárgy tartalma:</w:t>
      </w:r>
      <w:r w:rsidRPr="00F46DDF">
        <w:rPr>
          <w:rFonts w:asciiTheme="minorHAnsi" w:hAnsiTheme="minorHAnsi" w:cstheme="minorHAnsi"/>
        </w:rPr>
        <w:t xml:space="preserve"> itt kell megadni mintegy 10-12 pontban a tantárgy tematikáját (tematikus elemeit).</w:t>
      </w:r>
      <w:r w:rsidR="00330CBF">
        <w:rPr>
          <w:rFonts w:asciiTheme="minorHAnsi" w:hAnsiTheme="minorHAnsi" w:cstheme="minorHAnsi"/>
        </w:rPr>
        <w:t xml:space="preserve"> Ne</w:t>
      </w:r>
      <w:r w:rsidR="00720C83">
        <w:rPr>
          <w:rFonts w:asciiTheme="minorHAnsi" w:hAnsiTheme="minorHAnsi" w:cstheme="minorHAnsi"/>
        </w:rPr>
        <w:t>m</w:t>
      </w:r>
      <w:r w:rsidR="00330CBF">
        <w:rPr>
          <w:rFonts w:asciiTheme="minorHAnsi" w:hAnsiTheme="minorHAnsi" w:cstheme="minorHAnsi"/>
        </w:rPr>
        <w:t xml:space="preserve"> dátum szerint </w:t>
      </w:r>
      <w:r w:rsidR="00720C83">
        <w:rPr>
          <w:rFonts w:asciiTheme="minorHAnsi" w:hAnsiTheme="minorHAnsi" w:cstheme="minorHAnsi"/>
        </w:rPr>
        <w:t>kell</w:t>
      </w:r>
      <w:r w:rsidR="00330CBF">
        <w:rPr>
          <w:rFonts w:asciiTheme="minorHAnsi" w:hAnsiTheme="minorHAnsi" w:cstheme="minorHAnsi"/>
        </w:rPr>
        <w:t xml:space="preserve"> meg</w:t>
      </w:r>
      <w:r w:rsidR="00720C83">
        <w:rPr>
          <w:rFonts w:asciiTheme="minorHAnsi" w:hAnsiTheme="minorHAnsi" w:cstheme="minorHAnsi"/>
        </w:rPr>
        <w:t>adni</w:t>
      </w:r>
      <w:r w:rsidR="00330CBF">
        <w:rPr>
          <w:rFonts w:asciiTheme="minorHAnsi" w:hAnsiTheme="minorHAnsi" w:cstheme="minorHAnsi"/>
        </w:rPr>
        <w:t xml:space="preserve">, hanem </w:t>
      </w:r>
      <w:proofErr w:type="spellStart"/>
      <w:r w:rsidR="00330CBF">
        <w:rPr>
          <w:rFonts w:asciiTheme="minorHAnsi" w:hAnsiTheme="minorHAnsi" w:cstheme="minorHAnsi"/>
        </w:rPr>
        <w:t>sorszámozva</w:t>
      </w:r>
      <w:proofErr w:type="spellEnd"/>
      <w:r w:rsidR="00330CBF">
        <w:rPr>
          <w:rFonts w:asciiTheme="minorHAnsi" w:hAnsiTheme="minorHAnsi" w:cstheme="minorHAnsi"/>
        </w:rPr>
        <w:t>!</w:t>
      </w:r>
    </w:p>
  </w:footnote>
  <w:footnote w:id="10">
    <w:p w:rsidR="007F12FA" w:rsidRPr="00F46DDF" w:rsidRDefault="007F12FA" w:rsidP="007F12FA">
      <w:pPr>
        <w:pStyle w:val="Lbjegyzetszveg"/>
        <w:jc w:val="both"/>
        <w:rPr>
          <w:rFonts w:asciiTheme="minorHAnsi" w:hAnsiTheme="minorHAnsi" w:cstheme="minorHAnsi"/>
        </w:rPr>
      </w:pPr>
      <w:r w:rsidRPr="00F46DDF">
        <w:rPr>
          <w:rStyle w:val="Lbjegyzet-hivatkozs"/>
          <w:rFonts w:asciiTheme="minorHAnsi" w:hAnsiTheme="minorHAnsi" w:cstheme="minorHAnsi"/>
        </w:rPr>
        <w:footnoteRef/>
      </w:r>
      <w:r w:rsidRPr="00F46DDF">
        <w:rPr>
          <w:rFonts w:asciiTheme="minorHAnsi" w:hAnsiTheme="minorHAnsi" w:cstheme="minorHAnsi"/>
        </w:rPr>
        <w:t xml:space="preserve"> </w:t>
      </w:r>
      <w:r w:rsidRPr="00F46DDF">
        <w:rPr>
          <w:rFonts w:asciiTheme="minorHAnsi" w:hAnsiTheme="minorHAnsi" w:cstheme="minorHAnsi"/>
          <w:b/>
        </w:rPr>
        <w:t>Számonkérési és értékelési rendszere:</w:t>
      </w:r>
      <w:r w:rsidRPr="00F46DDF">
        <w:rPr>
          <w:rFonts w:asciiTheme="minorHAnsi" w:hAnsiTheme="minorHAnsi" w:cstheme="minorHAnsi"/>
        </w:rPr>
        <w:t xml:space="preserve"> a fentebb meghatározott követelmény típuson túl itt kell részletezni, hogy miként történik a számonkérés. </w:t>
      </w:r>
      <w:r w:rsidR="00590B54">
        <w:rPr>
          <w:rFonts w:asciiTheme="minorHAnsi" w:hAnsiTheme="minorHAnsi" w:cstheme="minorHAnsi"/>
        </w:rPr>
        <w:t xml:space="preserve">Írásbeli, szóbeli vagy kombinált vizsga? </w:t>
      </w:r>
      <w:r w:rsidRPr="00F46DDF">
        <w:rPr>
          <w:rFonts w:asciiTheme="minorHAnsi" w:hAnsiTheme="minorHAnsi" w:cstheme="minorHAnsi"/>
        </w:rPr>
        <w:t>Milyen félévközi tanulmányi követelmény van (pl. házi dolgozat, prezentáció)</w:t>
      </w:r>
      <w:r w:rsidR="00590B54">
        <w:rPr>
          <w:rFonts w:asciiTheme="minorHAnsi" w:hAnsiTheme="minorHAnsi" w:cstheme="minorHAnsi"/>
        </w:rPr>
        <w:t>? M</w:t>
      </w:r>
      <w:r w:rsidRPr="00F46DDF">
        <w:rPr>
          <w:rFonts w:asciiTheme="minorHAnsi" w:hAnsiTheme="minorHAnsi" w:cstheme="minorHAnsi"/>
        </w:rPr>
        <w:t>eghatározott számú hiányzáshoz kapcsolódik-e szankció és milyen (pl. aláírás megtagadása, plusz feladat), s a minősítést mire kapja a hallgató, esetleg milyen részminősítésekből tevődik az össze</w:t>
      </w:r>
      <w:r w:rsidR="00590B54">
        <w:rPr>
          <w:rFonts w:asciiTheme="minorHAnsi" w:hAnsiTheme="minorHAnsi" w:cstheme="minorHAnsi"/>
        </w:rPr>
        <w:t>?</w:t>
      </w:r>
      <w:r w:rsidRPr="00F46DDF">
        <w:rPr>
          <w:rFonts w:asciiTheme="minorHAnsi" w:hAnsiTheme="minorHAnsi" w:cstheme="minorHAnsi"/>
        </w:rPr>
        <w:t xml:space="preserve"> [Vö. </w:t>
      </w:r>
      <w:proofErr w:type="spellStart"/>
      <w:r w:rsidRPr="00F46DDF">
        <w:rPr>
          <w:rFonts w:asciiTheme="minorHAnsi" w:hAnsiTheme="minorHAnsi" w:cstheme="minorHAnsi"/>
        </w:rPr>
        <w:t>TVSz</w:t>
      </w:r>
      <w:proofErr w:type="spellEnd"/>
      <w:r w:rsidRPr="00F46DDF">
        <w:rPr>
          <w:rFonts w:asciiTheme="minorHAnsi" w:hAnsiTheme="minorHAnsi" w:cstheme="minorHAnsi"/>
        </w:rPr>
        <w:t xml:space="preserve"> 33. § (4) </w:t>
      </w:r>
      <w:proofErr w:type="spellStart"/>
      <w:r w:rsidRPr="00F46DDF">
        <w:rPr>
          <w:rFonts w:asciiTheme="minorHAnsi" w:hAnsiTheme="minorHAnsi" w:cstheme="minorHAnsi"/>
        </w:rPr>
        <w:t>bek</w:t>
      </w:r>
      <w:proofErr w:type="spellEnd"/>
      <w:r w:rsidRPr="00F46DDF">
        <w:rPr>
          <w:rFonts w:asciiTheme="minorHAnsi" w:hAnsiTheme="minorHAnsi" w:cstheme="minorHAnsi"/>
        </w:rPr>
        <w:t>.].</w:t>
      </w:r>
    </w:p>
  </w:footnote>
  <w:footnote w:id="11">
    <w:p w:rsidR="007F12FA" w:rsidRPr="00F46DDF" w:rsidRDefault="007F12FA" w:rsidP="007F12FA">
      <w:pPr>
        <w:pStyle w:val="Lbjegyzetszveg"/>
        <w:jc w:val="both"/>
        <w:rPr>
          <w:rFonts w:asciiTheme="minorHAnsi" w:hAnsiTheme="minorHAnsi" w:cstheme="minorHAnsi"/>
        </w:rPr>
      </w:pPr>
      <w:r w:rsidRPr="00F46DDF">
        <w:rPr>
          <w:rStyle w:val="Lbjegyzet-hivatkozs"/>
          <w:rFonts w:asciiTheme="minorHAnsi" w:hAnsiTheme="minorHAnsi" w:cstheme="minorHAnsi"/>
        </w:rPr>
        <w:footnoteRef/>
      </w:r>
      <w:r w:rsidRPr="00F46DDF">
        <w:rPr>
          <w:rFonts w:asciiTheme="minorHAnsi" w:hAnsiTheme="minorHAnsi" w:cstheme="minorHAnsi"/>
        </w:rPr>
        <w:t xml:space="preserve"> </w:t>
      </w:r>
      <w:r w:rsidRPr="00F46DDF">
        <w:rPr>
          <w:rFonts w:asciiTheme="minorHAnsi" w:hAnsiTheme="minorHAnsi" w:cstheme="minorHAnsi"/>
          <w:b/>
        </w:rPr>
        <w:t>Irodalom:</w:t>
      </w:r>
      <w:r w:rsidRPr="00F46DDF">
        <w:rPr>
          <w:rFonts w:asciiTheme="minorHAnsi" w:hAnsiTheme="minorHAnsi" w:cstheme="minorHAnsi"/>
        </w:rPr>
        <w:t xml:space="preserve"> itt kell meghatározni a tananyagot, a kötelező és (opcionálisan) az ajánlott irodalmat. Érdemes utalni arra is, hogy az előadásokon elhangzottak is a kötelező tananyag részét képezik.</w:t>
      </w:r>
    </w:p>
  </w:footnote>
  <w:footnote w:id="12">
    <w:p w:rsidR="007F12FA" w:rsidRPr="00F46DDF" w:rsidRDefault="007F12FA" w:rsidP="007F12FA">
      <w:pPr>
        <w:pStyle w:val="Lbjegyzetszveg"/>
        <w:jc w:val="both"/>
        <w:rPr>
          <w:rFonts w:asciiTheme="minorHAnsi" w:hAnsiTheme="minorHAnsi" w:cstheme="minorHAnsi"/>
          <w:lang w:val="en-GB"/>
        </w:rPr>
      </w:pPr>
      <w:r w:rsidRPr="00F46DDF">
        <w:rPr>
          <w:rStyle w:val="Lbjegyzet-hivatkozs"/>
          <w:rFonts w:asciiTheme="minorHAnsi" w:hAnsiTheme="minorHAnsi" w:cstheme="minorHAnsi"/>
          <w:lang w:val="en-GB"/>
        </w:rPr>
        <w:footnoteRef/>
      </w:r>
      <w:r w:rsidRPr="00F46DDF">
        <w:rPr>
          <w:rFonts w:asciiTheme="minorHAnsi" w:hAnsiTheme="minorHAnsi" w:cstheme="minorHAnsi"/>
          <w:lang w:val="en-GB"/>
        </w:rPr>
        <w:t xml:space="preserve"> </w:t>
      </w:r>
      <w:r w:rsidR="00330CBF">
        <w:rPr>
          <w:rFonts w:asciiTheme="minorHAnsi" w:hAnsiTheme="minorHAnsi" w:cstheme="minorHAnsi"/>
          <w:b/>
          <w:lang w:val="en-GB"/>
        </w:rPr>
        <w:t>Level</w:t>
      </w:r>
      <w:r w:rsidRPr="00F46DDF">
        <w:rPr>
          <w:rFonts w:asciiTheme="minorHAnsi" w:hAnsiTheme="minorHAnsi" w:cstheme="minorHAnsi"/>
          <w:b/>
          <w:lang w:val="en-GB"/>
        </w:rPr>
        <w:t>:</w:t>
      </w:r>
      <w:r w:rsidRPr="00F46DDF">
        <w:rPr>
          <w:rFonts w:asciiTheme="minorHAnsi" w:hAnsiTheme="minorHAnsi" w:cstheme="minorHAnsi"/>
          <w:lang w:val="en-GB"/>
        </w:rPr>
        <w:t xml:space="preserve"> </w:t>
      </w:r>
      <w:r w:rsidR="00330CBF">
        <w:rPr>
          <w:rFonts w:asciiTheme="minorHAnsi" w:hAnsiTheme="minorHAnsi" w:cstheme="minorHAnsi"/>
          <w:lang w:val="en-GB"/>
        </w:rPr>
        <w:t>1-10: the semester in which the course shall be announced according to the curriculum, or in which it is recommended for students to attend</w:t>
      </w:r>
      <w:r w:rsidRPr="00F46DDF">
        <w:rPr>
          <w:rFonts w:asciiTheme="minorHAnsi" w:hAnsiTheme="minorHAnsi" w:cstheme="minorHAnsi"/>
          <w:lang w:val="en-GB"/>
        </w:rPr>
        <w:t>.</w:t>
      </w:r>
    </w:p>
  </w:footnote>
  <w:footnote w:id="13">
    <w:p w:rsidR="007F12FA" w:rsidRPr="00F46DDF" w:rsidRDefault="007F12FA" w:rsidP="007F12FA">
      <w:pPr>
        <w:pStyle w:val="Lbjegyzetszveg"/>
        <w:jc w:val="both"/>
        <w:rPr>
          <w:rFonts w:asciiTheme="minorHAnsi" w:hAnsiTheme="minorHAnsi" w:cstheme="minorHAnsi"/>
          <w:lang w:val="en-GB"/>
        </w:rPr>
      </w:pPr>
      <w:r w:rsidRPr="00F46DDF">
        <w:rPr>
          <w:rStyle w:val="Lbjegyzet-hivatkozs"/>
          <w:rFonts w:asciiTheme="minorHAnsi" w:hAnsiTheme="minorHAnsi" w:cstheme="minorHAnsi"/>
          <w:lang w:val="en-GB"/>
        </w:rPr>
        <w:footnoteRef/>
      </w:r>
      <w:r w:rsidRPr="00F46DDF">
        <w:rPr>
          <w:rFonts w:asciiTheme="minorHAnsi" w:hAnsiTheme="minorHAnsi" w:cstheme="minorHAnsi"/>
          <w:lang w:val="en-GB"/>
        </w:rPr>
        <w:t xml:space="preserve"> </w:t>
      </w:r>
      <w:r w:rsidR="001C4B9F" w:rsidRPr="00F46DDF">
        <w:rPr>
          <w:rFonts w:asciiTheme="minorHAnsi" w:hAnsiTheme="minorHAnsi" w:cstheme="minorHAnsi"/>
          <w:b/>
          <w:lang w:val="en-GB"/>
        </w:rPr>
        <w:t>Prerequisites:</w:t>
      </w:r>
      <w:r w:rsidRPr="00F46DDF">
        <w:rPr>
          <w:rFonts w:asciiTheme="minorHAnsi" w:hAnsiTheme="minorHAnsi" w:cstheme="minorHAnsi"/>
          <w:lang w:val="en-GB"/>
        </w:rPr>
        <w:t xml:space="preserve"> </w:t>
      </w:r>
      <w:r w:rsidR="001C4B9F" w:rsidRPr="00F46DDF">
        <w:rPr>
          <w:rFonts w:asciiTheme="minorHAnsi" w:hAnsiTheme="minorHAnsi" w:cstheme="minorHAnsi"/>
          <w:lang w:val="en-GB"/>
        </w:rPr>
        <w:t>optional</w:t>
      </w:r>
      <w:r w:rsidRPr="00F46DDF">
        <w:rPr>
          <w:rFonts w:asciiTheme="minorHAnsi" w:hAnsiTheme="minorHAnsi" w:cstheme="minorHAnsi"/>
          <w:lang w:val="en-GB"/>
        </w:rPr>
        <w:t xml:space="preserve">. </w:t>
      </w:r>
      <w:r w:rsidR="001C4B9F" w:rsidRPr="00F46DDF">
        <w:rPr>
          <w:rFonts w:asciiTheme="minorHAnsi" w:hAnsiTheme="minorHAnsi" w:cstheme="minorHAnsi"/>
          <w:lang w:val="en-GB"/>
        </w:rPr>
        <w:t>E.g. preconditioned subject(s), subjects to be concurrently signed up; a minimum number of credits completed.</w:t>
      </w:r>
    </w:p>
  </w:footnote>
  <w:footnote w:id="14">
    <w:p w:rsidR="007F12FA" w:rsidRPr="00F46DDF" w:rsidRDefault="007F12FA" w:rsidP="007F12FA">
      <w:pPr>
        <w:pStyle w:val="Lbjegyzetszveg"/>
        <w:jc w:val="both"/>
        <w:rPr>
          <w:rFonts w:asciiTheme="minorHAnsi" w:hAnsiTheme="minorHAnsi" w:cstheme="minorHAnsi"/>
          <w:lang w:val="en-GB"/>
        </w:rPr>
      </w:pPr>
      <w:r w:rsidRPr="00F46DDF">
        <w:rPr>
          <w:rStyle w:val="Lbjegyzet-hivatkozs"/>
          <w:rFonts w:asciiTheme="minorHAnsi" w:hAnsiTheme="minorHAnsi" w:cstheme="minorHAnsi"/>
          <w:lang w:val="en-GB"/>
        </w:rPr>
        <w:footnoteRef/>
      </w:r>
      <w:r w:rsidRPr="00F46DDF">
        <w:rPr>
          <w:rFonts w:asciiTheme="minorHAnsi" w:hAnsiTheme="minorHAnsi" w:cstheme="minorHAnsi"/>
          <w:lang w:val="en-GB"/>
        </w:rPr>
        <w:t xml:space="preserve"> </w:t>
      </w:r>
      <w:r w:rsidR="001C4B9F" w:rsidRPr="00F46DDF">
        <w:rPr>
          <w:rFonts w:asciiTheme="minorHAnsi" w:hAnsiTheme="minorHAnsi" w:cstheme="minorHAnsi"/>
          <w:b/>
          <w:lang w:val="en-GB"/>
        </w:rPr>
        <w:t>Requirement type</w:t>
      </w:r>
      <w:r w:rsidRPr="00F46DDF">
        <w:rPr>
          <w:rFonts w:asciiTheme="minorHAnsi" w:hAnsiTheme="minorHAnsi" w:cstheme="minorHAnsi"/>
          <w:b/>
          <w:lang w:val="en-GB"/>
        </w:rPr>
        <w:t>:</w:t>
      </w:r>
      <w:r w:rsidRPr="00F46DDF">
        <w:rPr>
          <w:rFonts w:asciiTheme="minorHAnsi" w:hAnsiTheme="minorHAnsi" w:cstheme="minorHAnsi"/>
          <w:lang w:val="en-GB"/>
        </w:rPr>
        <w:t xml:space="preserve"> </w:t>
      </w:r>
      <w:r w:rsidR="001C4B9F" w:rsidRPr="00F46DDF">
        <w:rPr>
          <w:rFonts w:asciiTheme="minorHAnsi" w:hAnsiTheme="minorHAnsi" w:cstheme="minorHAnsi"/>
          <w:lang w:val="en-GB"/>
        </w:rPr>
        <w:t xml:space="preserve">in case of </w:t>
      </w:r>
      <w:r w:rsidR="00846E33" w:rsidRPr="00F46DDF">
        <w:rPr>
          <w:rFonts w:asciiTheme="minorHAnsi" w:hAnsiTheme="minorHAnsi" w:cstheme="minorHAnsi"/>
          <w:lang w:val="en-GB"/>
        </w:rPr>
        <w:t>elective course-units</w:t>
      </w:r>
      <w:r w:rsidR="001C4B9F" w:rsidRPr="00F46DDF">
        <w:rPr>
          <w:rFonts w:asciiTheme="minorHAnsi" w:hAnsiTheme="minorHAnsi" w:cstheme="minorHAnsi"/>
          <w:lang w:val="en-GB"/>
        </w:rPr>
        <w:t xml:space="preserve"> („</w:t>
      </w:r>
      <w:proofErr w:type="spellStart"/>
      <w:r w:rsidR="001C4B9F" w:rsidRPr="00F46DDF">
        <w:rPr>
          <w:rFonts w:asciiTheme="minorHAnsi" w:hAnsiTheme="minorHAnsi" w:cstheme="minorHAnsi"/>
          <w:lang w:val="en-GB"/>
        </w:rPr>
        <w:t>kötvál</w:t>
      </w:r>
      <w:proofErr w:type="spellEnd"/>
      <w:r w:rsidR="001C4B9F" w:rsidRPr="00F46DDF">
        <w:rPr>
          <w:rFonts w:asciiTheme="minorHAnsi" w:hAnsiTheme="minorHAnsi" w:cstheme="minorHAnsi"/>
          <w:lang w:val="en-GB"/>
        </w:rPr>
        <w:t>”)</w:t>
      </w:r>
      <w:r w:rsidR="008F3771">
        <w:rPr>
          <w:rFonts w:asciiTheme="minorHAnsi" w:hAnsiTheme="minorHAnsi" w:cstheme="minorHAnsi"/>
          <w:lang w:val="en-GB"/>
        </w:rPr>
        <w:t>:</w:t>
      </w:r>
      <w:r w:rsidR="00846E33" w:rsidRPr="00F46DDF">
        <w:rPr>
          <w:rFonts w:asciiTheme="minorHAnsi" w:hAnsiTheme="minorHAnsi" w:cstheme="minorHAnsi"/>
          <w:lang w:val="en-GB"/>
        </w:rPr>
        <w:t xml:space="preserve"> „</w:t>
      </w:r>
      <w:r w:rsidR="008F3771">
        <w:rPr>
          <w:rFonts w:asciiTheme="minorHAnsi" w:hAnsiTheme="minorHAnsi" w:cstheme="minorHAnsi"/>
          <w:lang w:val="en-GB"/>
        </w:rPr>
        <w:t>Mid-term grade (in five-grade system)”;</w:t>
      </w:r>
      <w:r w:rsidR="00846E33" w:rsidRPr="00F46DDF">
        <w:rPr>
          <w:rFonts w:asciiTheme="minorHAnsi" w:hAnsiTheme="minorHAnsi" w:cstheme="minorHAnsi"/>
          <w:lang w:val="en-GB"/>
        </w:rPr>
        <w:t xml:space="preserve"> in case of </w:t>
      </w:r>
      <w:r w:rsidR="00C87EFA" w:rsidRPr="00F46DDF">
        <w:rPr>
          <w:rFonts w:asciiTheme="minorHAnsi" w:hAnsiTheme="minorHAnsi" w:cstheme="minorHAnsi"/>
          <w:lang w:val="en-GB"/>
        </w:rPr>
        <w:t>optional</w:t>
      </w:r>
      <w:r w:rsidR="00846E33" w:rsidRPr="00F46DDF">
        <w:rPr>
          <w:rFonts w:asciiTheme="minorHAnsi" w:hAnsiTheme="minorHAnsi" w:cstheme="minorHAnsi"/>
          <w:lang w:val="en-GB"/>
        </w:rPr>
        <w:t xml:space="preserve"> course units („</w:t>
      </w:r>
      <w:proofErr w:type="spellStart"/>
      <w:r w:rsidR="00846E33" w:rsidRPr="00F46DDF">
        <w:rPr>
          <w:rFonts w:asciiTheme="minorHAnsi" w:hAnsiTheme="minorHAnsi" w:cstheme="minorHAnsi"/>
          <w:lang w:val="en-GB"/>
        </w:rPr>
        <w:t>szabvál</w:t>
      </w:r>
      <w:proofErr w:type="spellEnd"/>
      <w:r w:rsidR="00846E33" w:rsidRPr="00F46DDF">
        <w:rPr>
          <w:rFonts w:asciiTheme="minorHAnsi" w:hAnsiTheme="minorHAnsi" w:cstheme="minorHAnsi"/>
          <w:lang w:val="en-GB"/>
        </w:rPr>
        <w:t>”)</w:t>
      </w:r>
      <w:r w:rsidR="008F3771">
        <w:rPr>
          <w:rFonts w:asciiTheme="minorHAnsi" w:hAnsiTheme="minorHAnsi" w:cstheme="minorHAnsi"/>
          <w:lang w:val="en-GB"/>
        </w:rPr>
        <w:t>:</w:t>
      </w:r>
      <w:r w:rsidR="00846E33" w:rsidRPr="00F46DDF">
        <w:rPr>
          <w:rFonts w:asciiTheme="minorHAnsi" w:hAnsiTheme="minorHAnsi" w:cstheme="minorHAnsi"/>
          <w:lang w:val="en-GB"/>
        </w:rPr>
        <w:t xml:space="preserve"> „</w:t>
      </w:r>
      <w:r w:rsidR="008F3771">
        <w:rPr>
          <w:rFonts w:asciiTheme="minorHAnsi" w:hAnsiTheme="minorHAnsi" w:cstheme="minorHAnsi"/>
          <w:lang w:val="en-GB"/>
        </w:rPr>
        <w:t>Written assignment</w:t>
      </w:r>
      <w:r w:rsidR="00846E33" w:rsidRPr="00F46DDF">
        <w:rPr>
          <w:rFonts w:asciiTheme="minorHAnsi" w:hAnsiTheme="minorHAnsi" w:cstheme="minorHAnsi"/>
          <w:lang w:val="en-GB"/>
        </w:rPr>
        <w:t xml:space="preserve"> (in three-grade system)”.</w:t>
      </w:r>
    </w:p>
  </w:footnote>
  <w:footnote w:id="15">
    <w:p w:rsidR="007F12FA" w:rsidRPr="00F46DDF" w:rsidRDefault="007F12FA" w:rsidP="007F12FA">
      <w:pPr>
        <w:pStyle w:val="Lbjegyzetszveg"/>
        <w:jc w:val="both"/>
        <w:rPr>
          <w:rFonts w:asciiTheme="minorHAnsi" w:hAnsiTheme="minorHAnsi" w:cstheme="minorHAnsi"/>
          <w:lang w:val="en-GB"/>
        </w:rPr>
      </w:pPr>
      <w:r w:rsidRPr="00F46DDF">
        <w:rPr>
          <w:rStyle w:val="Lbjegyzet-hivatkozs"/>
          <w:rFonts w:asciiTheme="minorHAnsi" w:hAnsiTheme="minorHAnsi" w:cstheme="minorHAnsi"/>
          <w:lang w:val="en-GB"/>
        </w:rPr>
        <w:footnoteRef/>
      </w:r>
      <w:r w:rsidRPr="00F46DDF">
        <w:rPr>
          <w:rFonts w:asciiTheme="minorHAnsi" w:hAnsiTheme="minorHAnsi" w:cstheme="minorHAnsi"/>
          <w:lang w:val="en-GB"/>
        </w:rPr>
        <w:t xml:space="preserve"> </w:t>
      </w:r>
      <w:r w:rsidR="00846E33" w:rsidRPr="00F46DDF">
        <w:rPr>
          <w:rFonts w:asciiTheme="minorHAnsi" w:hAnsiTheme="minorHAnsi" w:cstheme="minorHAnsi"/>
          <w:b/>
          <w:lang w:val="en-GB"/>
        </w:rPr>
        <w:t>Number and type of classes</w:t>
      </w:r>
      <w:r w:rsidRPr="00F46DDF">
        <w:rPr>
          <w:rFonts w:asciiTheme="minorHAnsi" w:hAnsiTheme="minorHAnsi" w:cstheme="minorHAnsi"/>
          <w:b/>
          <w:lang w:val="en-GB"/>
        </w:rPr>
        <w:t>:</w:t>
      </w:r>
      <w:r w:rsidRPr="00F46DDF">
        <w:rPr>
          <w:rFonts w:asciiTheme="minorHAnsi" w:hAnsiTheme="minorHAnsi" w:cstheme="minorHAnsi"/>
          <w:lang w:val="en-GB"/>
        </w:rPr>
        <w:t xml:space="preserve"> </w:t>
      </w:r>
      <w:r w:rsidR="00846E33" w:rsidRPr="00F46DDF">
        <w:rPr>
          <w:rFonts w:asciiTheme="minorHAnsi" w:hAnsiTheme="minorHAnsi" w:cstheme="minorHAnsi"/>
          <w:lang w:val="en-GB"/>
        </w:rPr>
        <w:t>in case of elective course-units („</w:t>
      </w:r>
      <w:proofErr w:type="spellStart"/>
      <w:r w:rsidR="00846E33" w:rsidRPr="00F46DDF">
        <w:rPr>
          <w:rFonts w:asciiTheme="minorHAnsi" w:hAnsiTheme="minorHAnsi" w:cstheme="minorHAnsi"/>
          <w:lang w:val="en-GB"/>
        </w:rPr>
        <w:t>kötvál</w:t>
      </w:r>
      <w:proofErr w:type="spellEnd"/>
      <w:r w:rsidR="00846E33" w:rsidRPr="00F46DDF">
        <w:rPr>
          <w:rFonts w:asciiTheme="minorHAnsi" w:hAnsiTheme="minorHAnsi" w:cstheme="minorHAnsi"/>
          <w:lang w:val="en-GB"/>
        </w:rPr>
        <w:t>”) 2 hours/week for full-time students and 3 hours/semester for part-time students</w:t>
      </w:r>
      <w:r w:rsidRPr="00F46DDF">
        <w:rPr>
          <w:rFonts w:asciiTheme="minorHAnsi" w:hAnsiTheme="minorHAnsi" w:cstheme="minorHAnsi"/>
          <w:lang w:val="en-GB"/>
        </w:rPr>
        <w:t xml:space="preserve">. </w:t>
      </w:r>
      <w:r w:rsidR="00846E33" w:rsidRPr="00F46DDF">
        <w:rPr>
          <w:rFonts w:asciiTheme="minorHAnsi" w:hAnsiTheme="minorHAnsi" w:cstheme="minorHAnsi"/>
          <w:lang w:val="en-GB"/>
        </w:rPr>
        <w:t xml:space="preserve">In case of </w:t>
      </w:r>
      <w:r w:rsidR="00C87EFA" w:rsidRPr="00F46DDF">
        <w:rPr>
          <w:rFonts w:asciiTheme="minorHAnsi" w:hAnsiTheme="minorHAnsi" w:cstheme="minorHAnsi"/>
          <w:lang w:val="en-GB"/>
        </w:rPr>
        <w:t>optional</w:t>
      </w:r>
      <w:r w:rsidR="00846E33" w:rsidRPr="00F46DDF">
        <w:rPr>
          <w:rFonts w:asciiTheme="minorHAnsi" w:hAnsiTheme="minorHAnsi" w:cstheme="minorHAnsi"/>
          <w:lang w:val="en-GB"/>
        </w:rPr>
        <w:t xml:space="preserve"> course units („</w:t>
      </w:r>
      <w:proofErr w:type="spellStart"/>
      <w:r w:rsidR="00846E33" w:rsidRPr="00F46DDF">
        <w:rPr>
          <w:rFonts w:asciiTheme="minorHAnsi" w:hAnsiTheme="minorHAnsi" w:cstheme="minorHAnsi"/>
          <w:lang w:val="en-GB"/>
        </w:rPr>
        <w:t>szabvál</w:t>
      </w:r>
      <w:proofErr w:type="spellEnd"/>
      <w:r w:rsidR="00846E33" w:rsidRPr="00F46DDF">
        <w:rPr>
          <w:rFonts w:asciiTheme="minorHAnsi" w:hAnsiTheme="minorHAnsi" w:cstheme="minorHAnsi"/>
          <w:lang w:val="en-GB"/>
        </w:rPr>
        <w:t>”) 2 hours/week for full-time students and 2 hours/semester for part-time students.</w:t>
      </w:r>
    </w:p>
  </w:footnote>
  <w:footnote w:id="16">
    <w:p w:rsidR="007F12FA" w:rsidRPr="00F46DDF" w:rsidRDefault="007F12FA" w:rsidP="007F12FA">
      <w:pPr>
        <w:pStyle w:val="Lbjegyzetszveg"/>
        <w:jc w:val="both"/>
        <w:rPr>
          <w:rFonts w:asciiTheme="minorHAnsi" w:hAnsiTheme="minorHAnsi" w:cstheme="minorHAnsi"/>
          <w:lang w:val="en-GB"/>
        </w:rPr>
      </w:pPr>
      <w:r w:rsidRPr="00F46DDF">
        <w:rPr>
          <w:rStyle w:val="Lbjegyzet-hivatkozs"/>
          <w:rFonts w:asciiTheme="minorHAnsi" w:hAnsiTheme="minorHAnsi" w:cstheme="minorHAnsi"/>
          <w:lang w:val="en-GB"/>
        </w:rPr>
        <w:footnoteRef/>
      </w:r>
      <w:r w:rsidRPr="00F46DDF">
        <w:rPr>
          <w:rFonts w:asciiTheme="minorHAnsi" w:hAnsiTheme="minorHAnsi" w:cstheme="minorHAnsi"/>
          <w:lang w:val="en-GB"/>
        </w:rPr>
        <w:t xml:space="preserve"> </w:t>
      </w:r>
      <w:r w:rsidR="00846E33" w:rsidRPr="00F46DDF">
        <w:rPr>
          <w:rFonts w:asciiTheme="minorHAnsi" w:hAnsiTheme="minorHAnsi" w:cstheme="minorHAnsi"/>
          <w:b/>
          <w:lang w:val="en-GB"/>
        </w:rPr>
        <w:t xml:space="preserve">Type of </w:t>
      </w:r>
      <w:r w:rsidR="00C87EFA" w:rsidRPr="00F46DDF">
        <w:rPr>
          <w:rFonts w:asciiTheme="minorHAnsi" w:hAnsiTheme="minorHAnsi" w:cstheme="minorHAnsi"/>
          <w:b/>
          <w:lang w:val="en-GB"/>
        </w:rPr>
        <w:t>contact hours</w:t>
      </w:r>
      <w:r w:rsidRPr="00F46DDF">
        <w:rPr>
          <w:rFonts w:asciiTheme="minorHAnsi" w:hAnsiTheme="minorHAnsi" w:cstheme="minorHAnsi"/>
          <w:b/>
          <w:lang w:val="en-GB"/>
        </w:rPr>
        <w:t>:</w:t>
      </w:r>
      <w:r w:rsidRPr="00F46DDF">
        <w:rPr>
          <w:rFonts w:asciiTheme="minorHAnsi" w:hAnsiTheme="minorHAnsi" w:cstheme="minorHAnsi"/>
          <w:lang w:val="en-GB"/>
        </w:rPr>
        <w:t xml:space="preserve"> </w:t>
      </w:r>
      <w:r w:rsidR="00C87EFA" w:rsidRPr="00F46DDF">
        <w:rPr>
          <w:rFonts w:asciiTheme="minorHAnsi" w:hAnsiTheme="minorHAnsi" w:cstheme="minorHAnsi"/>
          <w:lang w:val="en-GB"/>
        </w:rPr>
        <w:t>in case of elective course-units („</w:t>
      </w:r>
      <w:proofErr w:type="spellStart"/>
      <w:r w:rsidR="00C87EFA" w:rsidRPr="00F46DDF">
        <w:rPr>
          <w:rFonts w:asciiTheme="minorHAnsi" w:hAnsiTheme="minorHAnsi" w:cstheme="minorHAnsi"/>
          <w:lang w:val="en-GB"/>
        </w:rPr>
        <w:t>kötvál</w:t>
      </w:r>
      <w:proofErr w:type="spellEnd"/>
      <w:r w:rsidR="00C87EFA" w:rsidRPr="00F46DDF">
        <w:rPr>
          <w:rFonts w:asciiTheme="minorHAnsi" w:hAnsiTheme="minorHAnsi" w:cstheme="minorHAnsi"/>
          <w:lang w:val="en-GB"/>
        </w:rPr>
        <w:t>”)</w:t>
      </w:r>
      <w:r w:rsidR="00E45CAC">
        <w:rPr>
          <w:rFonts w:asciiTheme="minorHAnsi" w:hAnsiTheme="minorHAnsi" w:cstheme="minorHAnsi"/>
          <w:lang w:val="en-GB"/>
        </w:rPr>
        <w:t>: „Lecture”;</w:t>
      </w:r>
      <w:r w:rsidR="00C87EFA" w:rsidRPr="00F46DDF">
        <w:rPr>
          <w:rFonts w:asciiTheme="minorHAnsi" w:hAnsiTheme="minorHAnsi" w:cstheme="minorHAnsi"/>
          <w:lang w:val="en-GB"/>
        </w:rPr>
        <w:t xml:space="preserve"> in case of optional course units („</w:t>
      </w:r>
      <w:proofErr w:type="spellStart"/>
      <w:r w:rsidR="00C87EFA" w:rsidRPr="00F46DDF">
        <w:rPr>
          <w:rFonts w:asciiTheme="minorHAnsi" w:hAnsiTheme="minorHAnsi" w:cstheme="minorHAnsi"/>
          <w:lang w:val="en-GB"/>
        </w:rPr>
        <w:t>szabvál</w:t>
      </w:r>
      <w:proofErr w:type="spellEnd"/>
      <w:r w:rsidR="00C87EFA" w:rsidRPr="00F46DDF">
        <w:rPr>
          <w:rFonts w:asciiTheme="minorHAnsi" w:hAnsiTheme="minorHAnsi" w:cstheme="minorHAnsi"/>
          <w:lang w:val="en-GB"/>
        </w:rPr>
        <w:t>”)</w:t>
      </w:r>
      <w:r w:rsidR="00E45CAC">
        <w:rPr>
          <w:rFonts w:asciiTheme="minorHAnsi" w:hAnsiTheme="minorHAnsi" w:cstheme="minorHAnsi"/>
          <w:lang w:val="en-GB"/>
        </w:rPr>
        <w:t>:</w:t>
      </w:r>
      <w:r w:rsidR="00C87EFA" w:rsidRPr="00F46DDF">
        <w:rPr>
          <w:rFonts w:asciiTheme="minorHAnsi" w:hAnsiTheme="minorHAnsi" w:cstheme="minorHAnsi"/>
          <w:lang w:val="en-GB"/>
        </w:rPr>
        <w:t xml:space="preserve"> „Seminar”.</w:t>
      </w:r>
    </w:p>
  </w:footnote>
  <w:footnote w:id="17">
    <w:p w:rsidR="007F12FA" w:rsidRPr="00F46DDF" w:rsidRDefault="007F12FA" w:rsidP="007F12FA">
      <w:pPr>
        <w:pStyle w:val="Lbjegyzetszveg"/>
        <w:jc w:val="both"/>
        <w:rPr>
          <w:rFonts w:asciiTheme="minorHAnsi" w:hAnsiTheme="minorHAnsi" w:cstheme="minorHAnsi"/>
          <w:lang w:val="en-GB"/>
        </w:rPr>
      </w:pPr>
      <w:r w:rsidRPr="00F46DDF">
        <w:rPr>
          <w:rStyle w:val="Lbjegyzet-hivatkozs"/>
          <w:rFonts w:asciiTheme="minorHAnsi" w:hAnsiTheme="minorHAnsi" w:cstheme="minorHAnsi"/>
          <w:lang w:val="en-GB"/>
        </w:rPr>
        <w:footnoteRef/>
      </w:r>
      <w:r w:rsidRPr="00F46DDF">
        <w:rPr>
          <w:rFonts w:asciiTheme="minorHAnsi" w:hAnsiTheme="minorHAnsi" w:cstheme="minorHAnsi"/>
          <w:lang w:val="en-GB"/>
        </w:rPr>
        <w:t xml:space="preserve"> </w:t>
      </w:r>
      <w:r w:rsidR="00C87EFA" w:rsidRPr="00F46DDF">
        <w:rPr>
          <w:rFonts w:asciiTheme="minorHAnsi" w:hAnsiTheme="minorHAnsi" w:cstheme="minorHAnsi"/>
          <w:b/>
          <w:lang w:val="en-GB"/>
        </w:rPr>
        <w:t>Credit</w:t>
      </w:r>
      <w:r w:rsidRPr="00F46DDF">
        <w:rPr>
          <w:rFonts w:asciiTheme="minorHAnsi" w:hAnsiTheme="minorHAnsi" w:cstheme="minorHAnsi"/>
          <w:b/>
          <w:lang w:val="en-GB"/>
        </w:rPr>
        <w:t>:</w:t>
      </w:r>
      <w:r w:rsidRPr="00F46DDF">
        <w:rPr>
          <w:rFonts w:asciiTheme="minorHAnsi" w:hAnsiTheme="minorHAnsi" w:cstheme="minorHAnsi"/>
          <w:lang w:val="en-GB"/>
        </w:rPr>
        <w:t xml:space="preserve"> </w:t>
      </w:r>
      <w:r w:rsidR="00C87EFA" w:rsidRPr="00F46DDF">
        <w:rPr>
          <w:rFonts w:asciiTheme="minorHAnsi" w:hAnsiTheme="minorHAnsi" w:cstheme="minorHAnsi"/>
          <w:lang w:val="en-GB"/>
        </w:rPr>
        <w:t>2 credits both in case of elective course-units („</w:t>
      </w:r>
      <w:proofErr w:type="spellStart"/>
      <w:r w:rsidR="00C87EFA" w:rsidRPr="00F46DDF">
        <w:rPr>
          <w:rFonts w:asciiTheme="minorHAnsi" w:hAnsiTheme="minorHAnsi" w:cstheme="minorHAnsi"/>
          <w:lang w:val="en-GB"/>
        </w:rPr>
        <w:t>kötvál</w:t>
      </w:r>
      <w:proofErr w:type="spellEnd"/>
      <w:r w:rsidR="00C87EFA" w:rsidRPr="00F46DDF">
        <w:rPr>
          <w:rFonts w:asciiTheme="minorHAnsi" w:hAnsiTheme="minorHAnsi" w:cstheme="minorHAnsi"/>
          <w:lang w:val="en-GB"/>
        </w:rPr>
        <w:t>”) and optional course units („</w:t>
      </w:r>
      <w:proofErr w:type="spellStart"/>
      <w:r w:rsidR="00C87EFA" w:rsidRPr="00F46DDF">
        <w:rPr>
          <w:rFonts w:asciiTheme="minorHAnsi" w:hAnsiTheme="minorHAnsi" w:cstheme="minorHAnsi"/>
          <w:lang w:val="en-GB"/>
        </w:rPr>
        <w:t>szabvál</w:t>
      </w:r>
      <w:proofErr w:type="spellEnd"/>
      <w:r w:rsidR="00C87EFA" w:rsidRPr="00F46DDF">
        <w:rPr>
          <w:rFonts w:asciiTheme="minorHAnsi" w:hAnsiTheme="minorHAnsi" w:cstheme="minorHAnsi"/>
          <w:lang w:val="en-GB"/>
        </w:rPr>
        <w:t>”)</w:t>
      </w:r>
      <w:r w:rsidRPr="00F46DDF">
        <w:rPr>
          <w:rFonts w:asciiTheme="minorHAnsi" w:hAnsiTheme="minorHAnsi" w:cstheme="minorHAnsi"/>
          <w:lang w:val="en-GB"/>
        </w:rPr>
        <w:t>.</w:t>
      </w:r>
    </w:p>
  </w:footnote>
  <w:footnote w:id="18">
    <w:p w:rsidR="007F12FA" w:rsidRPr="00F46DDF" w:rsidRDefault="007F12FA" w:rsidP="007F12FA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F46DDF">
        <w:rPr>
          <w:rStyle w:val="Lbjegyzet-hivatkozs"/>
          <w:rFonts w:asciiTheme="minorHAnsi" w:hAnsiTheme="minorHAnsi" w:cstheme="minorHAnsi"/>
          <w:sz w:val="20"/>
          <w:szCs w:val="20"/>
          <w:lang w:val="en-GB"/>
        </w:rPr>
        <w:footnoteRef/>
      </w:r>
      <w:r w:rsidRPr="00F46DDF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C87EFA" w:rsidRPr="00F46DDF">
        <w:rPr>
          <w:rFonts w:asciiTheme="minorHAnsi" w:hAnsiTheme="minorHAnsi" w:cstheme="minorHAnsi"/>
          <w:b/>
          <w:sz w:val="20"/>
          <w:szCs w:val="20"/>
          <w:lang w:val="en-GB"/>
        </w:rPr>
        <w:t>Aim of the course</w:t>
      </w:r>
      <w:r w:rsidRPr="00F46DDF">
        <w:rPr>
          <w:rFonts w:asciiTheme="minorHAnsi" w:hAnsiTheme="minorHAnsi" w:cstheme="minorHAnsi"/>
          <w:b/>
          <w:sz w:val="20"/>
          <w:szCs w:val="20"/>
          <w:lang w:val="en-GB"/>
        </w:rPr>
        <w:t>:</w:t>
      </w:r>
      <w:r w:rsidRPr="00F46DDF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F46DDF" w:rsidRPr="00F46DDF">
        <w:rPr>
          <w:rFonts w:asciiTheme="minorHAnsi" w:hAnsiTheme="minorHAnsi" w:cstheme="minorHAnsi"/>
          <w:sz w:val="20"/>
          <w:szCs w:val="20"/>
          <w:lang w:val="en-GB"/>
        </w:rPr>
        <w:t>this</w:t>
      </w:r>
      <w:r w:rsidR="00C87EFA" w:rsidRPr="00F46DDF">
        <w:rPr>
          <w:rFonts w:asciiTheme="minorHAnsi" w:hAnsiTheme="minorHAnsi" w:cstheme="minorHAnsi"/>
          <w:sz w:val="20"/>
          <w:szCs w:val="20"/>
          <w:lang w:val="en-GB"/>
        </w:rPr>
        <w:t xml:space="preserve"> is to be outlined in ac</w:t>
      </w:r>
      <w:r w:rsidR="00E45CAC">
        <w:rPr>
          <w:rFonts w:asciiTheme="minorHAnsi" w:hAnsiTheme="minorHAnsi" w:cstheme="minorHAnsi"/>
          <w:sz w:val="20"/>
          <w:szCs w:val="20"/>
          <w:lang w:val="en-GB"/>
        </w:rPr>
        <w:t>cordance with the qualification</w:t>
      </w:r>
      <w:r w:rsidR="00C87EFA" w:rsidRPr="00F46DDF">
        <w:rPr>
          <w:rFonts w:asciiTheme="minorHAnsi" w:hAnsiTheme="minorHAnsi" w:cstheme="minorHAnsi"/>
          <w:sz w:val="20"/>
          <w:szCs w:val="20"/>
          <w:lang w:val="en-GB"/>
        </w:rPr>
        <w:t xml:space="preserve"> requirements. For the Law Master qualification requirements please study </w:t>
      </w:r>
      <w:r w:rsidR="00C87EFA" w:rsidRPr="00F46DDF">
        <w:rPr>
          <w:rFonts w:asciiTheme="minorHAnsi" w:hAnsiTheme="minorHAnsi" w:cstheme="minorHAnsi"/>
          <w:i/>
          <w:sz w:val="20"/>
          <w:szCs w:val="20"/>
          <w:lang w:val="en-GB"/>
        </w:rPr>
        <w:t xml:space="preserve">Decree </w:t>
      </w:r>
      <w:r w:rsidR="00F46DDF" w:rsidRPr="00F46DDF">
        <w:rPr>
          <w:rFonts w:asciiTheme="minorHAnsi" w:hAnsiTheme="minorHAnsi" w:cstheme="minorHAnsi"/>
          <w:i/>
          <w:sz w:val="20"/>
          <w:szCs w:val="20"/>
          <w:lang w:val="en-GB"/>
        </w:rPr>
        <w:t xml:space="preserve">No. </w:t>
      </w:r>
      <w:r w:rsidR="00C87EFA" w:rsidRPr="00F46DDF">
        <w:rPr>
          <w:rFonts w:asciiTheme="minorHAnsi" w:hAnsiTheme="minorHAnsi" w:cstheme="minorHAnsi"/>
          <w:i/>
          <w:sz w:val="20"/>
          <w:szCs w:val="20"/>
          <w:lang w:val="en-GB"/>
        </w:rPr>
        <w:t>18/2016. (VIII. 5.)</w:t>
      </w:r>
      <w:r w:rsidR="00F46DDF" w:rsidRPr="00F46DDF">
        <w:rPr>
          <w:rFonts w:asciiTheme="minorHAnsi" w:hAnsiTheme="minorHAnsi" w:cstheme="minorHAnsi"/>
          <w:i/>
          <w:sz w:val="20"/>
          <w:szCs w:val="20"/>
          <w:lang w:val="en-GB"/>
        </w:rPr>
        <w:t xml:space="preserve"> EMMI</w:t>
      </w:r>
      <w:r w:rsidR="00C87EFA" w:rsidRPr="00F46DDF">
        <w:rPr>
          <w:rFonts w:asciiTheme="minorHAnsi" w:hAnsiTheme="minorHAnsi" w:cstheme="minorHAnsi"/>
          <w:i/>
          <w:sz w:val="20"/>
          <w:szCs w:val="20"/>
          <w:lang w:val="en-GB"/>
        </w:rPr>
        <w:t xml:space="preserve">, </w:t>
      </w:r>
      <w:r w:rsidR="00C87EFA" w:rsidRPr="00F46DDF">
        <w:rPr>
          <w:rFonts w:asciiTheme="minorHAnsi" w:hAnsiTheme="minorHAnsi" w:cstheme="minorHAnsi"/>
          <w:sz w:val="20"/>
          <w:szCs w:val="20"/>
          <w:lang w:val="en-GB"/>
        </w:rPr>
        <w:t>Annex 4, Chapter V</w:t>
      </w:r>
      <w:proofErr w:type="gramStart"/>
      <w:r w:rsidR="00C87EFA" w:rsidRPr="00F46DDF">
        <w:rPr>
          <w:rFonts w:asciiTheme="minorHAnsi" w:hAnsiTheme="minorHAnsi" w:cstheme="minorHAnsi"/>
          <w:sz w:val="20"/>
          <w:szCs w:val="20"/>
          <w:lang w:val="en-GB"/>
        </w:rPr>
        <w:t>./</w:t>
      </w:r>
      <w:proofErr w:type="gramEnd"/>
      <w:r w:rsidR="00C87EFA" w:rsidRPr="00F46DDF">
        <w:rPr>
          <w:rFonts w:asciiTheme="minorHAnsi" w:hAnsiTheme="minorHAnsi" w:cstheme="minorHAnsi"/>
          <w:sz w:val="20"/>
          <w:szCs w:val="20"/>
          <w:lang w:val="en-GB"/>
        </w:rPr>
        <w:t xml:space="preserve">2., 7.1.1. </w:t>
      </w:r>
      <w:proofErr w:type="gramStart"/>
      <w:r w:rsidR="00C87EFA" w:rsidRPr="00F46DDF">
        <w:rPr>
          <w:rFonts w:asciiTheme="minorHAnsi" w:hAnsiTheme="minorHAnsi" w:cstheme="minorHAnsi"/>
          <w:sz w:val="20"/>
          <w:szCs w:val="20"/>
          <w:lang w:val="en-GB"/>
        </w:rPr>
        <w:t>and</w:t>
      </w:r>
      <w:proofErr w:type="gramEnd"/>
      <w:r w:rsidR="00C87EFA" w:rsidRPr="00F46DDF">
        <w:rPr>
          <w:rFonts w:asciiTheme="minorHAnsi" w:hAnsiTheme="minorHAnsi" w:cstheme="minorHAnsi"/>
          <w:sz w:val="20"/>
          <w:szCs w:val="20"/>
          <w:lang w:val="en-GB"/>
        </w:rPr>
        <w:t xml:space="preserve"> 8.1.1.</w:t>
      </w:r>
    </w:p>
  </w:footnote>
  <w:footnote w:id="19">
    <w:p w:rsidR="007F12FA" w:rsidRPr="00F46DDF" w:rsidRDefault="007F12FA" w:rsidP="007F12FA">
      <w:pPr>
        <w:pStyle w:val="Lbjegyzetszveg"/>
        <w:jc w:val="both"/>
        <w:rPr>
          <w:rFonts w:asciiTheme="minorHAnsi" w:hAnsiTheme="minorHAnsi" w:cstheme="minorHAnsi"/>
          <w:lang w:val="en-GB"/>
        </w:rPr>
      </w:pPr>
      <w:r w:rsidRPr="00F46DDF">
        <w:rPr>
          <w:rStyle w:val="Lbjegyzet-hivatkozs"/>
          <w:rFonts w:asciiTheme="minorHAnsi" w:hAnsiTheme="minorHAnsi" w:cstheme="minorHAnsi"/>
          <w:lang w:val="en-GB"/>
        </w:rPr>
        <w:footnoteRef/>
      </w:r>
      <w:r w:rsidRPr="00F46DDF">
        <w:rPr>
          <w:rFonts w:asciiTheme="minorHAnsi" w:hAnsiTheme="minorHAnsi" w:cstheme="minorHAnsi"/>
          <w:lang w:val="en-GB"/>
        </w:rPr>
        <w:t xml:space="preserve"> </w:t>
      </w:r>
      <w:r w:rsidR="00C87EFA" w:rsidRPr="00F46DDF">
        <w:rPr>
          <w:rFonts w:asciiTheme="minorHAnsi" w:hAnsiTheme="minorHAnsi" w:cstheme="minorHAnsi"/>
          <w:b/>
          <w:lang w:val="en-GB"/>
        </w:rPr>
        <w:t>Outline of the course</w:t>
      </w:r>
      <w:r w:rsidRPr="00F46DDF">
        <w:rPr>
          <w:rFonts w:asciiTheme="minorHAnsi" w:hAnsiTheme="minorHAnsi" w:cstheme="minorHAnsi"/>
          <w:b/>
          <w:lang w:val="en-GB"/>
        </w:rPr>
        <w:t>:</w:t>
      </w:r>
      <w:r w:rsidRPr="00F46DDF">
        <w:rPr>
          <w:rFonts w:asciiTheme="minorHAnsi" w:hAnsiTheme="minorHAnsi" w:cstheme="minorHAnsi"/>
          <w:lang w:val="en-GB"/>
        </w:rPr>
        <w:t xml:space="preserve"> </w:t>
      </w:r>
      <w:r w:rsidR="00C87EFA" w:rsidRPr="00F46DDF">
        <w:rPr>
          <w:rFonts w:asciiTheme="minorHAnsi" w:hAnsiTheme="minorHAnsi" w:cstheme="minorHAnsi"/>
          <w:lang w:val="en-GB"/>
        </w:rPr>
        <w:t>please specify at least 10-12 thematic items</w:t>
      </w:r>
      <w:r w:rsidRPr="00F46DDF">
        <w:rPr>
          <w:rFonts w:asciiTheme="minorHAnsi" w:hAnsiTheme="minorHAnsi" w:cstheme="minorHAnsi"/>
          <w:lang w:val="en-GB"/>
        </w:rPr>
        <w:t>.</w:t>
      </w:r>
      <w:r w:rsidR="00330CBF">
        <w:rPr>
          <w:rFonts w:asciiTheme="minorHAnsi" w:hAnsiTheme="minorHAnsi" w:cstheme="minorHAnsi"/>
          <w:lang w:val="en-GB"/>
        </w:rPr>
        <w:t xml:space="preserve"> Please don’t </w:t>
      </w:r>
      <w:r w:rsidR="002F2146">
        <w:rPr>
          <w:rFonts w:asciiTheme="minorHAnsi" w:hAnsiTheme="minorHAnsi" w:cstheme="minorHAnsi"/>
          <w:lang w:val="en-GB"/>
        </w:rPr>
        <w:t>assign</w:t>
      </w:r>
      <w:r w:rsidR="00330CBF">
        <w:rPr>
          <w:rFonts w:asciiTheme="minorHAnsi" w:hAnsiTheme="minorHAnsi" w:cstheme="minorHAnsi"/>
          <w:lang w:val="en-GB"/>
        </w:rPr>
        <w:t xml:space="preserve"> concrete dates </w:t>
      </w:r>
      <w:r w:rsidR="002F2146">
        <w:rPr>
          <w:rFonts w:asciiTheme="minorHAnsi" w:hAnsiTheme="minorHAnsi" w:cstheme="minorHAnsi"/>
          <w:lang w:val="en-GB"/>
        </w:rPr>
        <w:t>to the</w:t>
      </w:r>
      <w:r w:rsidR="00330CBF">
        <w:rPr>
          <w:rFonts w:asciiTheme="minorHAnsi" w:hAnsiTheme="minorHAnsi" w:cstheme="minorHAnsi"/>
          <w:lang w:val="en-GB"/>
        </w:rPr>
        <w:t xml:space="preserve"> </w:t>
      </w:r>
      <w:r w:rsidR="002F2146">
        <w:rPr>
          <w:rFonts w:asciiTheme="minorHAnsi" w:hAnsiTheme="minorHAnsi" w:cstheme="minorHAnsi"/>
          <w:lang w:val="en-GB"/>
        </w:rPr>
        <w:t>different</w:t>
      </w:r>
      <w:r w:rsidR="00330CBF">
        <w:rPr>
          <w:rFonts w:asciiTheme="minorHAnsi" w:hAnsiTheme="minorHAnsi" w:cstheme="minorHAnsi"/>
          <w:lang w:val="en-GB"/>
        </w:rPr>
        <w:t xml:space="preserve"> items, </w:t>
      </w:r>
      <w:r w:rsidR="00E45CAC">
        <w:rPr>
          <w:rFonts w:asciiTheme="minorHAnsi" w:hAnsiTheme="minorHAnsi" w:cstheme="minorHAnsi"/>
          <w:lang w:val="en-GB"/>
        </w:rPr>
        <w:t>but mark them with numbers!</w:t>
      </w:r>
    </w:p>
  </w:footnote>
  <w:footnote w:id="20">
    <w:p w:rsidR="007F12FA" w:rsidRPr="00F46DDF" w:rsidRDefault="007F12FA" w:rsidP="007F12FA">
      <w:pPr>
        <w:pStyle w:val="Lbjegyzetszveg"/>
        <w:jc w:val="both"/>
        <w:rPr>
          <w:rFonts w:asciiTheme="minorHAnsi" w:hAnsiTheme="minorHAnsi" w:cstheme="minorHAnsi"/>
          <w:lang w:val="en-GB"/>
        </w:rPr>
      </w:pPr>
      <w:r w:rsidRPr="00F46DDF">
        <w:rPr>
          <w:rStyle w:val="Lbjegyzet-hivatkozs"/>
          <w:rFonts w:asciiTheme="minorHAnsi" w:hAnsiTheme="minorHAnsi" w:cstheme="minorHAnsi"/>
          <w:lang w:val="en-GB"/>
        </w:rPr>
        <w:footnoteRef/>
      </w:r>
      <w:r w:rsidRPr="00F46DDF">
        <w:rPr>
          <w:rFonts w:asciiTheme="minorHAnsi" w:hAnsiTheme="minorHAnsi" w:cstheme="minorHAnsi"/>
          <w:lang w:val="en-GB"/>
        </w:rPr>
        <w:t xml:space="preserve"> </w:t>
      </w:r>
      <w:r w:rsidR="00F46DDF" w:rsidRPr="00F46DDF">
        <w:rPr>
          <w:rFonts w:asciiTheme="minorHAnsi" w:hAnsiTheme="minorHAnsi" w:cstheme="minorHAnsi"/>
          <w:b/>
          <w:lang w:val="en-GB"/>
        </w:rPr>
        <w:t>Testing</w:t>
      </w:r>
      <w:r w:rsidR="00C87EFA" w:rsidRPr="00F46DDF">
        <w:rPr>
          <w:rFonts w:asciiTheme="minorHAnsi" w:hAnsiTheme="minorHAnsi" w:cstheme="minorHAnsi"/>
          <w:b/>
          <w:lang w:val="en-GB"/>
        </w:rPr>
        <w:t xml:space="preserve"> and evaluation</w:t>
      </w:r>
      <w:r w:rsidRPr="00F46DDF">
        <w:rPr>
          <w:rFonts w:asciiTheme="minorHAnsi" w:hAnsiTheme="minorHAnsi" w:cstheme="minorHAnsi"/>
          <w:b/>
          <w:lang w:val="en-GB"/>
        </w:rPr>
        <w:t>:</w:t>
      </w:r>
      <w:r w:rsidRPr="00F46DDF">
        <w:rPr>
          <w:rFonts w:asciiTheme="minorHAnsi" w:hAnsiTheme="minorHAnsi" w:cstheme="minorHAnsi"/>
          <w:lang w:val="en-GB"/>
        </w:rPr>
        <w:t xml:space="preserve"> </w:t>
      </w:r>
      <w:r w:rsidR="00C87EFA" w:rsidRPr="00F46DDF">
        <w:rPr>
          <w:rFonts w:asciiTheme="minorHAnsi" w:hAnsiTheme="minorHAnsi" w:cstheme="minorHAnsi"/>
          <w:lang w:val="en-GB"/>
        </w:rPr>
        <w:t xml:space="preserve">please define how students will be examined and evaluated. </w:t>
      </w:r>
      <w:r w:rsidR="00F46DDF" w:rsidRPr="00F46DDF">
        <w:rPr>
          <w:rFonts w:asciiTheme="minorHAnsi" w:hAnsiTheme="minorHAnsi" w:cstheme="minorHAnsi"/>
          <w:lang w:val="en-GB"/>
        </w:rPr>
        <w:t>Oral exam, written exam or combined exam? Are there any mid-semester requirements to be fulfilled? Is the absence from class sanctioned (and if yes, how)? Are there any partial qualifications?</w:t>
      </w:r>
    </w:p>
  </w:footnote>
  <w:footnote w:id="21">
    <w:p w:rsidR="007F12FA" w:rsidRDefault="007F12FA" w:rsidP="007F12FA">
      <w:pPr>
        <w:pStyle w:val="Lbjegyzetszveg"/>
        <w:jc w:val="both"/>
      </w:pPr>
      <w:r w:rsidRPr="00F46DDF">
        <w:rPr>
          <w:rStyle w:val="Lbjegyzet-hivatkozs"/>
          <w:rFonts w:asciiTheme="minorHAnsi" w:hAnsiTheme="minorHAnsi" w:cstheme="minorHAnsi"/>
          <w:lang w:val="en-GB"/>
        </w:rPr>
        <w:footnoteRef/>
      </w:r>
      <w:r w:rsidRPr="00F46DDF">
        <w:rPr>
          <w:rFonts w:asciiTheme="minorHAnsi" w:hAnsiTheme="minorHAnsi" w:cstheme="minorHAnsi"/>
          <w:lang w:val="en-GB"/>
        </w:rPr>
        <w:t xml:space="preserve"> </w:t>
      </w:r>
      <w:r w:rsidR="00F46DDF" w:rsidRPr="00F46DDF">
        <w:rPr>
          <w:rFonts w:asciiTheme="minorHAnsi" w:hAnsiTheme="minorHAnsi" w:cstheme="minorHAnsi"/>
          <w:b/>
          <w:lang w:val="en-GB"/>
        </w:rPr>
        <w:t>Course materials</w:t>
      </w:r>
      <w:r w:rsidRPr="00F46DDF">
        <w:rPr>
          <w:rFonts w:asciiTheme="minorHAnsi" w:hAnsiTheme="minorHAnsi" w:cstheme="minorHAnsi"/>
          <w:b/>
          <w:lang w:val="en-GB"/>
        </w:rPr>
        <w:t>:</w:t>
      </w:r>
      <w:r w:rsidRPr="00F46DDF">
        <w:rPr>
          <w:rFonts w:asciiTheme="minorHAnsi" w:hAnsiTheme="minorHAnsi" w:cstheme="minorHAnsi"/>
          <w:lang w:val="en-GB"/>
        </w:rPr>
        <w:t xml:space="preserve"> </w:t>
      </w:r>
      <w:r w:rsidR="00590B54">
        <w:rPr>
          <w:rFonts w:asciiTheme="minorHAnsi" w:hAnsiTheme="minorHAnsi" w:cstheme="minorHAnsi"/>
          <w:lang w:val="en-GB"/>
        </w:rPr>
        <w:t>compulsory</w:t>
      </w:r>
      <w:r w:rsidR="00F46DDF" w:rsidRPr="00F46DDF">
        <w:rPr>
          <w:rFonts w:asciiTheme="minorHAnsi" w:hAnsiTheme="minorHAnsi" w:cstheme="minorHAnsi"/>
          <w:lang w:val="en-GB"/>
        </w:rPr>
        <w:t xml:space="preserve"> (and </w:t>
      </w:r>
      <w:r w:rsidR="00590B54">
        <w:rPr>
          <w:rFonts w:asciiTheme="minorHAnsi" w:hAnsiTheme="minorHAnsi" w:cstheme="minorHAnsi"/>
          <w:lang w:val="en-GB"/>
        </w:rPr>
        <w:t>recommended</w:t>
      </w:r>
      <w:r w:rsidR="00F46DDF" w:rsidRPr="00F46DDF">
        <w:rPr>
          <w:rFonts w:asciiTheme="minorHAnsi" w:hAnsiTheme="minorHAnsi" w:cstheme="minorHAnsi"/>
          <w:lang w:val="en-GB"/>
        </w:rPr>
        <w:t>) course materials.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07F5D"/>
    <w:multiLevelType w:val="hybridMultilevel"/>
    <w:tmpl w:val="D25C9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54EDA"/>
    <w:multiLevelType w:val="hybridMultilevel"/>
    <w:tmpl w:val="927AC3F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8D"/>
    <w:rsid w:val="00011C4C"/>
    <w:rsid w:val="00060EF0"/>
    <w:rsid w:val="00111ECB"/>
    <w:rsid w:val="00130EB1"/>
    <w:rsid w:val="001632C1"/>
    <w:rsid w:val="00186AF4"/>
    <w:rsid w:val="001B4F34"/>
    <w:rsid w:val="001C4B9F"/>
    <w:rsid w:val="001D055E"/>
    <w:rsid w:val="00224874"/>
    <w:rsid w:val="002756B4"/>
    <w:rsid w:val="002849DE"/>
    <w:rsid w:val="00296DBF"/>
    <w:rsid w:val="002F2146"/>
    <w:rsid w:val="00330CBF"/>
    <w:rsid w:val="0036767D"/>
    <w:rsid w:val="00396C14"/>
    <w:rsid w:val="003C2572"/>
    <w:rsid w:val="003C5B9B"/>
    <w:rsid w:val="003F28DB"/>
    <w:rsid w:val="00437049"/>
    <w:rsid w:val="004464B3"/>
    <w:rsid w:val="004B710D"/>
    <w:rsid w:val="004C2DCF"/>
    <w:rsid w:val="004E53F6"/>
    <w:rsid w:val="005204F2"/>
    <w:rsid w:val="00541CF6"/>
    <w:rsid w:val="00590B54"/>
    <w:rsid w:val="00655DC1"/>
    <w:rsid w:val="006E6ED4"/>
    <w:rsid w:val="00700EEE"/>
    <w:rsid w:val="00720C83"/>
    <w:rsid w:val="0075351E"/>
    <w:rsid w:val="007619C3"/>
    <w:rsid w:val="00791B0A"/>
    <w:rsid w:val="007C5A3D"/>
    <w:rsid w:val="007F12FA"/>
    <w:rsid w:val="008221C7"/>
    <w:rsid w:val="00834CD4"/>
    <w:rsid w:val="00844D6B"/>
    <w:rsid w:val="00846E33"/>
    <w:rsid w:val="0087781F"/>
    <w:rsid w:val="008D41B1"/>
    <w:rsid w:val="008E3A93"/>
    <w:rsid w:val="008F3771"/>
    <w:rsid w:val="009221A9"/>
    <w:rsid w:val="00A37C81"/>
    <w:rsid w:val="00A90A8D"/>
    <w:rsid w:val="00AF0CE4"/>
    <w:rsid w:val="00C87EFA"/>
    <w:rsid w:val="00D03279"/>
    <w:rsid w:val="00DB1F41"/>
    <w:rsid w:val="00DF2BBC"/>
    <w:rsid w:val="00E45CAC"/>
    <w:rsid w:val="00E52B29"/>
    <w:rsid w:val="00E668B2"/>
    <w:rsid w:val="00EA4D99"/>
    <w:rsid w:val="00F03464"/>
    <w:rsid w:val="00F46DDF"/>
    <w:rsid w:val="00F52125"/>
    <w:rsid w:val="00F7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CA2F"/>
  <w15:docId w15:val="{0A425F52-2881-4D64-8A17-2C4F0D69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0A8D"/>
    <w:rPr>
      <w:rFonts w:eastAsia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eknormal">
    <w:name w:val="aeknormal"/>
    <w:basedOn w:val="Bekezdsalapbettpusa"/>
    <w:rsid w:val="00A37C81"/>
  </w:style>
  <w:style w:type="paragraph" w:styleId="Lbjegyzetszveg">
    <w:name w:val="footnote text"/>
    <w:basedOn w:val="Norml"/>
    <w:link w:val="LbjegyzetszvegChar"/>
    <w:uiPriority w:val="99"/>
    <w:semiHidden/>
    <w:unhideWhenUsed/>
    <w:rsid w:val="00791B0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91B0A"/>
    <w:rPr>
      <w:rFonts w:eastAsia="Times New Roman" w:cs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791B0A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8D41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41B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41B1"/>
    <w:rPr>
      <w:rFonts w:eastAsia="Times New Roman"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41B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41B1"/>
    <w:rPr>
      <w:rFonts w:eastAsia="Times New Roman" w:cs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41B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41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.lib.uchicago.edu/1001/cat/bib/47621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i.lib.uchicago.edu/1001/cat/bib/476216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30B8C-2837-4DB9-851C-BF5BBD64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694</Words>
  <Characters>4793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Réti Anna</cp:lastModifiedBy>
  <cp:revision>2</cp:revision>
  <cp:lastPrinted>2019-05-31T06:14:00Z</cp:lastPrinted>
  <dcterms:created xsi:type="dcterms:W3CDTF">2019-07-22T07:23:00Z</dcterms:created>
  <dcterms:modified xsi:type="dcterms:W3CDTF">2019-07-22T07:23:00Z</dcterms:modified>
</cp:coreProperties>
</file>