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D5" w:rsidRDefault="00BA19D5" w:rsidP="00BA19D5">
      <w:pPr>
        <w:rPr>
          <w:b/>
          <w:bCs/>
          <w:sz w:val="24"/>
          <w:szCs w:val="24"/>
          <w:u w:val="single"/>
        </w:rPr>
      </w:pPr>
      <w:bookmarkStart w:id="0" w:name="_GoBack"/>
      <w:r>
        <w:rPr>
          <w:b/>
          <w:bCs/>
          <w:sz w:val="24"/>
          <w:szCs w:val="24"/>
          <w:u w:val="single"/>
        </w:rPr>
        <w:t xml:space="preserve">European </w:t>
      </w:r>
      <w:proofErr w:type="spellStart"/>
      <w:r>
        <w:rPr>
          <w:b/>
          <w:bCs/>
          <w:sz w:val="24"/>
          <w:szCs w:val="24"/>
          <w:u w:val="single"/>
        </w:rPr>
        <w:t>Private</w:t>
      </w:r>
      <w:proofErr w:type="spellEnd"/>
      <w:r>
        <w:rPr>
          <w:b/>
          <w:bCs/>
          <w:sz w:val="24"/>
          <w:szCs w:val="24"/>
          <w:u w:val="single"/>
        </w:rPr>
        <w:t xml:space="preserve"> Law </w:t>
      </w:r>
      <w:r>
        <w:rPr>
          <w:b/>
          <w:bCs/>
          <w:sz w:val="24"/>
          <w:szCs w:val="24"/>
          <w:u w:val="single"/>
          <w:lang w:val="en-GB"/>
        </w:rPr>
        <w:t>(JSDI-EUA-2211</w:t>
      </w:r>
      <w:bookmarkEnd w:id="0"/>
      <w:r>
        <w:rPr>
          <w:b/>
          <w:bCs/>
          <w:sz w:val="24"/>
          <w:szCs w:val="24"/>
          <w:u w:val="single"/>
          <w:lang w:val="en-GB"/>
        </w:rPr>
        <w:t>)</w:t>
      </w:r>
    </w:p>
    <w:p w:rsidR="00BA19D5" w:rsidRDefault="00BA19D5" w:rsidP="00BA19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</w:t>
      </w:r>
      <w:proofErr w:type="spellStart"/>
      <w:r>
        <w:rPr>
          <w:b/>
          <w:bCs/>
          <w:sz w:val="24"/>
          <w:szCs w:val="24"/>
        </w:rPr>
        <w:t>number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lectures</w:t>
      </w:r>
      <w:proofErr w:type="spellEnd"/>
      <w:r>
        <w:rPr>
          <w:b/>
          <w:bCs/>
          <w:sz w:val="24"/>
          <w:szCs w:val="24"/>
        </w:rPr>
        <w:t xml:space="preserve">: 12 </w:t>
      </w:r>
      <w:proofErr w:type="spellStart"/>
      <w:r>
        <w:rPr>
          <w:b/>
          <w:bCs/>
          <w:sz w:val="24"/>
          <w:szCs w:val="24"/>
        </w:rPr>
        <w:t>hours</w:t>
      </w:r>
      <w:proofErr w:type="spellEnd"/>
    </w:p>
    <w:p w:rsidR="00BA19D5" w:rsidRDefault="00BA19D5" w:rsidP="00BA19D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Credits</w:t>
      </w:r>
      <w:proofErr w:type="spellEnd"/>
      <w:r>
        <w:rPr>
          <w:b/>
          <w:bCs/>
          <w:sz w:val="24"/>
          <w:szCs w:val="24"/>
        </w:rPr>
        <w:t xml:space="preserve">: 5 </w:t>
      </w:r>
      <w:proofErr w:type="spellStart"/>
      <w:r>
        <w:rPr>
          <w:b/>
          <w:bCs/>
          <w:sz w:val="24"/>
          <w:szCs w:val="24"/>
        </w:rPr>
        <w:t>credits</w:t>
      </w:r>
      <w:proofErr w:type="spellEnd"/>
    </w:p>
    <w:p w:rsidR="00BA19D5" w:rsidRDefault="00BA19D5" w:rsidP="00BA19D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Examining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report</w:t>
      </w:r>
      <w:proofErr w:type="spellEnd"/>
    </w:p>
    <w:p w:rsidR="00BA19D5" w:rsidRDefault="00BA19D5" w:rsidP="00BA19D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Lecturer</w:t>
      </w:r>
      <w:proofErr w:type="spellEnd"/>
      <w:r>
        <w:rPr>
          <w:b/>
          <w:bCs/>
          <w:sz w:val="24"/>
          <w:szCs w:val="24"/>
        </w:rPr>
        <w:t xml:space="preserve">: dr. Viola </w:t>
      </w:r>
      <w:proofErr w:type="spellStart"/>
      <w:r>
        <w:rPr>
          <w:b/>
          <w:bCs/>
          <w:sz w:val="24"/>
          <w:szCs w:val="24"/>
        </w:rPr>
        <w:t>Heutger</w:t>
      </w:r>
      <w:proofErr w:type="spellEnd"/>
    </w:p>
    <w:p w:rsidR="00BA19D5" w:rsidRDefault="00BA19D5" w:rsidP="00BA19D5">
      <w:pPr>
        <w:rPr>
          <w:b/>
          <w:bCs/>
          <w:sz w:val="24"/>
          <w:szCs w:val="24"/>
        </w:rPr>
      </w:pPr>
    </w:p>
    <w:p w:rsidR="00BA19D5" w:rsidRDefault="00BA19D5" w:rsidP="00BA19D5">
      <w:pPr>
        <w:rPr>
          <w:sz w:val="24"/>
          <w:szCs w:val="24"/>
        </w:rPr>
      </w:pPr>
    </w:p>
    <w:p w:rsidR="00BA19D5" w:rsidRPr="00BA19D5" w:rsidRDefault="00BA19D5" w:rsidP="00BA19D5">
      <w:pPr>
        <w:spacing w:line="276" w:lineRule="auto"/>
        <w:rPr>
          <w:sz w:val="24"/>
          <w:szCs w:val="24"/>
        </w:rPr>
      </w:pPr>
      <w:r w:rsidRPr="00BA19D5">
        <w:rPr>
          <w:sz w:val="24"/>
          <w:szCs w:val="24"/>
        </w:rPr>
        <w:t xml:space="preserve">The </w:t>
      </w:r>
      <w:proofErr w:type="spellStart"/>
      <w:r w:rsidRPr="00BA19D5">
        <w:rPr>
          <w:sz w:val="24"/>
          <w:szCs w:val="24"/>
        </w:rPr>
        <w:t>class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on</w:t>
      </w:r>
      <w:proofErr w:type="spellEnd"/>
      <w:r w:rsidRPr="00BA19D5">
        <w:rPr>
          <w:sz w:val="24"/>
          <w:szCs w:val="24"/>
        </w:rPr>
        <w:t xml:space="preserve"> European </w:t>
      </w:r>
      <w:proofErr w:type="spellStart"/>
      <w:r w:rsidRPr="00BA19D5">
        <w:rPr>
          <w:sz w:val="24"/>
          <w:szCs w:val="24"/>
        </w:rPr>
        <w:t>Private</w:t>
      </w:r>
      <w:proofErr w:type="spellEnd"/>
      <w:r w:rsidRPr="00BA19D5">
        <w:rPr>
          <w:sz w:val="24"/>
          <w:szCs w:val="24"/>
        </w:rPr>
        <w:t xml:space="preserve"> Law </w:t>
      </w:r>
      <w:proofErr w:type="spellStart"/>
      <w:r w:rsidRPr="00BA19D5">
        <w:rPr>
          <w:sz w:val="24"/>
          <w:szCs w:val="24"/>
        </w:rPr>
        <w:t>offers</w:t>
      </w:r>
      <w:proofErr w:type="spellEnd"/>
      <w:r w:rsidRPr="00BA19D5">
        <w:rPr>
          <w:sz w:val="24"/>
          <w:szCs w:val="24"/>
        </w:rPr>
        <w:t xml:space="preserve"> an </w:t>
      </w:r>
      <w:proofErr w:type="spellStart"/>
      <w:r w:rsidRPr="00BA19D5">
        <w:rPr>
          <w:sz w:val="24"/>
          <w:szCs w:val="24"/>
        </w:rPr>
        <w:t>overview</w:t>
      </w:r>
      <w:proofErr w:type="spellEnd"/>
      <w:r w:rsidRPr="00BA19D5">
        <w:rPr>
          <w:sz w:val="24"/>
          <w:szCs w:val="24"/>
        </w:rPr>
        <w:t xml:space="preserve"> of policy </w:t>
      </w:r>
      <w:proofErr w:type="spellStart"/>
      <w:r w:rsidRPr="00BA19D5">
        <w:rPr>
          <w:sz w:val="24"/>
          <w:szCs w:val="24"/>
        </w:rPr>
        <w:t>decisions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taken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with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regard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to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contract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law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on</w:t>
      </w:r>
      <w:proofErr w:type="spellEnd"/>
      <w:r w:rsidRPr="00BA19D5">
        <w:rPr>
          <w:sz w:val="24"/>
          <w:szCs w:val="24"/>
        </w:rPr>
        <w:t xml:space="preserve"> EU </w:t>
      </w:r>
      <w:proofErr w:type="spellStart"/>
      <w:r w:rsidRPr="00BA19D5">
        <w:rPr>
          <w:sz w:val="24"/>
          <w:szCs w:val="24"/>
        </w:rPr>
        <w:t>level</w:t>
      </w:r>
      <w:proofErr w:type="spellEnd"/>
      <w:r w:rsidRPr="00BA19D5">
        <w:rPr>
          <w:sz w:val="24"/>
          <w:szCs w:val="24"/>
        </w:rPr>
        <w:t xml:space="preserve">. The </w:t>
      </w:r>
      <w:proofErr w:type="spellStart"/>
      <w:r w:rsidRPr="00BA19D5">
        <w:rPr>
          <w:sz w:val="24"/>
          <w:szCs w:val="24"/>
        </w:rPr>
        <w:t>students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get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to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know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the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Directives</w:t>
      </w:r>
      <w:proofErr w:type="spellEnd"/>
      <w:r w:rsidRPr="00BA19D5">
        <w:rPr>
          <w:sz w:val="24"/>
          <w:szCs w:val="24"/>
        </w:rPr>
        <w:t xml:space="preserve"> and </w:t>
      </w:r>
      <w:proofErr w:type="spellStart"/>
      <w:r w:rsidRPr="00BA19D5">
        <w:rPr>
          <w:sz w:val="24"/>
          <w:szCs w:val="24"/>
        </w:rPr>
        <w:t>Regulations</w:t>
      </w:r>
      <w:proofErr w:type="spellEnd"/>
      <w:r w:rsidRPr="00BA19D5">
        <w:rPr>
          <w:sz w:val="24"/>
          <w:szCs w:val="24"/>
        </w:rPr>
        <w:t xml:space="preserve"> in </w:t>
      </w:r>
      <w:proofErr w:type="spellStart"/>
      <w:r w:rsidRPr="00BA19D5">
        <w:rPr>
          <w:sz w:val="24"/>
          <w:szCs w:val="24"/>
        </w:rPr>
        <w:t>areas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like</w:t>
      </w:r>
      <w:proofErr w:type="spellEnd"/>
      <w:r w:rsidRPr="00BA19D5">
        <w:rPr>
          <w:sz w:val="24"/>
          <w:szCs w:val="24"/>
        </w:rPr>
        <w:t xml:space="preserve"> consumer </w:t>
      </w:r>
      <w:proofErr w:type="spellStart"/>
      <w:r w:rsidRPr="00BA19D5">
        <w:rPr>
          <w:sz w:val="24"/>
          <w:szCs w:val="24"/>
        </w:rPr>
        <w:t>law</w:t>
      </w:r>
      <w:proofErr w:type="spellEnd"/>
      <w:r w:rsidRPr="00BA19D5">
        <w:rPr>
          <w:sz w:val="24"/>
          <w:szCs w:val="24"/>
        </w:rPr>
        <w:t xml:space="preserve">, </w:t>
      </w:r>
      <w:proofErr w:type="spellStart"/>
      <w:r w:rsidRPr="00BA19D5">
        <w:rPr>
          <w:sz w:val="24"/>
          <w:szCs w:val="24"/>
        </w:rPr>
        <w:t>financial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services</w:t>
      </w:r>
      <w:proofErr w:type="spellEnd"/>
      <w:r w:rsidRPr="00BA19D5">
        <w:rPr>
          <w:sz w:val="24"/>
          <w:szCs w:val="24"/>
        </w:rPr>
        <w:t xml:space="preserve">, </w:t>
      </w:r>
      <w:proofErr w:type="spellStart"/>
      <w:r w:rsidRPr="00BA19D5">
        <w:rPr>
          <w:sz w:val="24"/>
          <w:szCs w:val="24"/>
        </w:rPr>
        <w:t>sales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law</w:t>
      </w:r>
      <w:proofErr w:type="spellEnd"/>
      <w:r w:rsidRPr="00BA19D5">
        <w:rPr>
          <w:sz w:val="24"/>
          <w:szCs w:val="24"/>
        </w:rPr>
        <w:t xml:space="preserve"> and </w:t>
      </w:r>
      <w:proofErr w:type="spellStart"/>
      <w:r w:rsidRPr="00BA19D5">
        <w:rPr>
          <w:sz w:val="24"/>
          <w:szCs w:val="24"/>
        </w:rPr>
        <w:t>the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respective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legislative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procedures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behind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the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final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instruments</w:t>
      </w:r>
      <w:proofErr w:type="spellEnd"/>
      <w:r w:rsidRPr="00BA19D5">
        <w:rPr>
          <w:sz w:val="24"/>
          <w:szCs w:val="24"/>
        </w:rPr>
        <w:t xml:space="preserve">. Decision </w:t>
      </w:r>
      <w:proofErr w:type="spellStart"/>
      <w:r w:rsidRPr="00BA19D5">
        <w:rPr>
          <w:sz w:val="24"/>
          <w:szCs w:val="24"/>
        </w:rPr>
        <w:t>making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processes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are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discussed</w:t>
      </w:r>
      <w:proofErr w:type="spellEnd"/>
      <w:r w:rsidRPr="00BA19D5">
        <w:rPr>
          <w:sz w:val="24"/>
          <w:szCs w:val="24"/>
        </w:rPr>
        <w:t xml:space="preserve"> </w:t>
      </w:r>
      <w:proofErr w:type="spellStart"/>
      <w:r w:rsidRPr="00BA19D5">
        <w:rPr>
          <w:sz w:val="24"/>
          <w:szCs w:val="24"/>
        </w:rPr>
        <w:t>intensivly</w:t>
      </w:r>
      <w:proofErr w:type="spellEnd"/>
      <w:r w:rsidRPr="00BA19D5">
        <w:rPr>
          <w:sz w:val="24"/>
          <w:szCs w:val="24"/>
        </w:rPr>
        <w:t>. </w:t>
      </w:r>
    </w:p>
    <w:p w:rsidR="00BA19D5" w:rsidRPr="00BA19D5" w:rsidRDefault="00BA19D5" w:rsidP="00BA19D5">
      <w:pPr>
        <w:spacing w:line="276" w:lineRule="auto"/>
        <w:rPr>
          <w:sz w:val="24"/>
          <w:szCs w:val="24"/>
          <w:lang w:val="en-US"/>
        </w:rPr>
      </w:pPr>
    </w:p>
    <w:p w:rsidR="00BA19D5" w:rsidRDefault="00BA19D5" w:rsidP="00BA19D5">
      <w:pPr>
        <w:rPr>
          <w:b/>
          <w:bCs/>
          <w:sz w:val="24"/>
          <w:szCs w:val="24"/>
        </w:rPr>
      </w:pPr>
    </w:p>
    <w:p w:rsidR="00BA19D5" w:rsidRDefault="00BA19D5" w:rsidP="00BA19D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Themes</w:t>
      </w:r>
      <w:proofErr w:type="spellEnd"/>
      <w:r>
        <w:rPr>
          <w:b/>
          <w:bCs/>
          <w:sz w:val="24"/>
          <w:szCs w:val="24"/>
        </w:rPr>
        <w:t>:</w:t>
      </w:r>
    </w:p>
    <w:p w:rsidR="00BA19D5" w:rsidRDefault="00BA19D5" w:rsidP="00BA19D5">
      <w:pPr>
        <w:rPr>
          <w:b/>
          <w:bCs/>
          <w:sz w:val="24"/>
          <w:szCs w:val="24"/>
        </w:rPr>
      </w:pPr>
    </w:p>
    <w:p w:rsidR="00BA19D5" w:rsidRDefault="00BA19D5" w:rsidP="00BA19D5">
      <w:pPr>
        <w:widowControl w:val="0"/>
        <w:numPr>
          <w:ilvl w:val="0"/>
          <w:numId w:val="1"/>
        </w:numPr>
        <w:tabs>
          <w:tab w:val="left" w:pos="1080"/>
        </w:tabs>
        <w:suppressAutoHyphens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General problems of European Private Law.</w:t>
      </w:r>
    </w:p>
    <w:p w:rsidR="00BA19D5" w:rsidRDefault="00BA19D5" w:rsidP="00BA19D5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ind w:left="5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Acquis </w:t>
      </w:r>
      <w:proofErr w:type="spellStart"/>
      <w:r>
        <w:rPr>
          <w:sz w:val="24"/>
          <w:szCs w:val="24"/>
          <w:lang w:val="en-US"/>
        </w:rPr>
        <w:t>communautaire</w:t>
      </w:r>
      <w:proofErr w:type="spellEnd"/>
      <w:r>
        <w:rPr>
          <w:sz w:val="24"/>
          <w:szCs w:val="24"/>
          <w:lang w:val="en-US"/>
        </w:rPr>
        <w:t>.</w:t>
      </w:r>
    </w:p>
    <w:p w:rsidR="00BA19D5" w:rsidRDefault="00BA19D5" w:rsidP="00BA19D5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ind w:left="5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direct impact of the EC Treaty on the Private Law of the Member States.</w:t>
      </w:r>
    </w:p>
    <w:p w:rsidR="00BA19D5" w:rsidRDefault="00BA19D5" w:rsidP="00BA19D5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Directives on European Private Law: </w:t>
      </w:r>
      <w:proofErr w:type="spellStart"/>
      <w:r>
        <w:rPr>
          <w:sz w:val="24"/>
          <w:szCs w:val="24"/>
        </w:rPr>
        <w:t>Sale</w:t>
      </w:r>
      <w:proofErr w:type="spellEnd"/>
      <w:r>
        <w:rPr>
          <w:sz w:val="24"/>
          <w:szCs w:val="24"/>
        </w:rPr>
        <w:t xml:space="preserve"> of consumer </w:t>
      </w:r>
      <w:proofErr w:type="spellStart"/>
      <w:r>
        <w:rPr>
          <w:sz w:val="24"/>
          <w:szCs w:val="24"/>
        </w:rPr>
        <w:t>goods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guarantees</w:t>
      </w:r>
      <w:proofErr w:type="spellEnd"/>
      <w:r>
        <w:rPr>
          <w:sz w:val="24"/>
          <w:szCs w:val="24"/>
        </w:rPr>
        <w:t xml:space="preserve"> (99/44/EC), </w:t>
      </w:r>
      <w:proofErr w:type="spellStart"/>
      <w:r>
        <w:rPr>
          <w:sz w:val="24"/>
          <w:szCs w:val="24"/>
        </w:rPr>
        <w:t>Timeshare</w:t>
      </w:r>
      <w:proofErr w:type="spellEnd"/>
      <w:r>
        <w:rPr>
          <w:sz w:val="24"/>
          <w:szCs w:val="24"/>
        </w:rPr>
        <w:t xml:space="preserve"> (94/47/EC), Price </w:t>
      </w:r>
      <w:proofErr w:type="spellStart"/>
      <w:r>
        <w:rPr>
          <w:sz w:val="24"/>
          <w:szCs w:val="24"/>
        </w:rPr>
        <w:t>indication</w:t>
      </w:r>
      <w:proofErr w:type="spellEnd"/>
      <w:r>
        <w:rPr>
          <w:sz w:val="24"/>
          <w:szCs w:val="24"/>
        </w:rPr>
        <w:t xml:space="preserve"> (98/6/EC), Unfair </w:t>
      </w:r>
      <w:proofErr w:type="spellStart"/>
      <w:r>
        <w:rPr>
          <w:sz w:val="24"/>
          <w:szCs w:val="24"/>
        </w:rPr>
        <w:t>contract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terms</w:t>
      </w:r>
      <w:proofErr w:type="spellEnd"/>
      <w:r>
        <w:rPr>
          <w:sz w:val="24"/>
          <w:szCs w:val="24"/>
        </w:rPr>
        <w:t xml:space="preserve"> (93/13/EC), </w:t>
      </w:r>
      <w:proofErr w:type="spellStart"/>
      <w:r>
        <w:rPr>
          <w:sz w:val="24"/>
          <w:szCs w:val="24"/>
        </w:rPr>
        <w:t>Injunctions</w:t>
      </w:r>
      <w:proofErr w:type="spellEnd"/>
      <w:r>
        <w:rPr>
          <w:sz w:val="24"/>
          <w:szCs w:val="24"/>
        </w:rPr>
        <w:t xml:space="preserve"> (98/27/EC), </w:t>
      </w:r>
      <w:proofErr w:type="spellStart"/>
      <w:r>
        <w:rPr>
          <w:sz w:val="24"/>
          <w:szCs w:val="24"/>
        </w:rPr>
        <w:t>Package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(90/314/EC), </w:t>
      </w:r>
      <w:proofErr w:type="spellStart"/>
      <w:r>
        <w:rPr>
          <w:sz w:val="24"/>
          <w:szCs w:val="24"/>
        </w:rPr>
        <w:t>Distance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selling</w:t>
      </w:r>
      <w:proofErr w:type="spellEnd"/>
      <w:r>
        <w:rPr>
          <w:sz w:val="24"/>
          <w:szCs w:val="24"/>
        </w:rPr>
        <w:t xml:space="preserve"> (97/7/EC), </w:t>
      </w:r>
      <w:proofErr w:type="spellStart"/>
      <w:r>
        <w:rPr>
          <w:sz w:val="24"/>
          <w:szCs w:val="24"/>
        </w:rPr>
        <w:t>Doorstep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selling</w:t>
      </w:r>
      <w:proofErr w:type="spellEnd"/>
      <w:r>
        <w:rPr>
          <w:sz w:val="24"/>
          <w:szCs w:val="24"/>
        </w:rPr>
        <w:t xml:space="preserve"> (85/577/EC), Consumer credit (2008/48/EC), Consumer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 (2011/83/EU)  </w:t>
      </w:r>
    </w:p>
    <w:p w:rsidR="00BA19D5" w:rsidRDefault="00BA19D5" w:rsidP="00BA19D5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ind w:left="5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Review of the acquis </w:t>
      </w:r>
      <w:proofErr w:type="spellStart"/>
      <w:r>
        <w:rPr>
          <w:sz w:val="24"/>
          <w:szCs w:val="24"/>
          <w:lang w:val="en-US"/>
        </w:rPr>
        <w:t>communautaire</w:t>
      </w:r>
      <w:proofErr w:type="spellEnd"/>
      <w:r>
        <w:rPr>
          <w:sz w:val="24"/>
          <w:szCs w:val="24"/>
          <w:lang w:val="en-US"/>
        </w:rPr>
        <w:t xml:space="preserve"> in European Private Law: Communications and Action Plans, Green books, Common Frame of Reference, optional instrument, European Civil Code.</w:t>
      </w:r>
    </w:p>
    <w:p w:rsidR="00BA19D5" w:rsidRDefault="00BA19D5" w:rsidP="00BA19D5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ind w:left="5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Academic working groups: COPECL, PECL, SGECC, Acquis Group</w:t>
      </w:r>
    </w:p>
    <w:p w:rsidR="00BA19D5" w:rsidRDefault="00BA19D5" w:rsidP="00BA19D5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ind w:left="5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role of the European Parliament in the elaboration of European Private Law.</w:t>
      </w:r>
    </w:p>
    <w:p w:rsidR="00BA19D5" w:rsidRDefault="00BA19D5" w:rsidP="00BA19D5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Proposal for a REGULATION OF THE EUROPEAN PARLIAMENT AND OF THE COUNCIL on a Common European Sales Law</w:t>
      </w:r>
    </w:p>
    <w:p w:rsidR="00BA19D5" w:rsidRDefault="00BA19D5" w:rsidP="00BA19D5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080"/>
        </w:tabs>
        <w:suppressAutoHyphens/>
        <w:ind w:left="5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European Law Institute</w:t>
      </w:r>
    </w:p>
    <w:p w:rsidR="00BA19D5" w:rsidRDefault="00BA19D5" w:rsidP="00BA19D5">
      <w:pPr>
        <w:rPr>
          <w:sz w:val="24"/>
          <w:szCs w:val="24"/>
        </w:rPr>
      </w:pPr>
    </w:p>
    <w:p w:rsidR="00BA19D5" w:rsidRDefault="00BA19D5" w:rsidP="00BA19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Further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>:</w:t>
      </w:r>
    </w:p>
    <w:p w:rsidR="00BA19D5" w:rsidRDefault="00BA19D5" w:rsidP="00BA19D5">
      <w:pPr>
        <w:pStyle w:val="Default"/>
        <w:jc w:val="both"/>
        <w:rPr>
          <w:color w:val="auto"/>
          <w:lang w:val="en-GB"/>
        </w:rPr>
      </w:pPr>
    </w:p>
    <w:p w:rsidR="00BA19D5" w:rsidRDefault="00BA19D5" w:rsidP="00BA19D5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Brussels, 11.07.2001, </w:t>
      </w:r>
      <w:proofErr w:type="gramStart"/>
      <w:r>
        <w:rPr>
          <w:i/>
          <w:iCs/>
          <w:color w:val="auto"/>
          <w:lang w:val="en-US"/>
        </w:rPr>
        <w:t>COM(</w:t>
      </w:r>
      <w:proofErr w:type="gramEnd"/>
      <w:r>
        <w:rPr>
          <w:i/>
          <w:iCs/>
          <w:color w:val="auto"/>
          <w:lang w:val="en-US"/>
        </w:rPr>
        <w:t xml:space="preserve">2001) 398 final </w:t>
      </w:r>
    </w:p>
    <w:p w:rsidR="00BA19D5" w:rsidRDefault="00BA19D5" w:rsidP="00BA19D5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COMMUNICATION FROM THE COMMISSION TO THE COUNCIL AND THE EUROPEAN PARLIAMENT ON EUROPEAN CONTRACT LAW </w:t>
      </w:r>
    </w:p>
    <w:p w:rsidR="00CF4B95" w:rsidRDefault="00CF4B95"/>
    <w:p w:rsidR="00BA19D5" w:rsidRDefault="00BA19D5" w:rsidP="00BA19D5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Brussels, 12.2.2003, </w:t>
      </w:r>
      <w:proofErr w:type="gramStart"/>
      <w:r>
        <w:rPr>
          <w:i/>
          <w:iCs/>
          <w:color w:val="auto"/>
          <w:lang w:val="en-US"/>
        </w:rPr>
        <w:t>COM(</w:t>
      </w:r>
      <w:proofErr w:type="gramEnd"/>
      <w:r>
        <w:rPr>
          <w:i/>
          <w:iCs/>
          <w:color w:val="auto"/>
          <w:lang w:val="en-US"/>
        </w:rPr>
        <w:t xml:space="preserve">2003) 68 final </w:t>
      </w:r>
    </w:p>
    <w:p w:rsidR="00BA19D5" w:rsidRDefault="00BA19D5" w:rsidP="00BA19D5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COMMUNICATION FROM THE COMMISSION TO THE EUROPEAN PARLIAMENT AND THE COUNCIL </w:t>
      </w:r>
    </w:p>
    <w:p w:rsidR="00BA19D5" w:rsidRDefault="00BA19D5" w:rsidP="00BA19D5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A MORE COHERENT EUROPEAN CONTRACT LAW, AN ACTION PLAN </w:t>
      </w:r>
    </w:p>
    <w:p w:rsidR="00BA19D5" w:rsidRDefault="00BA19D5" w:rsidP="00BA19D5">
      <w:pPr>
        <w:pStyle w:val="Default"/>
        <w:jc w:val="both"/>
        <w:rPr>
          <w:color w:val="auto"/>
          <w:lang w:val="en-US"/>
        </w:rPr>
      </w:pPr>
    </w:p>
    <w:p w:rsidR="00BA19D5" w:rsidRDefault="00BA19D5" w:rsidP="00BA19D5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Brussels, 11.10.2004, </w:t>
      </w:r>
      <w:proofErr w:type="gramStart"/>
      <w:r>
        <w:rPr>
          <w:i/>
          <w:iCs/>
          <w:color w:val="auto"/>
          <w:lang w:val="en-US"/>
        </w:rPr>
        <w:t>COM(</w:t>
      </w:r>
      <w:proofErr w:type="gramEnd"/>
      <w:r>
        <w:rPr>
          <w:i/>
          <w:iCs/>
          <w:color w:val="auto"/>
          <w:lang w:val="en-US"/>
        </w:rPr>
        <w:t xml:space="preserve">2004) 651 final </w:t>
      </w:r>
    </w:p>
    <w:p w:rsidR="00BA19D5" w:rsidRDefault="00BA19D5" w:rsidP="00BA19D5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COMMUNICATION FROM THE COMMISSION TO THE EUROPEAN PARLIAMENT AND THE COUNCIL </w:t>
      </w:r>
    </w:p>
    <w:p w:rsidR="00BA19D5" w:rsidRDefault="00BA19D5" w:rsidP="00BA19D5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European Contract Law and the revision of the acquis: the way forward </w:t>
      </w:r>
    </w:p>
    <w:p w:rsidR="00BA19D5" w:rsidRDefault="00BA19D5" w:rsidP="00BA19D5">
      <w:pPr>
        <w:pStyle w:val="Default"/>
        <w:jc w:val="both"/>
        <w:rPr>
          <w:color w:val="auto"/>
          <w:lang w:val="en-US"/>
        </w:rPr>
      </w:pPr>
    </w:p>
    <w:p w:rsidR="00BA19D5" w:rsidRDefault="00BA19D5" w:rsidP="00BA19D5">
      <w:pPr>
        <w:pStyle w:val="Default"/>
        <w:jc w:val="both"/>
        <w:rPr>
          <w:color w:val="auto"/>
          <w:lang w:val="en-US"/>
        </w:rPr>
      </w:pPr>
    </w:p>
    <w:p w:rsidR="00BA19D5" w:rsidRDefault="00BA19D5" w:rsidP="00BA19D5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Brussels, 08.02.2007, </w:t>
      </w:r>
      <w:proofErr w:type="gramStart"/>
      <w:r>
        <w:rPr>
          <w:i/>
          <w:iCs/>
          <w:color w:val="auto"/>
          <w:lang w:val="en-US"/>
        </w:rPr>
        <w:t>COM(</w:t>
      </w:r>
      <w:proofErr w:type="gramEnd"/>
      <w:r>
        <w:rPr>
          <w:i/>
          <w:iCs/>
          <w:color w:val="auto"/>
          <w:lang w:val="en-US"/>
        </w:rPr>
        <w:t xml:space="preserve">2006) 744 final </w:t>
      </w:r>
    </w:p>
    <w:p w:rsidR="00BA19D5" w:rsidRDefault="00BA19D5" w:rsidP="00BA19D5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lastRenderedPageBreak/>
        <w:t xml:space="preserve">GREEN PAPER on the Review of the Consumer Acquis </w:t>
      </w:r>
    </w:p>
    <w:p w:rsidR="00BA19D5" w:rsidRDefault="00BA19D5" w:rsidP="00BA19D5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Brussels, 08.10.2008, COM (2008) 614 final </w:t>
      </w:r>
    </w:p>
    <w:p w:rsidR="00BA19D5" w:rsidRDefault="00BA19D5" w:rsidP="00BA19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19D5" w:rsidRDefault="00BA19D5" w:rsidP="00BA19D5">
      <w:pPr>
        <w:autoSpaceDE w:val="0"/>
        <w:autoSpaceDN w:val="0"/>
        <w:adjustRightInd w:val="0"/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Brussels, 11.10.2011, </w:t>
      </w:r>
      <w:proofErr w:type="gramStart"/>
      <w:r>
        <w:rPr>
          <w:i/>
          <w:iCs/>
          <w:sz w:val="24"/>
          <w:szCs w:val="24"/>
          <w:lang w:val="en-US"/>
        </w:rPr>
        <w:t>COM(</w:t>
      </w:r>
      <w:proofErr w:type="gramEnd"/>
      <w:r>
        <w:rPr>
          <w:i/>
          <w:iCs/>
          <w:sz w:val="24"/>
          <w:szCs w:val="24"/>
          <w:lang w:val="en-US"/>
        </w:rPr>
        <w:t>2011) 635 final</w:t>
      </w:r>
    </w:p>
    <w:p w:rsidR="00BA19D5" w:rsidRDefault="00BA19D5" w:rsidP="00BA19D5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Proposal for a REGULATION OF THE EUROPEAN PARLIAMENT AND OF THE COUNCIL on a Common European Sales Law</w:t>
      </w:r>
    </w:p>
    <w:p w:rsidR="00BA19D5" w:rsidRDefault="00BA19D5"/>
    <w:sectPr w:rsidR="00BA1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26CB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D5"/>
    <w:rsid w:val="00BA19D5"/>
    <w:rsid w:val="00C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819E"/>
  <w15:chartTrackingRefBased/>
  <w15:docId w15:val="{DED7FE39-2913-4F23-A0B0-45FB4094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A1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Polllak</dc:creator>
  <cp:keywords/>
  <dc:description/>
  <cp:lastModifiedBy>Polllak</cp:lastModifiedBy>
  <cp:revision>1</cp:revision>
  <dcterms:created xsi:type="dcterms:W3CDTF">2017-02-14T13:23:00Z</dcterms:created>
  <dcterms:modified xsi:type="dcterms:W3CDTF">2017-02-14T13:25:00Z</dcterms:modified>
</cp:coreProperties>
</file>