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32" w:rsidRPr="000164D3" w:rsidRDefault="00CA2A32" w:rsidP="00CA2A32">
      <w:pPr>
        <w:pageBreakBefore/>
        <w:rPr>
          <w:b/>
          <w:bCs/>
          <w:sz w:val="24"/>
          <w:szCs w:val="24"/>
          <w:u w:val="single"/>
        </w:rPr>
      </w:pPr>
      <w:r w:rsidRPr="00CA2A32">
        <w:rPr>
          <w:rStyle w:val="CmChar"/>
          <w:sz w:val="28"/>
          <w:szCs w:val="28"/>
        </w:rPr>
        <w:t xml:space="preserve">JDSI-EUA </w:t>
      </w:r>
      <w:proofErr w:type="gramStart"/>
      <w:r w:rsidRPr="00CA2A32">
        <w:rPr>
          <w:rStyle w:val="CmChar"/>
          <w:sz w:val="28"/>
          <w:szCs w:val="28"/>
        </w:rPr>
        <w:t>2150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</w:t>
      </w:r>
      <w:r w:rsidRPr="000164D3">
        <w:rPr>
          <w:b/>
          <w:bCs/>
          <w:sz w:val="24"/>
          <w:szCs w:val="24"/>
          <w:u w:val="single"/>
        </w:rPr>
        <w:t>European</w:t>
      </w:r>
      <w:proofErr w:type="gramEnd"/>
      <w:r w:rsidRPr="000164D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164D3">
        <w:rPr>
          <w:b/>
          <w:bCs/>
          <w:sz w:val="24"/>
          <w:szCs w:val="24"/>
          <w:u w:val="single"/>
        </w:rPr>
        <w:t>Court</w:t>
      </w:r>
      <w:proofErr w:type="spellEnd"/>
      <w:r w:rsidRPr="000164D3">
        <w:rPr>
          <w:b/>
          <w:bCs/>
          <w:sz w:val="24"/>
          <w:szCs w:val="24"/>
          <w:u w:val="single"/>
        </w:rPr>
        <w:t xml:space="preserve"> of </w:t>
      </w:r>
      <w:proofErr w:type="spellStart"/>
      <w:r w:rsidRPr="000164D3">
        <w:rPr>
          <w:b/>
          <w:bCs/>
          <w:sz w:val="24"/>
          <w:szCs w:val="24"/>
          <w:u w:val="single"/>
        </w:rPr>
        <w:t>Justice</w:t>
      </w:r>
      <w:proofErr w:type="spellEnd"/>
    </w:p>
    <w:p w:rsidR="00CA2A32" w:rsidRPr="000164D3" w:rsidRDefault="00CA2A32" w:rsidP="00CA2A32">
      <w:pPr>
        <w:rPr>
          <w:b/>
          <w:bCs/>
          <w:sz w:val="24"/>
          <w:szCs w:val="24"/>
        </w:rPr>
      </w:pPr>
      <w:r w:rsidRPr="000164D3">
        <w:rPr>
          <w:b/>
          <w:bCs/>
          <w:sz w:val="24"/>
          <w:szCs w:val="24"/>
        </w:rPr>
        <w:t xml:space="preserve">Total </w:t>
      </w:r>
      <w:proofErr w:type="spellStart"/>
      <w:r w:rsidRPr="000164D3">
        <w:rPr>
          <w:b/>
          <w:bCs/>
          <w:sz w:val="24"/>
          <w:szCs w:val="24"/>
        </w:rPr>
        <w:t>number</w:t>
      </w:r>
      <w:proofErr w:type="spellEnd"/>
      <w:r w:rsidRPr="000164D3">
        <w:rPr>
          <w:b/>
          <w:bCs/>
          <w:sz w:val="24"/>
          <w:szCs w:val="24"/>
        </w:rPr>
        <w:t xml:space="preserve"> of </w:t>
      </w:r>
      <w:proofErr w:type="spellStart"/>
      <w:r w:rsidRPr="000164D3">
        <w:rPr>
          <w:b/>
          <w:bCs/>
          <w:sz w:val="24"/>
          <w:szCs w:val="24"/>
        </w:rPr>
        <w:t>lectures</w:t>
      </w:r>
      <w:proofErr w:type="spellEnd"/>
      <w:r w:rsidRPr="000164D3">
        <w:rPr>
          <w:b/>
          <w:bCs/>
          <w:sz w:val="24"/>
          <w:szCs w:val="24"/>
        </w:rPr>
        <w:t xml:space="preserve">: 16 </w:t>
      </w:r>
      <w:proofErr w:type="spellStart"/>
      <w:r w:rsidRPr="000164D3">
        <w:rPr>
          <w:b/>
          <w:bCs/>
          <w:sz w:val="24"/>
          <w:szCs w:val="24"/>
        </w:rPr>
        <w:t>hours</w:t>
      </w:r>
      <w:proofErr w:type="spellEnd"/>
    </w:p>
    <w:p w:rsidR="00CA2A32" w:rsidRPr="000164D3" w:rsidRDefault="00CA2A32" w:rsidP="00CA2A32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Credits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6</w:t>
      </w:r>
      <w:r w:rsidRPr="000164D3">
        <w:rPr>
          <w:b/>
          <w:bCs/>
          <w:sz w:val="24"/>
          <w:szCs w:val="24"/>
        </w:rPr>
        <w:t xml:space="preserve"> </w:t>
      </w:r>
      <w:proofErr w:type="spellStart"/>
      <w:r w:rsidRPr="000164D3">
        <w:rPr>
          <w:b/>
          <w:bCs/>
          <w:sz w:val="24"/>
          <w:szCs w:val="24"/>
        </w:rPr>
        <w:t>credits</w:t>
      </w:r>
      <w:proofErr w:type="spellEnd"/>
    </w:p>
    <w:p w:rsidR="00CA2A32" w:rsidRPr="000164D3" w:rsidRDefault="00CA2A32" w:rsidP="00CA2A32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Examining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proofErr w:type="spellStart"/>
      <w:r w:rsidRPr="000164D3">
        <w:rPr>
          <w:b/>
          <w:bCs/>
          <w:sz w:val="24"/>
          <w:szCs w:val="24"/>
        </w:rPr>
        <w:t>exam</w:t>
      </w:r>
      <w:proofErr w:type="spellEnd"/>
    </w:p>
    <w:p w:rsidR="00CA2A32" w:rsidRPr="000164D3" w:rsidRDefault="00CA2A32" w:rsidP="00CA2A32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Lecturer</w:t>
      </w:r>
      <w:proofErr w:type="spellEnd"/>
      <w:r w:rsidRPr="000164D3">
        <w:rPr>
          <w:b/>
          <w:bCs/>
          <w:sz w:val="24"/>
          <w:szCs w:val="24"/>
        </w:rPr>
        <w:t>: dr. Nagy, Gábor/ dr. Fehér, Miklós</w:t>
      </w:r>
    </w:p>
    <w:p w:rsidR="00CA2A32" w:rsidRPr="000164D3" w:rsidRDefault="00CA2A32" w:rsidP="00CA2A32">
      <w:pPr>
        <w:ind w:left="708"/>
        <w:rPr>
          <w:b/>
          <w:bCs/>
          <w:sz w:val="24"/>
          <w:szCs w:val="24"/>
        </w:rPr>
      </w:pPr>
      <w:proofErr w:type="gramStart"/>
      <w:r w:rsidRPr="000164D3">
        <w:rPr>
          <w:b/>
          <w:bCs/>
          <w:sz w:val="24"/>
          <w:szCs w:val="24"/>
        </w:rPr>
        <w:t>dr.</w:t>
      </w:r>
      <w:proofErr w:type="gramEnd"/>
      <w:r w:rsidRPr="000164D3">
        <w:rPr>
          <w:b/>
          <w:bCs/>
          <w:sz w:val="24"/>
          <w:szCs w:val="24"/>
        </w:rPr>
        <w:t xml:space="preserve"> </w:t>
      </w:r>
      <w:proofErr w:type="spellStart"/>
      <w:r w:rsidRPr="000164D3">
        <w:rPr>
          <w:b/>
          <w:bCs/>
          <w:sz w:val="24"/>
          <w:szCs w:val="24"/>
        </w:rPr>
        <w:t>Luszcz</w:t>
      </w:r>
      <w:proofErr w:type="spellEnd"/>
      <w:r w:rsidRPr="000164D3">
        <w:rPr>
          <w:b/>
          <w:bCs/>
          <w:sz w:val="24"/>
          <w:szCs w:val="24"/>
        </w:rPr>
        <w:t xml:space="preserve"> Viktor, dr. Fejes Gábor</w:t>
      </w:r>
    </w:p>
    <w:p w:rsidR="00CA2A32" w:rsidRPr="000164D3" w:rsidRDefault="00CA2A32" w:rsidP="00CA2A32">
      <w:pPr>
        <w:rPr>
          <w:b/>
          <w:bCs/>
          <w:sz w:val="24"/>
          <w:szCs w:val="24"/>
        </w:rPr>
      </w:pPr>
      <w:bookmarkStart w:id="0" w:name="_GoBack"/>
      <w:bookmarkEnd w:id="0"/>
    </w:p>
    <w:p w:rsidR="00CA2A32" w:rsidRPr="000164D3" w:rsidRDefault="00CA2A32" w:rsidP="00CA2A32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Themes</w:t>
      </w:r>
      <w:proofErr w:type="spellEnd"/>
      <w:r w:rsidRPr="000164D3">
        <w:rPr>
          <w:b/>
          <w:bCs/>
          <w:sz w:val="24"/>
          <w:szCs w:val="24"/>
        </w:rPr>
        <w:t>:</w:t>
      </w:r>
    </w:p>
    <w:p w:rsidR="00CA2A32" w:rsidRPr="000164D3" w:rsidRDefault="00CA2A32" w:rsidP="00CA2A32">
      <w:pPr>
        <w:rPr>
          <w:b/>
          <w:bCs/>
          <w:sz w:val="24"/>
          <w:szCs w:val="24"/>
        </w:rPr>
      </w:pPr>
    </w:p>
    <w:p w:rsidR="00CA2A32" w:rsidRPr="000164D3" w:rsidRDefault="00CA2A32" w:rsidP="00CA2A32">
      <w:pPr>
        <w:ind w:left="360" w:hanging="180"/>
        <w:rPr>
          <w:sz w:val="24"/>
          <w:szCs w:val="24"/>
        </w:rPr>
      </w:pPr>
      <w:r w:rsidRPr="000164D3">
        <w:rPr>
          <w:sz w:val="24"/>
          <w:szCs w:val="24"/>
        </w:rPr>
        <w:t xml:space="preserve">1. The </w:t>
      </w:r>
      <w:proofErr w:type="spellStart"/>
      <w:r w:rsidRPr="000164D3">
        <w:rPr>
          <w:sz w:val="24"/>
          <w:szCs w:val="24"/>
        </w:rPr>
        <w:t>three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courts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judicial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institution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Community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Court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Justice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Court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First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Instance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Judicial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Panels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attached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Court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First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Instance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Civil Service </w:t>
      </w:r>
      <w:proofErr w:type="spellStart"/>
      <w:r w:rsidRPr="000164D3">
        <w:rPr>
          <w:sz w:val="24"/>
          <w:szCs w:val="24"/>
        </w:rPr>
        <w:t>Tribunal</w:t>
      </w:r>
      <w:proofErr w:type="spellEnd"/>
      <w:r w:rsidRPr="000164D3">
        <w:rPr>
          <w:sz w:val="24"/>
          <w:szCs w:val="24"/>
        </w:rPr>
        <w:t xml:space="preserve">) </w:t>
      </w:r>
    </w:p>
    <w:p w:rsidR="00CA2A32" w:rsidRPr="000164D3" w:rsidRDefault="00CA2A32" w:rsidP="00CA2A32">
      <w:pPr>
        <w:ind w:left="360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Composition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Jurisdiction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 w:hanging="180"/>
        <w:rPr>
          <w:sz w:val="24"/>
          <w:szCs w:val="24"/>
        </w:rPr>
      </w:pPr>
      <w:r w:rsidRPr="000164D3">
        <w:rPr>
          <w:sz w:val="24"/>
          <w:szCs w:val="24"/>
        </w:rPr>
        <w:t xml:space="preserve">2. The </w:t>
      </w:r>
      <w:proofErr w:type="spellStart"/>
      <w:r w:rsidRPr="000164D3">
        <w:rPr>
          <w:sz w:val="24"/>
          <w:szCs w:val="24"/>
        </w:rPr>
        <w:t>procedure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written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inquery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oral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time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limits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language</w:t>
      </w:r>
      <w:proofErr w:type="spellEnd"/>
      <w:r w:rsidRPr="000164D3">
        <w:rPr>
          <w:sz w:val="24"/>
          <w:szCs w:val="24"/>
        </w:rPr>
        <w:t xml:space="preserve">) </w:t>
      </w:r>
    </w:p>
    <w:p w:rsidR="00CA2A32" w:rsidRPr="000164D3" w:rsidRDefault="00CA2A32" w:rsidP="00CA2A32">
      <w:pPr>
        <w:ind w:left="360" w:hanging="180"/>
        <w:rPr>
          <w:sz w:val="24"/>
          <w:szCs w:val="24"/>
        </w:rPr>
      </w:pPr>
      <w:r w:rsidRPr="000164D3">
        <w:rPr>
          <w:sz w:val="24"/>
          <w:szCs w:val="24"/>
        </w:rPr>
        <w:t xml:space="preserve">3. </w:t>
      </w:r>
      <w:proofErr w:type="spellStart"/>
      <w:r w:rsidRPr="000164D3">
        <w:rPr>
          <w:sz w:val="24"/>
          <w:szCs w:val="24"/>
        </w:rPr>
        <w:t>Types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proceedings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References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for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preliminary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ruling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/>
        <w:rPr>
          <w:sz w:val="24"/>
          <w:szCs w:val="24"/>
        </w:rPr>
      </w:pPr>
      <w:r w:rsidRPr="000164D3">
        <w:rPr>
          <w:sz w:val="24"/>
          <w:szCs w:val="24"/>
        </w:rPr>
        <w:t xml:space="preserve">Action </w:t>
      </w:r>
      <w:proofErr w:type="spellStart"/>
      <w:r w:rsidRPr="000164D3">
        <w:rPr>
          <w:sz w:val="24"/>
          <w:szCs w:val="24"/>
        </w:rPr>
        <w:t>for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failure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fulfil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obligations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Actions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for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annulment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Actions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for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failure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act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Actions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for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damages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 w:hanging="180"/>
        <w:rPr>
          <w:sz w:val="24"/>
          <w:szCs w:val="24"/>
        </w:rPr>
      </w:pPr>
      <w:r w:rsidRPr="000164D3">
        <w:rPr>
          <w:sz w:val="24"/>
          <w:szCs w:val="24"/>
        </w:rPr>
        <w:t xml:space="preserve">4. </w:t>
      </w:r>
      <w:proofErr w:type="spellStart"/>
      <w:r w:rsidRPr="000164D3">
        <w:rPr>
          <w:sz w:val="24"/>
          <w:szCs w:val="24"/>
        </w:rPr>
        <w:t>Appeals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reviews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 w:hanging="180"/>
        <w:rPr>
          <w:sz w:val="24"/>
          <w:szCs w:val="24"/>
        </w:rPr>
      </w:pPr>
      <w:r w:rsidRPr="000164D3">
        <w:rPr>
          <w:sz w:val="24"/>
          <w:szCs w:val="24"/>
        </w:rPr>
        <w:t xml:space="preserve">5. </w:t>
      </w:r>
      <w:proofErr w:type="spellStart"/>
      <w:r w:rsidRPr="000164D3">
        <w:rPr>
          <w:sz w:val="24"/>
          <w:szCs w:val="24"/>
        </w:rPr>
        <w:t>Court’s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role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give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opinion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ind w:left="360" w:hanging="180"/>
        <w:rPr>
          <w:sz w:val="24"/>
          <w:szCs w:val="24"/>
        </w:rPr>
      </w:pPr>
      <w:r w:rsidRPr="000164D3">
        <w:rPr>
          <w:sz w:val="24"/>
          <w:szCs w:val="24"/>
        </w:rPr>
        <w:t xml:space="preserve">6. </w:t>
      </w:r>
      <w:proofErr w:type="spellStart"/>
      <w:r w:rsidRPr="000164D3">
        <w:rPr>
          <w:sz w:val="24"/>
          <w:szCs w:val="24"/>
        </w:rPr>
        <w:t>Introduction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cases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with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purpose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understand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different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types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proceedings</w:t>
      </w:r>
      <w:proofErr w:type="spellEnd"/>
      <w:r w:rsidRPr="000164D3">
        <w:rPr>
          <w:sz w:val="24"/>
          <w:szCs w:val="24"/>
        </w:rPr>
        <w:t xml:space="preserve"> </w:t>
      </w:r>
    </w:p>
    <w:p w:rsidR="00CA2A32" w:rsidRPr="000164D3" w:rsidRDefault="00CA2A32" w:rsidP="00CA2A32">
      <w:pPr>
        <w:rPr>
          <w:sz w:val="24"/>
          <w:szCs w:val="24"/>
        </w:rPr>
      </w:pPr>
    </w:p>
    <w:p w:rsidR="00CA2A32" w:rsidRPr="000164D3" w:rsidRDefault="00CA2A32" w:rsidP="00CA2A32">
      <w:pPr>
        <w:rPr>
          <w:sz w:val="24"/>
          <w:szCs w:val="24"/>
        </w:rPr>
      </w:pPr>
    </w:p>
    <w:p w:rsidR="00CA2A32" w:rsidRPr="000164D3" w:rsidRDefault="00CA2A32" w:rsidP="00CA2A32">
      <w:pPr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Further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reading</w:t>
      </w:r>
      <w:proofErr w:type="spellEnd"/>
      <w:r w:rsidRPr="000164D3">
        <w:rPr>
          <w:sz w:val="24"/>
          <w:szCs w:val="24"/>
        </w:rPr>
        <w:t>:</w:t>
      </w:r>
    </w:p>
    <w:p w:rsidR="00CA2A32" w:rsidRPr="000164D3" w:rsidRDefault="00CA2A32" w:rsidP="00CA2A32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 xml:space="preserve">EC </w:t>
      </w:r>
      <w:proofErr w:type="spellStart"/>
      <w:r w:rsidRPr="000164D3">
        <w:rPr>
          <w:sz w:val="24"/>
          <w:szCs w:val="24"/>
        </w:rPr>
        <w:t>Treaty</w:t>
      </w:r>
      <w:proofErr w:type="spellEnd"/>
      <w:r w:rsidRPr="000164D3">
        <w:rPr>
          <w:sz w:val="24"/>
          <w:szCs w:val="24"/>
        </w:rPr>
        <w:t xml:space="preserve"> Art 220-246 </w:t>
      </w:r>
    </w:p>
    <w:p w:rsidR="00CA2A32" w:rsidRPr="000164D3" w:rsidRDefault="00CA2A32" w:rsidP="00CA2A32">
      <w:pPr>
        <w:ind w:left="180"/>
        <w:rPr>
          <w:sz w:val="24"/>
          <w:szCs w:val="24"/>
        </w:rPr>
      </w:pPr>
      <w:r w:rsidRPr="000164D3">
        <w:rPr>
          <w:sz w:val="24"/>
          <w:szCs w:val="24"/>
        </w:rPr>
        <w:t>A</w:t>
      </w:r>
      <w:proofErr w:type="gramStart"/>
      <w:r w:rsidRPr="000164D3">
        <w:rPr>
          <w:sz w:val="24"/>
          <w:szCs w:val="24"/>
        </w:rPr>
        <w:t>.F</w:t>
      </w:r>
      <w:proofErr w:type="gramEnd"/>
      <w:r w:rsidRPr="000164D3">
        <w:rPr>
          <w:sz w:val="24"/>
          <w:szCs w:val="24"/>
        </w:rPr>
        <w:t xml:space="preserve">. </w:t>
      </w:r>
      <w:proofErr w:type="spellStart"/>
      <w:r w:rsidRPr="000164D3">
        <w:rPr>
          <w:sz w:val="24"/>
          <w:szCs w:val="24"/>
        </w:rPr>
        <w:t>Tatham</w:t>
      </w:r>
      <w:proofErr w:type="spellEnd"/>
      <w:r w:rsidRPr="000164D3">
        <w:rPr>
          <w:sz w:val="24"/>
          <w:szCs w:val="24"/>
        </w:rPr>
        <w:t xml:space="preserve">, EC Law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Practice</w:t>
      </w:r>
      <w:proofErr w:type="spellEnd"/>
      <w:r w:rsidRPr="000164D3">
        <w:rPr>
          <w:sz w:val="24"/>
          <w:szCs w:val="24"/>
        </w:rPr>
        <w:t>, HVG ORAC Lap- és Könyvkiadó Kft., Budapest</w:t>
      </w:r>
    </w:p>
    <w:p w:rsidR="00CA2A32" w:rsidRPr="000164D3" w:rsidRDefault="00CA2A32" w:rsidP="00CA2A32">
      <w:pPr>
        <w:spacing w:after="200" w:line="276" w:lineRule="auto"/>
        <w:jc w:val="center"/>
        <w:rPr>
          <w:sz w:val="24"/>
          <w:szCs w:val="24"/>
          <w:lang w:val="en-US"/>
        </w:rPr>
      </w:pPr>
      <w:r w:rsidRPr="000164D3">
        <w:rPr>
          <w:sz w:val="24"/>
          <w:szCs w:val="24"/>
        </w:rPr>
        <w:br w:type="page"/>
      </w:r>
    </w:p>
    <w:p w:rsidR="00736E8A" w:rsidRDefault="00736E8A"/>
    <w:sectPr w:rsidR="007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2"/>
    <w:rsid w:val="00736E8A"/>
    <w:rsid w:val="00C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E02C-D259-4996-92D0-0E11BC0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A2A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2A32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2015-10-13T12:44:00Z</dcterms:created>
  <dcterms:modified xsi:type="dcterms:W3CDTF">2015-10-13T12:45:00Z</dcterms:modified>
</cp:coreProperties>
</file>