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22286" w:rsidRPr="00722286" w:rsidTr="00722286">
        <w:tc>
          <w:tcPr>
            <w:tcW w:w="2500" w:type="pct"/>
            <w:hideMark/>
          </w:tcPr>
          <w:tbl>
            <w:tblPr>
              <w:tblW w:w="49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5"/>
            </w:tblGrid>
            <w:tr w:rsidR="00722286" w:rsidRPr="00722286">
              <w:trPr>
                <w:trHeight w:val="300"/>
              </w:trPr>
              <w:tc>
                <w:tcPr>
                  <w:tcW w:w="0" w:type="auto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Code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</w:t>
                  </w:r>
                  <w:r w:rsidR="00C421DB" w:rsidRPr="00A63405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 xml:space="preserve"> </w:t>
                  </w:r>
                  <w:r w:rsidR="00C421DB" w:rsidRPr="00A63405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JOEU205XX0</w:t>
                  </w:r>
                </w:p>
              </w:tc>
            </w:tr>
            <w:tr w:rsidR="00722286" w:rsidRPr="00722286">
              <w:trPr>
                <w:trHeight w:val="300"/>
              </w:trPr>
              <w:tc>
                <w:tcPr>
                  <w:tcW w:w="0" w:type="auto"/>
                  <w:hideMark/>
                </w:tcPr>
                <w:p w:rsidR="00722286" w:rsidRPr="00722286" w:rsidRDefault="00722286" w:rsidP="00C421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Name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</w:t>
                  </w:r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 xml:space="preserve"> </w:t>
                  </w:r>
                  <w:r w:rsidR="00C421DB" w:rsidRPr="00A63405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European Law 3</w:t>
                  </w:r>
                </w:p>
              </w:tc>
            </w:tr>
            <w:tr w:rsidR="00722286" w:rsidRPr="00722286">
              <w:trPr>
                <w:trHeight w:val="300"/>
              </w:trPr>
              <w:tc>
                <w:tcPr>
                  <w:tcW w:w="0" w:type="auto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Original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subject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name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</w:t>
                  </w:r>
                </w:p>
              </w:tc>
            </w:tr>
            <w:tr w:rsidR="00722286" w:rsidRPr="00722286">
              <w:trPr>
                <w:trHeight w:val="300"/>
              </w:trPr>
              <w:tc>
                <w:tcPr>
                  <w:tcW w:w="0" w:type="auto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Credit:</w:t>
                  </w:r>
                  <w:r w:rsidRPr="00722286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6</w:t>
                  </w:r>
                </w:p>
              </w:tc>
            </w:tr>
            <w:tr w:rsidR="00722286" w:rsidRPr="00722286">
              <w:trPr>
                <w:trHeight w:val="300"/>
              </w:trPr>
              <w:tc>
                <w:tcPr>
                  <w:tcW w:w="0" w:type="auto"/>
                  <w:hideMark/>
                </w:tcPr>
                <w:p w:rsidR="00722286" w:rsidRPr="00722286" w:rsidRDefault="00722286" w:rsidP="00C421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Requirement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type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</w:t>
                  </w:r>
                  <w:r w:rsidR="00C421DB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Exam</w:t>
                  </w:r>
                  <w:proofErr w:type="spellEnd"/>
                </w:p>
              </w:tc>
            </w:tr>
            <w:tr w:rsidR="00722286" w:rsidRPr="00722286">
              <w:trPr>
                <w:trHeight w:val="300"/>
              </w:trPr>
              <w:tc>
                <w:tcPr>
                  <w:tcW w:w="0" w:type="auto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Internet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address</w:t>
                  </w:r>
                  <w:proofErr w:type="spellEnd"/>
                  <w:proofErr w:type="gram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::</w:t>
                  </w:r>
                  <w:proofErr w:type="gramEnd"/>
                </w:p>
              </w:tc>
            </w:tr>
          </w:tbl>
          <w:p w:rsidR="00722286" w:rsidRPr="00722286" w:rsidRDefault="00722286" w:rsidP="0072228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hu-HU"/>
              </w:rPr>
            </w:pPr>
          </w:p>
        </w:tc>
        <w:tc>
          <w:tcPr>
            <w:tcW w:w="2500" w:type="pct"/>
            <w:hideMark/>
          </w:tcPr>
          <w:tbl>
            <w:tblPr>
              <w:tblW w:w="4900" w:type="pct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5"/>
            </w:tblGrid>
            <w:tr w:rsidR="00722286" w:rsidRPr="00722286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722286" w:rsidRPr="00722286" w:rsidRDefault="00722286" w:rsidP="007222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vanish/>
                <w:sz w:val="17"/>
                <w:szCs w:val="17"/>
                <w:lang w:eastAsia="hu-HU"/>
              </w:rPr>
            </w:pPr>
          </w:p>
          <w:tbl>
            <w:tblPr>
              <w:tblW w:w="4900" w:type="pct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45"/>
            </w:tblGrid>
            <w:tr w:rsidR="00722286" w:rsidRPr="00722286">
              <w:trPr>
                <w:trHeight w:val="300"/>
                <w:jc w:val="right"/>
              </w:trPr>
              <w:tc>
                <w:tcPr>
                  <w:tcW w:w="0" w:type="auto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Notes</w:t>
                  </w:r>
                  <w:proofErr w:type="gram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</w:t>
                  </w:r>
                  <w:r w:rsidR="00C421DB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Prestudy</w:t>
                  </w:r>
                  <w:proofErr w:type="spellEnd"/>
                  <w:proofErr w:type="gramEnd"/>
                  <w:r w:rsidR="00C421DB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of European Law 2.</w:t>
                  </w:r>
                </w:p>
              </w:tc>
            </w:tr>
            <w:tr w:rsidR="00722286" w:rsidRPr="00722286">
              <w:trPr>
                <w:trHeight w:val="300"/>
                <w:jc w:val="right"/>
              </w:trPr>
              <w:tc>
                <w:tcPr>
                  <w:tcW w:w="0" w:type="auto"/>
                  <w:hideMark/>
                </w:tcPr>
                <w:p w:rsidR="00722286" w:rsidRPr="00722286" w:rsidRDefault="00722286" w:rsidP="00C421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Responsible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lecturer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:</w:t>
                  </w:r>
                  <w:r w:rsidR="002E609C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r w:rsidRPr="00722286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 xml:space="preserve">Dr. </w:t>
                  </w:r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Láncos Petra Lea</w:t>
                  </w:r>
                </w:p>
              </w:tc>
            </w:tr>
            <w:tr w:rsidR="00722286" w:rsidRPr="00722286">
              <w:trPr>
                <w:trHeight w:val="300"/>
                <w:jc w:val="right"/>
              </w:trPr>
              <w:tc>
                <w:tcPr>
                  <w:tcW w:w="0" w:type="auto"/>
                  <w:hideMark/>
                </w:tcPr>
                <w:p w:rsidR="00722286" w:rsidRPr="00722286" w:rsidRDefault="00722286" w:rsidP="0072228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Organizational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unit:</w:t>
                  </w:r>
                  <w:r w:rsidR="00C421DB" w:rsidRPr="00A63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  <w:hyperlink r:id="rId6" w:tooltip="JÁK Európajogi Tanszék" w:history="1">
                    <w:r w:rsidR="00C421DB" w:rsidRPr="00A634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hu-HU"/>
                      </w:rPr>
                      <w:t>JÁK Európajogi Tanszék</w:t>
                    </w:r>
                  </w:hyperlink>
                </w:p>
              </w:tc>
            </w:tr>
            <w:tr w:rsidR="00722286" w:rsidRPr="00722286">
              <w:trPr>
                <w:trHeight w:val="300"/>
                <w:jc w:val="right"/>
              </w:trPr>
              <w:tc>
                <w:tcPr>
                  <w:tcW w:w="0" w:type="auto"/>
                  <w:hideMark/>
                </w:tcPr>
                <w:p w:rsidR="00722286" w:rsidRPr="00722286" w:rsidRDefault="00722286" w:rsidP="00C421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Classes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per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week</w:t>
                  </w:r>
                  <w:proofErr w:type="spellEnd"/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 xml:space="preserve"> </w:t>
                  </w:r>
                  <w:proofErr w:type="spellStart"/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Theoreti</w:t>
                  </w:r>
                  <w:r w:rsidRPr="00722286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cal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: 2</w:t>
                  </w:r>
                </w:p>
              </w:tc>
            </w:tr>
            <w:tr w:rsidR="00722286" w:rsidRPr="00722286">
              <w:trPr>
                <w:trHeight w:val="300"/>
                <w:jc w:val="right"/>
              </w:trPr>
              <w:tc>
                <w:tcPr>
                  <w:tcW w:w="0" w:type="auto"/>
                  <w:hideMark/>
                </w:tcPr>
                <w:p w:rsidR="00722286" w:rsidRPr="00722286" w:rsidRDefault="00722286" w:rsidP="00C421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hu-HU"/>
                    </w:rPr>
                  </w:pP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Classes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per </w:t>
                  </w:r>
                  <w:proofErr w:type="spellStart"/>
                  <w:r w:rsidRPr="00722286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>term</w:t>
                  </w:r>
                  <w:proofErr w:type="spellEnd"/>
                  <w:r w:rsidR="00C421DB">
                    <w:rPr>
                      <w:rFonts w:ascii="Verdana" w:eastAsia="Times New Roman" w:hAnsi="Verdana" w:cs="Times New Roman"/>
                      <w:color w:val="4A4A4A"/>
                      <w:sz w:val="17"/>
                      <w:szCs w:val="17"/>
                      <w:bdr w:val="none" w:sz="0" w:space="0" w:color="auto" w:frame="1"/>
                      <w:lang w:eastAsia="hu-HU"/>
                    </w:rPr>
                    <w:t xml:space="preserve"> </w:t>
                  </w:r>
                  <w:proofErr w:type="spellStart"/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Theoretical</w:t>
                  </w:r>
                  <w:proofErr w:type="spellEnd"/>
                  <w:r w:rsidRPr="00722286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 xml:space="preserve">: </w:t>
                  </w:r>
                  <w:r w:rsidR="00C421DB">
                    <w:rPr>
                      <w:rFonts w:ascii="Verdana" w:eastAsia="Times New Roman" w:hAnsi="Verdana" w:cs="Times New Roman"/>
                      <w:b/>
                      <w:bCs/>
                      <w:color w:val="4A4A4A"/>
                      <w:sz w:val="17"/>
                      <w:szCs w:val="17"/>
                      <w:lang w:eastAsia="hu-HU"/>
                    </w:rPr>
                    <w:t>15</w:t>
                  </w:r>
                </w:p>
              </w:tc>
            </w:tr>
          </w:tbl>
          <w:p w:rsidR="00722286" w:rsidRPr="00722286" w:rsidRDefault="00722286" w:rsidP="0072228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  <w:lang w:eastAsia="hu-HU"/>
              </w:rPr>
            </w:pPr>
          </w:p>
        </w:tc>
      </w:tr>
    </w:tbl>
    <w:p w:rsidR="00722286" w:rsidRPr="00722286" w:rsidRDefault="00722286" w:rsidP="00722286">
      <w:pPr>
        <w:spacing w:after="0" w:line="240" w:lineRule="auto"/>
        <w:rPr>
          <w:rFonts w:ascii="Verdana" w:eastAsia="Times New Roman" w:hAnsi="Verdana" w:cs="Times New Roman"/>
          <w:vanish/>
          <w:sz w:val="17"/>
          <w:szCs w:val="17"/>
          <w:lang w:eastAsia="hu-H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9"/>
        <w:gridCol w:w="13"/>
      </w:tblGrid>
      <w:tr w:rsidR="00722286" w:rsidRPr="00722286" w:rsidTr="007222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225" w:type="dxa"/>
              <w:bottom w:w="45" w:type="dxa"/>
              <w:right w:w="75" w:type="dxa"/>
            </w:tcMar>
            <w:hideMark/>
          </w:tcPr>
          <w:p w:rsidR="00722286" w:rsidRPr="00722286" w:rsidRDefault="00722286" w:rsidP="00722286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</w:pPr>
            <w:proofErr w:type="spellStart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Final</w:t>
            </w:r>
            <w:proofErr w:type="spellEnd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requirement</w:t>
            </w:r>
            <w:proofErr w:type="spellEnd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:</w:t>
            </w:r>
          </w:p>
        </w:tc>
        <w:tc>
          <w:tcPr>
            <w:tcW w:w="0" w:type="auto"/>
            <w:shd w:val="clear" w:color="auto" w:fill="auto"/>
            <w:hideMark/>
          </w:tcPr>
          <w:p w:rsidR="00722286" w:rsidRPr="00722286" w:rsidRDefault="00722286" w:rsidP="00722286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</w:pPr>
          </w:p>
        </w:tc>
      </w:tr>
      <w:tr w:rsidR="00722286" w:rsidRPr="00722286" w:rsidTr="007222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225" w:type="dxa"/>
              <w:bottom w:w="45" w:type="dxa"/>
              <w:right w:w="75" w:type="dxa"/>
            </w:tcMar>
            <w:hideMark/>
          </w:tcPr>
          <w:p w:rsidR="00722286" w:rsidRPr="00722286" w:rsidRDefault="00722286" w:rsidP="00722286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</w:pPr>
            <w:proofErr w:type="spellStart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Preliminary</w:t>
            </w:r>
            <w:proofErr w:type="spellEnd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 xml:space="preserve"> </w:t>
            </w:r>
            <w:proofErr w:type="spellStart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requirement</w:t>
            </w:r>
            <w:proofErr w:type="spellEnd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:</w:t>
            </w:r>
            <w:r w:rsidR="00C421DB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 xml:space="preserve"> </w:t>
            </w:r>
            <w:r w:rsidR="00C421DB">
              <w:rPr>
                <w:rFonts w:ascii="Verdana" w:eastAsia="Times New Roman" w:hAnsi="Verdana" w:cs="Times New Roman"/>
                <w:color w:val="4A4A4A"/>
                <w:sz w:val="17"/>
                <w:szCs w:val="17"/>
                <w:bdr w:val="none" w:sz="0" w:space="0" w:color="auto" w:frame="1"/>
                <w:lang w:eastAsia="hu-HU"/>
              </w:rPr>
              <w:t>European Law 2</w:t>
            </w:r>
          </w:p>
        </w:tc>
        <w:tc>
          <w:tcPr>
            <w:tcW w:w="0" w:type="auto"/>
            <w:shd w:val="clear" w:color="auto" w:fill="auto"/>
            <w:hideMark/>
          </w:tcPr>
          <w:p w:rsidR="00722286" w:rsidRPr="00722286" w:rsidRDefault="00722286" w:rsidP="00722286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</w:pPr>
          </w:p>
        </w:tc>
      </w:tr>
      <w:tr w:rsidR="00722286" w:rsidRPr="00722286" w:rsidTr="00722286"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225" w:type="dxa"/>
              <w:bottom w:w="45" w:type="dxa"/>
              <w:right w:w="75" w:type="dxa"/>
            </w:tcMar>
            <w:hideMark/>
          </w:tcPr>
          <w:p w:rsidR="00722286" w:rsidRPr="00722286" w:rsidRDefault="00722286" w:rsidP="00722286">
            <w:pPr>
              <w:spacing w:after="0" w:line="240" w:lineRule="auto"/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</w:pPr>
            <w:proofErr w:type="spellStart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Description</w:t>
            </w:r>
            <w:proofErr w:type="spellEnd"/>
            <w:r w:rsidRPr="00722286">
              <w:rPr>
                <w:rFonts w:ascii="Verdana" w:eastAsia="Times New Roman" w:hAnsi="Verdana" w:cs="Times New Roman"/>
                <w:color w:val="4A4A4A"/>
                <w:sz w:val="17"/>
                <w:szCs w:val="17"/>
                <w:lang w:eastAsia="hu-H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722286" w:rsidRPr="00722286" w:rsidRDefault="00722286" w:rsidP="00722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722286" w:rsidRPr="00722286" w:rsidTr="00722286">
        <w:tc>
          <w:tcPr>
            <w:tcW w:w="0" w:type="auto"/>
            <w:gridSpan w:val="2"/>
            <w:shd w:val="clear" w:color="auto" w:fill="auto"/>
            <w:hideMark/>
          </w:tcPr>
          <w:p w:rsidR="00722286" w:rsidRPr="00722286" w:rsidRDefault="00C421DB" w:rsidP="002E609C">
            <w:pPr>
              <w:shd w:val="clear" w:color="auto" w:fill="FFFFFF"/>
              <w:spacing w:line="253" w:lineRule="atLeast"/>
              <w:rPr>
                <w:rFonts w:ascii="Calibri" w:hAnsi="Calibri" w:cs="Calibri"/>
                <w:b/>
                <w:bCs/>
                <w:color w:val="330033"/>
              </w:rPr>
            </w:pPr>
            <w:r w:rsidRPr="002E609C">
              <w:rPr>
                <w:rFonts w:ascii="Calibri" w:hAnsi="Calibri" w:cs="Calibri"/>
                <w:b/>
                <w:bCs/>
                <w:color w:val="330033"/>
              </w:rPr>
              <w:t>European Law 3</w:t>
            </w:r>
          </w:p>
          <w:p w:rsidR="002E609C" w:rsidRDefault="002E609C" w:rsidP="00110527">
            <w:pPr>
              <w:shd w:val="clear" w:color="auto" w:fill="FFFFFF"/>
              <w:spacing w:line="253" w:lineRule="atLeast"/>
              <w:jc w:val="both"/>
              <w:rPr>
                <w:rFonts w:ascii="Calibri" w:hAnsi="Calibri" w:cs="Calibri"/>
                <w:color w:val="33003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Course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description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: The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aim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course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is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give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students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insight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into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principles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rules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results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EU policy-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making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Beyond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introduction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competence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system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well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administrative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space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students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will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have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opportunity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discuss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various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areas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action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from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Common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Agricultural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through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media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law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language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within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European Union. </w:t>
            </w:r>
          </w:p>
          <w:p w:rsidR="002E609C" w:rsidRDefault="002E609C" w:rsidP="002E609C">
            <w:pPr>
              <w:shd w:val="clear" w:color="auto" w:fill="FFFFFF"/>
              <w:spacing w:after="240" w:line="253" w:lineRule="atLeast"/>
              <w:rPr>
                <w:rFonts w:ascii="Calibri" w:hAnsi="Calibri" w:cs="Calibri"/>
                <w:color w:val="330033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Exam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written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exam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essay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question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</w:p>
          <w:p w:rsidR="002E609C" w:rsidRDefault="002E609C" w:rsidP="002E609C">
            <w:pPr>
              <w:shd w:val="clear" w:color="auto" w:fill="FFFFFF"/>
              <w:spacing w:line="253" w:lineRule="atLeast"/>
              <w:rPr>
                <w:rFonts w:ascii="Calibri" w:hAnsi="Calibri" w:cs="Calibri"/>
                <w:color w:val="330033"/>
              </w:rPr>
            </w:pPr>
            <w:r>
              <w:rPr>
                <w:rFonts w:ascii="Calibri" w:hAnsi="Calibri" w:cs="Calibri"/>
                <w:b/>
                <w:bCs/>
                <w:color w:val="330033"/>
              </w:rPr>
              <w:t xml:space="preserve">Outline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course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: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1. The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federal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system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transfer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powers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supranational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plane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>2. Multi-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level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governance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framework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EU policy-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making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3. The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Common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Agricultural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From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intervention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prices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single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330033"/>
              </w:rPr>
              <w:t>farm</w:t>
            </w:r>
            <w:proofErr w:type="gram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payments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>4. 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Regional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 in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EU: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Structural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Cohesion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Funds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  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5.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language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Official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languages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secondary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status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minority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speakers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6.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competition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law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Fighting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cartels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throughout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Member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States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7.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state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aid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Levelling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playing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field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companies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8.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intellectual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property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law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2.</w:t>
            </w:r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9.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media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law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Freedom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broadcasting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common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protective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principles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10.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family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law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Reunification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recognition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partnerships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11. EU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development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policy: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Moral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strategic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grounds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for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investing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third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countries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br/>
              <w:t xml:space="preserve">12.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Exam</w:t>
            </w:r>
            <w:proofErr w:type="spellEnd"/>
          </w:p>
          <w:p w:rsidR="00722286" w:rsidRPr="00722286" w:rsidRDefault="002E609C" w:rsidP="00110527">
            <w:pPr>
              <w:shd w:val="clear" w:color="auto" w:fill="FFFFFF"/>
              <w:spacing w:line="253" w:lineRule="atLeast"/>
              <w:rPr>
                <w:rFonts w:ascii="Verdana" w:eastAsia="Times New Roman" w:hAnsi="Verdana" w:cs="Times New Roman"/>
                <w:b/>
                <w:bCs/>
                <w:color w:val="4A4A4A"/>
                <w:sz w:val="17"/>
                <w:szCs w:val="17"/>
                <w:lang w:eastAsia="hu-HU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Required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reading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: Láncos -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Debisso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Gyeney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 xml:space="preserve"> - Szabó: Union </w:t>
            </w:r>
            <w:proofErr w:type="spellStart"/>
            <w:r>
              <w:rPr>
                <w:rFonts w:ascii="Calibri" w:hAnsi="Calibri" w:cs="Calibri"/>
                <w:b/>
                <w:bCs/>
                <w:color w:val="330033"/>
              </w:rPr>
              <w:t>Policies</w:t>
            </w:r>
            <w:proofErr w:type="spellEnd"/>
            <w:r>
              <w:rPr>
                <w:rFonts w:ascii="Calibri" w:hAnsi="Calibri" w:cs="Calibri"/>
                <w:b/>
                <w:bCs/>
                <w:color w:val="330033"/>
              </w:rPr>
              <w:t>.</w:t>
            </w:r>
            <w:r w:rsidR="00110527">
              <w:rPr>
                <w:rFonts w:ascii="Calibri" w:hAnsi="Calibri" w:cs="Calibri"/>
                <w:b/>
                <w:bCs/>
                <w:color w:val="330033"/>
              </w:rPr>
              <w:t xml:space="preserve"> 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color w:val="330033"/>
              </w:rPr>
              <w:t>Eleven.  </w:t>
            </w:r>
            <w:hyperlink r:id="rId7" w:tgtFrame="_blank" w:history="1">
              <w:r>
                <w:rPr>
                  <w:rStyle w:val="Hiperhivatkozs"/>
                  <w:rFonts w:ascii="Calibri" w:hAnsi="Calibri" w:cs="Calibri"/>
                  <w:b/>
                  <w:bCs/>
                  <w:color w:val="55516F"/>
                </w:rPr>
                <w:t>http://www.mek.oszk.hu/18500/18581/18581.pdf</w:t>
              </w:r>
            </w:hyperlink>
            <w:r>
              <w:rPr>
                <w:rFonts w:ascii="Calibri" w:hAnsi="Calibri" w:cs="Calibri"/>
                <w:b/>
                <w:bCs/>
                <w:color w:val="330033"/>
              </w:rPr>
              <w:t>  </w:t>
            </w:r>
          </w:p>
        </w:tc>
      </w:tr>
    </w:tbl>
    <w:p w:rsidR="008E13B8" w:rsidRDefault="00110527"/>
    <w:sectPr w:rsidR="008E13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286" w:rsidRDefault="00722286" w:rsidP="00722286">
      <w:pPr>
        <w:spacing w:after="0" w:line="240" w:lineRule="auto"/>
      </w:pPr>
      <w:r>
        <w:separator/>
      </w:r>
    </w:p>
  </w:endnote>
  <w:endnote w:type="continuationSeparator" w:id="0">
    <w:p w:rsidR="00722286" w:rsidRDefault="00722286" w:rsidP="007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286" w:rsidRDefault="00722286" w:rsidP="00722286">
      <w:pPr>
        <w:spacing w:after="0" w:line="240" w:lineRule="auto"/>
      </w:pPr>
      <w:r>
        <w:separator/>
      </w:r>
    </w:p>
  </w:footnote>
  <w:footnote w:type="continuationSeparator" w:id="0">
    <w:p w:rsidR="00722286" w:rsidRDefault="00722286" w:rsidP="00722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286" w:rsidRDefault="00722286">
    <w:pPr>
      <w:pStyle w:val="lfej"/>
      <w:rPr>
        <w:rFonts w:ascii="Times New Roman" w:hAnsi="Times New Roman" w:cs="Times New Roman"/>
        <w:sz w:val="20"/>
        <w:szCs w:val="20"/>
      </w:rPr>
    </w:pPr>
  </w:p>
  <w:p w:rsidR="00722286" w:rsidRDefault="00722286">
    <w:pPr>
      <w:pStyle w:val="lfej"/>
      <w:rPr>
        <w:rFonts w:ascii="Times New Roman" w:hAnsi="Times New Roman" w:cs="Times New Roman"/>
        <w:sz w:val="20"/>
        <w:szCs w:val="20"/>
      </w:rPr>
    </w:pPr>
  </w:p>
  <w:p w:rsidR="00722286" w:rsidRPr="00722286" w:rsidRDefault="00722286">
    <w:pPr>
      <w:pStyle w:val="lfej"/>
      <w:rPr>
        <w:rFonts w:ascii="Times New Roman" w:hAnsi="Times New Roman" w:cs="Times New Roman"/>
        <w:b/>
        <w:sz w:val="20"/>
        <w:szCs w:val="20"/>
      </w:rPr>
    </w:pPr>
    <w:proofErr w:type="spellStart"/>
    <w:r w:rsidRPr="00722286">
      <w:rPr>
        <w:rFonts w:ascii="Times New Roman" w:hAnsi="Times New Roman" w:cs="Times New Roman"/>
        <w:b/>
        <w:sz w:val="20"/>
        <w:szCs w:val="20"/>
      </w:rPr>
      <w:t>Course</w:t>
    </w:r>
    <w:proofErr w:type="spellEnd"/>
    <w:r w:rsidRPr="00722286">
      <w:rPr>
        <w:rFonts w:ascii="Times New Roman" w:hAnsi="Times New Roman" w:cs="Times New Roman"/>
        <w:b/>
        <w:sz w:val="20"/>
        <w:szCs w:val="20"/>
      </w:rPr>
      <w:t xml:space="preserve"> </w:t>
    </w:r>
    <w:proofErr w:type="spellStart"/>
    <w:r w:rsidRPr="00722286">
      <w:rPr>
        <w:rFonts w:ascii="Times New Roman" w:hAnsi="Times New Roman" w:cs="Times New Roman"/>
        <w:b/>
        <w:sz w:val="20"/>
        <w:szCs w:val="20"/>
      </w:rPr>
      <w:t>description</w:t>
    </w:r>
    <w:proofErr w:type="spellEnd"/>
    <w:r w:rsidRPr="00722286">
      <w:rPr>
        <w:rFonts w:ascii="Times New Roman" w:hAnsi="Times New Roman" w:cs="Times New Roman"/>
        <w:b/>
        <w:sz w:val="20"/>
        <w:szCs w:val="20"/>
      </w:rPr>
      <w:t xml:space="preserve"> – </w:t>
    </w:r>
    <w:r w:rsidR="00C421DB" w:rsidRPr="00A63405">
      <w:rPr>
        <w:rFonts w:ascii="Verdana" w:eastAsia="Times New Roman" w:hAnsi="Verdana" w:cs="Times New Roman"/>
        <w:b/>
        <w:bCs/>
        <w:color w:val="4A4A4A"/>
        <w:sz w:val="17"/>
        <w:szCs w:val="17"/>
        <w:lang w:eastAsia="hu-HU"/>
      </w:rPr>
      <w:t>JOEU205XX0</w:t>
    </w:r>
    <w:r w:rsidRPr="00722286">
      <w:rPr>
        <w:rFonts w:ascii="Times New Roman" w:hAnsi="Times New Roman" w:cs="Times New Roman"/>
        <w:b/>
        <w:sz w:val="20"/>
        <w:szCs w:val="20"/>
      </w:rPr>
      <w:t xml:space="preserve"> </w:t>
    </w:r>
    <w:r w:rsidR="00C421DB">
      <w:rPr>
        <w:rFonts w:ascii="Times New Roman" w:hAnsi="Times New Roman" w:cs="Times New Roman"/>
        <w:b/>
        <w:sz w:val="20"/>
        <w:szCs w:val="20"/>
      </w:rPr>
      <w:t>European Law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86"/>
    <w:rsid w:val="00110527"/>
    <w:rsid w:val="002E609C"/>
    <w:rsid w:val="00722286"/>
    <w:rsid w:val="0085513E"/>
    <w:rsid w:val="00C421DB"/>
    <w:rsid w:val="00FD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9EDE"/>
  <w15:chartTrackingRefBased/>
  <w15:docId w15:val="{115E339F-015D-473C-8FFF-7792AD2C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22286"/>
    <w:rPr>
      <w:strike w:val="0"/>
      <w:dstrike w:val="0"/>
      <w:color w:val="036EB6"/>
      <w:u w:val="none"/>
      <w:effect w:val="none"/>
    </w:rPr>
  </w:style>
  <w:style w:type="character" w:customStyle="1" w:styleId="tablerowname1">
    <w:name w:val="tablerowname1"/>
    <w:basedOn w:val="Bekezdsalapbettpusa"/>
    <w:rsid w:val="00722286"/>
    <w:rPr>
      <w:rFonts w:ascii="Verdana" w:hAnsi="Verdana" w:hint="default"/>
      <w:color w:val="4A4A4A"/>
      <w:sz w:val="17"/>
      <w:szCs w:val="17"/>
      <w:bdr w:val="none" w:sz="0" w:space="0" w:color="auto" w:frame="1"/>
      <w:shd w:val="clear" w:color="auto" w:fill="auto"/>
    </w:rPr>
  </w:style>
  <w:style w:type="character" w:customStyle="1" w:styleId="tablerowdata1">
    <w:name w:val="tablerowdata1"/>
    <w:basedOn w:val="Bekezdsalapbettpusa"/>
    <w:rsid w:val="00722286"/>
    <w:rPr>
      <w:rFonts w:ascii="Verdana" w:hAnsi="Verdana" w:hint="default"/>
      <w:b/>
      <w:bCs/>
      <w:color w:val="4A4A4A"/>
      <w:sz w:val="17"/>
      <w:szCs w:val="17"/>
      <w:shd w:val="clear" w:color="auto" w:fill="auto"/>
    </w:rPr>
  </w:style>
  <w:style w:type="paragraph" w:styleId="lfej">
    <w:name w:val="header"/>
    <w:basedOn w:val="Norml"/>
    <w:link w:val="lfejChar"/>
    <w:uiPriority w:val="99"/>
    <w:unhideWhenUsed/>
    <w:rsid w:val="0072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2286"/>
  </w:style>
  <w:style w:type="paragraph" w:styleId="llb">
    <w:name w:val="footer"/>
    <w:basedOn w:val="Norml"/>
    <w:link w:val="llbChar"/>
    <w:uiPriority w:val="99"/>
    <w:unhideWhenUsed/>
    <w:rsid w:val="00722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2286"/>
  </w:style>
  <w:style w:type="paragraph" w:styleId="NormlWeb">
    <w:name w:val="Normal (Web)"/>
    <w:basedOn w:val="Norml"/>
    <w:uiPriority w:val="99"/>
    <w:semiHidden/>
    <w:unhideWhenUsed/>
    <w:rsid w:val="00C4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421DB"/>
    <w:rPr>
      <w:b/>
      <w:bCs/>
    </w:rPr>
  </w:style>
  <w:style w:type="character" w:customStyle="1" w:styleId="object">
    <w:name w:val="object"/>
    <w:basedOn w:val="Bekezdsalapbettpusa"/>
    <w:rsid w:val="002E6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2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ek.oszk.hu/18500/18581/1858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upFunction$h_addedsubjects$upModals$upmodal_subjectdata$ctl02$Subject_data1$upParent$tab$ctl01$upSubjectData$dtbBaseData2$ctl15',''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 Zsuzsanna Éva</dc:creator>
  <cp:keywords/>
  <dc:description/>
  <cp:lastModifiedBy>Pollák Zsuzsanna Éva</cp:lastModifiedBy>
  <cp:revision>4</cp:revision>
  <dcterms:created xsi:type="dcterms:W3CDTF">2020-05-07T08:13:00Z</dcterms:created>
  <dcterms:modified xsi:type="dcterms:W3CDTF">2020-05-07T08:15:00Z</dcterms:modified>
</cp:coreProperties>
</file>