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21" w:rsidRPr="00512BFE" w:rsidRDefault="008A25CD" w:rsidP="00512BFE">
      <w:pPr>
        <w:jc w:val="center"/>
        <w:rPr>
          <w:rFonts w:ascii="Segoe UI" w:hAnsi="Segoe UI" w:cs="Segoe UI"/>
          <w:b/>
          <w:bCs/>
          <w:sz w:val="20"/>
          <w:szCs w:val="20"/>
          <w:lang w:val="en-US"/>
        </w:rPr>
      </w:pPr>
      <w:r>
        <w:rPr>
          <w:rFonts w:ascii="Segoe UI" w:hAnsi="Segoe UI" w:cs="Segoe UI"/>
          <w:b/>
          <w:bCs/>
          <w:sz w:val="20"/>
          <w:szCs w:val="20"/>
          <w:lang w:val="en-US"/>
        </w:rPr>
        <w:t xml:space="preserve">JONK429XA0 </w:t>
      </w:r>
      <w:bookmarkStart w:id="0" w:name="_GoBack"/>
      <w:bookmarkEnd w:id="0"/>
      <w:r w:rsidR="007D75A0" w:rsidRPr="001E1040">
        <w:rPr>
          <w:rFonts w:ascii="Segoe UI" w:hAnsi="Segoe UI" w:cs="Segoe UI"/>
          <w:b/>
          <w:bCs/>
          <w:sz w:val="20"/>
          <w:szCs w:val="20"/>
          <w:lang w:val="en-US"/>
        </w:rPr>
        <w:t>Internat</w:t>
      </w:r>
      <w:r w:rsidR="005F2F19" w:rsidRPr="001E1040">
        <w:rPr>
          <w:rFonts w:ascii="Segoe UI" w:hAnsi="Segoe UI" w:cs="Segoe UI"/>
          <w:b/>
          <w:bCs/>
          <w:sz w:val="20"/>
          <w:szCs w:val="20"/>
          <w:lang w:val="en-US"/>
        </w:rPr>
        <w:t>ional Investment Law</w:t>
      </w:r>
      <w:r w:rsidR="00512BFE">
        <w:rPr>
          <w:rFonts w:ascii="Segoe UI" w:hAnsi="Segoe UI" w:cs="Segoe UI"/>
          <w:b/>
          <w:bCs/>
          <w:sz w:val="20"/>
          <w:szCs w:val="20"/>
          <w:lang w:val="en-US"/>
        </w:rPr>
        <w:t xml:space="preserve">         </w:t>
      </w:r>
      <w:r w:rsidR="00512BFE" w:rsidRPr="00512BFE">
        <w:rPr>
          <w:rFonts w:ascii="Segoe UI" w:hAnsi="Segoe UI" w:cs="Segoe UI"/>
          <w:sz w:val="20"/>
          <w:szCs w:val="20"/>
          <w:lang w:val="en-US"/>
        </w:rPr>
        <w:t xml:space="preserve"> by</w:t>
      </w:r>
      <w:r w:rsidR="00512BFE">
        <w:rPr>
          <w:rFonts w:ascii="Segoe UI" w:hAnsi="Segoe UI" w:cs="Segoe UI"/>
          <w:b/>
          <w:bCs/>
          <w:sz w:val="20"/>
          <w:szCs w:val="20"/>
          <w:lang w:val="en-US"/>
        </w:rPr>
        <w:t xml:space="preserve"> </w:t>
      </w:r>
      <w:proofErr w:type="spellStart"/>
      <w:r w:rsidR="00563D5D" w:rsidRPr="001E1040">
        <w:rPr>
          <w:rFonts w:ascii="Segoe UI" w:hAnsi="Segoe UI" w:cs="Segoe UI"/>
          <w:sz w:val="20"/>
          <w:szCs w:val="20"/>
          <w:lang w:val="en-US"/>
        </w:rPr>
        <w:t>Sándor</w:t>
      </w:r>
      <w:proofErr w:type="spellEnd"/>
      <w:r w:rsidR="00563D5D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="00563D5D" w:rsidRPr="001E1040">
        <w:rPr>
          <w:rFonts w:ascii="Segoe UI" w:hAnsi="Segoe UI" w:cs="Segoe UI"/>
          <w:sz w:val="20"/>
          <w:szCs w:val="20"/>
          <w:lang w:val="en-US"/>
        </w:rPr>
        <w:t>Lénár</w:t>
      </w:r>
      <w:r w:rsidR="00E12421" w:rsidRPr="001E1040">
        <w:rPr>
          <w:rFonts w:ascii="Segoe UI" w:hAnsi="Segoe UI" w:cs="Segoe UI"/>
          <w:sz w:val="20"/>
          <w:szCs w:val="20"/>
          <w:lang w:val="en-US"/>
        </w:rPr>
        <w:t>d</w:t>
      </w:r>
      <w:proofErr w:type="spellEnd"/>
    </w:p>
    <w:p w:rsidR="00E12421" w:rsidRPr="001E1040" w:rsidRDefault="00E12421" w:rsidP="00E12421">
      <w:pPr>
        <w:jc w:val="center"/>
        <w:rPr>
          <w:rFonts w:ascii="Segoe UI" w:hAnsi="Segoe UI" w:cs="Segoe UI"/>
          <w:sz w:val="20"/>
          <w:szCs w:val="20"/>
          <w:lang w:val="en-US"/>
        </w:rPr>
      </w:pPr>
    </w:p>
    <w:p w:rsidR="00EF7C0C" w:rsidRPr="001E1040" w:rsidRDefault="007D75A0" w:rsidP="006531D0">
      <w:pPr>
        <w:spacing w:line="22" w:lineRule="atLeast"/>
        <w:rPr>
          <w:rFonts w:ascii="Segoe UI" w:hAnsi="Segoe UI" w:cs="Segoe UI"/>
          <w:sz w:val="20"/>
          <w:szCs w:val="20"/>
          <w:lang w:val="en-US"/>
        </w:rPr>
      </w:pPr>
      <w:r w:rsidRPr="001E1040">
        <w:rPr>
          <w:rFonts w:ascii="Segoe UI" w:hAnsi="Segoe UI" w:cs="Segoe UI"/>
          <w:b/>
          <w:sz w:val="20"/>
          <w:szCs w:val="20"/>
          <w:lang w:val="en-US"/>
        </w:rPr>
        <w:t>Course outline</w:t>
      </w:r>
      <w:r w:rsidR="00D021B3" w:rsidRPr="001E1040">
        <w:rPr>
          <w:rFonts w:ascii="Segoe UI" w:hAnsi="Segoe UI" w:cs="Segoe UI"/>
          <w:sz w:val="20"/>
          <w:szCs w:val="20"/>
          <w:lang w:val="en-US"/>
        </w:rPr>
        <w:t>:</w:t>
      </w:r>
      <w:r w:rsidR="00D021B3" w:rsidRPr="001E1040">
        <w:rPr>
          <w:rFonts w:ascii="Segoe UI" w:hAnsi="Segoe UI" w:cs="Segoe UI"/>
          <w:sz w:val="20"/>
          <w:szCs w:val="20"/>
          <w:lang w:val="en-US"/>
        </w:rPr>
        <w:tab/>
      </w:r>
      <w:r w:rsidR="00EF7C0C" w:rsidRPr="001E1040">
        <w:rPr>
          <w:rFonts w:ascii="Segoe UI" w:hAnsi="Segoe UI" w:cs="Segoe UI"/>
          <w:sz w:val="20"/>
          <w:szCs w:val="20"/>
          <w:lang w:val="en-US"/>
        </w:rPr>
        <w:tab/>
      </w:r>
      <w:r w:rsidR="008015AC" w:rsidRPr="001E1040">
        <w:rPr>
          <w:rFonts w:ascii="Segoe UI" w:hAnsi="Segoe UI" w:cs="Segoe UI"/>
          <w:sz w:val="20"/>
          <w:szCs w:val="20"/>
          <w:lang w:val="en-US"/>
        </w:rPr>
        <w:t xml:space="preserve">Today </w:t>
      </w:r>
      <w:r w:rsidR="002E40E4" w:rsidRPr="001E1040">
        <w:rPr>
          <w:rFonts w:ascii="Segoe UI" w:hAnsi="Segoe UI" w:cs="Segoe UI"/>
          <w:sz w:val="20"/>
          <w:szCs w:val="20"/>
          <w:lang w:val="en-US"/>
        </w:rPr>
        <w:t>most people agree that no business is purely domestic any more.</w:t>
      </w:r>
      <w:r w:rsidR="00986553" w:rsidRPr="001E1040">
        <w:rPr>
          <w:rFonts w:ascii="Segoe UI" w:hAnsi="Segoe UI" w:cs="Segoe UI"/>
          <w:sz w:val="20"/>
          <w:szCs w:val="20"/>
          <w:lang w:val="en-US"/>
        </w:rPr>
        <w:t xml:space="preserve"> Not only states and national economies have become </w:t>
      </w:r>
      <w:r w:rsidR="004F60AD" w:rsidRPr="001E1040">
        <w:rPr>
          <w:rFonts w:ascii="Segoe UI" w:hAnsi="Segoe UI" w:cs="Segoe UI"/>
          <w:sz w:val="20"/>
          <w:szCs w:val="20"/>
          <w:lang w:val="en-US"/>
        </w:rPr>
        <w:t>more</w:t>
      </w:r>
      <w:r w:rsidR="00986553" w:rsidRPr="001E1040">
        <w:rPr>
          <w:rFonts w:ascii="Segoe UI" w:hAnsi="Segoe UI" w:cs="Segoe UI"/>
          <w:sz w:val="20"/>
          <w:szCs w:val="20"/>
          <w:lang w:val="en-US"/>
        </w:rPr>
        <w:t xml:space="preserve"> interdependent but </w:t>
      </w:r>
      <w:r w:rsidR="004F60AD" w:rsidRPr="001E1040">
        <w:rPr>
          <w:rFonts w:ascii="Segoe UI" w:hAnsi="Segoe UI" w:cs="Segoe UI"/>
          <w:sz w:val="20"/>
          <w:szCs w:val="20"/>
          <w:lang w:val="en-US"/>
        </w:rPr>
        <w:t xml:space="preserve">business </w:t>
      </w:r>
      <w:r w:rsidR="00412B2F" w:rsidRPr="001E1040">
        <w:rPr>
          <w:rFonts w:ascii="Segoe UI" w:hAnsi="Segoe UI" w:cs="Segoe UI"/>
          <w:sz w:val="20"/>
          <w:szCs w:val="20"/>
          <w:lang w:val="en-US"/>
        </w:rPr>
        <w:t>operations</w:t>
      </w:r>
      <w:r w:rsidR="004F60AD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412B2F" w:rsidRPr="001E1040">
        <w:rPr>
          <w:rFonts w:ascii="Segoe UI" w:hAnsi="Segoe UI" w:cs="Segoe UI"/>
          <w:sz w:val="20"/>
          <w:szCs w:val="20"/>
          <w:lang w:val="en-US"/>
        </w:rPr>
        <w:t>have been</w:t>
      </w:r>
      <w:r w:rsidR="007928EE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4F60AD" w:rsidRPr="001E1040">
        <w:rPr>
          <w:rFonts w:ascii="Segoe UI" w:hAnsi="Segoe UI" w:cs="Segoe UI"/>
          <w:sz w:val="20"/>
          <w:szCs w:val="20"/>
          <w:lang w:val="en-US"/>
        </w:rPr>
        <w:t>also</w:t>
      </w:r>
      <w:r w:rsidR="00FD15F5" w:rsidRPr="001E1040">
        <w:rPr>
          <w:rFonts w:ascii="Segoe UI" w:hAnsi="Segoe UI" w:cs="Segoe UI"/>
          <w:sz w:val="20"/>
          <w:szCs w:val="20"/>
          <w:lang w:val="en-US"/>
        </w:rPr>
        <w:t xml:space="preserve"> well</w:t>
      </w:r>
      <w:r w:rsidR="007928EE" w:rsidRPr="001E1040">
        <w:rPr>
          <w:rFonts w:ascii="Segoe UI" w:hAnsi="Segoe UI" w:cs="Segoe UI"/>
          <w:sz w:val="20"/>
          <w:szCs w:val="20"/>
          <w:lang w:val="en-US"/>
        </w:rPr>
        <w:t xml:space="preserve"> in the process of</w:t>
      </w:r>
      <w:r w:rsidR="004F60AD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7928EE" w:rsidRPr="001E1040">
        <w:rPr>
          <w:rFonts w:ascii="Segoe UI" w:hAnsi="Segoe UI" w:cs="Segoe UI"/>
          <w:sz w:val="20"/>
          <w:szCs w:val="20"/>
          <w:lang w:val="en-US"/>
        </w:rPr>
        <w:t>internationalization</w:t>
      </w:r>
      <w:r w:rsidR="00986553" w:rsidRPr="001E1040">
        <w:rPr>
          <w:rFonts w:ascii="Segoe UI" w:hAnsi="Segoe UI" w:cs="Segoe UI"/>
          <w:sz w:val="20"/>
          <w:szCs w:val="20"/>
          <w:lang w:val="en-US"/>
        </w:rPr>
        <w:t>.</w:t>
      </w:r>
      <w:r w:rsidR="002E40E4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B36132" w:rsidRPr="001E1040">
        <w:rPr>
          <w:rFonts w:ascii="Segoe UI" w:hAnsi="Segoe UI" w:cs="Segoe UI"/>
          <w:sz w:val="20"/>
          <w:szCs w:val="20"/>
          <w:lang w:val="en-US"/>
        </w:rPr>
        <w:t>The economic realities of the modern world make all business inter</w:t>
      </w:r>
      <w:r w:rsidR="00986553" w:rsidRPr="001E1040">
        <w:rPr>
          <w:rFonts w:ascii="Segoe UI" w:hAnsi="Segoe UI" w:cs="Segoe UI"/>
          <w:sz w:val="20"/>
          <w:szCs w:val="20"/>
          <w:lang w:val="en-US"/>
        </w:rPr>
        <w:t>national as global competition,</w:t>
      </w:r>
      <w:r w:rsidR="00B36132" w:rsidRPr="001E1040">
        <w:rPr>
          <w:rFonts w:ascii="Segoe UI" w:hAnsi="Segoe UI" w:cs="Segoe UI"/>
          <w:sz w:val="20"/>
          <w:szCs w:val="20"/>
          <w:lang w:val="en-US"/>
        </w:rPr>
        <w:t xml:space="preserve"> increasingly complex supply chain</w:t>
      </w:r>
      <w:r w:rsidR="00D710FA" w:rsidRPr="001E1040">
        <w:rPr>
          <w:rFonts w:ascii="Segoe UI" w:hAnsi="Segoe UI" w:cs="Segoe UI"/>
          <w:sz w:val="20"/>
          <w:szCs w:val="20"/>
          <w:lang w:val="en-US"/>
        </w:rPr>
        <w:t>s</w:t>
      </w:r>
      <w:r w:rsidR="00B36132" w:rsidRPr="001E1040">
        <w:rPr>
          <w:rFonts w:ascii="Segoe UI" w:hAnsi="Segoe UI" w:cs="Segoe UI"/>
          <w:sz w:val="20"/>
          <w:szCs w:val="20"/>
          <w:lang w:val="en-US"/>
        </w:rPr>
        <w:t xml:space="preserve"> and</w:t>
      </w:r>
      <w:r w:rsidR="00986553" w:rsidRPr="001E1040">
        <w:rPr>
          <w:rFonts w:ascii="Segoe UI" w:hAnsi="Segoe UI" w:cs="Segoe UI"/>
          <w:sz w:val="20"/>
          <w:szCs w:val="20"/>
          <w:lang w:val="en-US"/>
        </w:rPr>
        <w:t xml:space="preserve"> various</w:t>
      </w:r>
      <w:r w:rsidR="00B36132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D710FA" w:rsidRPr="001E1040">
        <w:rPr>
          <w:rFonts w:ascii="Segoe UI" w:hAnsi="Segoe UI" w:cs="Segoe UI"/>
          <w:sz w:val="20"/>
          <w:szCs w:val="20"/>
          <w:lang w:val="en-US"/>
        </w:rPr>
        <w:t xml:space="preserve">world events </w:t>
      </w:r>
      <w:r w:rsidR="00F54570" w:rsidRPr="001E1040">
        <w:rPr>
          <w:rFonts w:ascii="Segoe UI" w:hAnsi="Segoe UI" w:cs="Segoe UI"/>
          <w:sz w:val="20"/>
          <w:szCs w:val="20"/>
          <w:lang w:val="en-US"/>
        </w:rPr>
        <w:t xml:space="preserve">can </w:t>
      </w:r>
      <w:r w:rsidR="00D710FA" w:rsidRPr="001E1040">
        <w:rPr>
          <w:rFonts w:ascii="Segoe UI" w:hAnsi="Segoe UI" w:cs="Segoe UI"/>
          <w:sz w:val="20"/>
          <w:szCs w:val="20"/>
          <w:lang w:val="en-US"/>
        </w:rPr>
        <w:t>affect even the smallest local firm</w:t>
      </w:r>
      <w:r w:rsidR="00B36132" w:rsidRPr="001E1040">
        <w:rPr>
          <w:rFonts w:ascii="Segoe UI" w:hAnsi="Segoe UI" w:cs="Segoe UI"/>
          <w:sz w:val="20"/>
          <w:szCs w:val="20"/>
          <w:lang w:val="en-US"/>
        </w:rPr>
        <w:t>.</w:t>
      </w:r>
      <w:r w:rsidR="00412B2F" w:rsidRPr="001E1040">
        <w:rPr>
          <w:rFonts w:ascii="Segoe UI" w:hAnsi="Segoe UI" w:cs="Segoe UI"/>
          <w:sz w:val="20"/>
          <w:szCs w:val="20"/>
          <w:lang w:val="en-US"/>
        </w:rPr>
        <w:t xml:space="preserve"> At the same time </w:t>
      </w:r>
      <w:r w:rsidR="001A70CB" w:rsidRPr="001E1040">
        <w:rPr>
          <w:rFonts w:ascii="Segoe UI" w:hAnsi="Segoe UI" w:cs="Segoe UI"/>
          <w:sz w:val="20"/>
          <w:szCs w:val="20"/>
          <w:lang w:val="en-US"/>
        </w:rPr>
        <w:t>transnational corporation</w:t>
      </w:r>
      <w:r w:rsidR="00FD15F5" w:rsidRPr="001E1040">
        <w:rPr>
          <w:rFonts w:ascii="Segoe UI" w:hAnsi="Segoe UI" w:cs="Segoe UI"/>
          <w:sz w:val="20"/>
          <w:szCs w:val="20"/>
          <w:lang w:val="en-US"/>
        </w:rPr>
        <w:t>s</w:t>
      </w:r>
      <w:r w:rsidR="001A70CB" w:rsidRPr="001E1040">
        <w:rPr>
          <w:rFonts w:ascii="Segoe UI" w:hAnsi="Segoe UI" w:cs="Segoe UI"/>
          <w:sz w:val="20"/>
          <w:szCs w:val="20"/>
          <w:lang w:val="en-US"/>
        </w:rPr>
        <w:t xml:space="preserve"> appeared </w:t>
      </w:r>
      <w:r w:rsidR="00F54570" w:rsidRPr="001E1040">
        <w:rPr>
          <w:rFonts w:ascii="Segoe UI" w:hAnsi="Segoe UI" w:cs="Segoe UI"/>
          <w:sz w:val="20"/>
          <w:szCs w:val="20"/>
          <w:lang w:val="en-US"/>
        </w:rPr>
        <w:t xml:space="preserve">on the horizon of international </w:t>
      </w:r>
      <w:r w:rsidR="00AE6376" w:rsidRPr="001E1040">
        <w:rPr>
          <w:rFonts w:ascii="Segoe UI" w:hAnsi="Segoe UI" w:cs="Segoe UI"/>
          <w:sz w:val="20"/>
          <w:szCs w:val="20"/>
          <w:lang w:val="en-US"/>
        </w:rPr>
        <w:t xml:space="preserve">economic </w:t>
      </w:r>
      <w:r w:rsidR="00F54570" w:rsidRPr="001E1040">
        <w:rPr>
          <w:rFonts w:ascii="Segoe UI" w:hAnsi="Segoe UI" w:cs="Segoe UI"/>
          <w:sz w:val="20"/>
          <w:szCs w:val="20"/>
          <w:lang w:val="en-US"/>
        </w:rPr>
        <w:t>lif</w:t>
      </w:r>
      <w:r w:rsidR="00DE2E07" w:rsidRPr="001E1040">
        <w:rPr>
          <w:rFonts w:ascii="Segoe UI" w:hAnsi="Segoe UI" w:cs="Segoe UI"/>
          <w:sz w:val="20"/>
          <w:szCs w:val="20"/>
          <w:lang w:val="en-US"/>
        </w:rPr>
        <w:t>e</w:t>
      </w:r>
      <w:r w:rsidR="00FD15F5" w:rsidRPr="001E1040">
        <w:rPr>
          <w:rFonts w:ascii="Segoe UI" w:hAnsi="Segoe UI" w:cs="Segoe UI"/>
          <w:sz w:val="20"/>
          <w:szCs w:val="20"/>
          <w:lang w:val="en-US"/>
        </w:rPr>
        <w:t xml:space="preserve"> and</w:t>
      </w:r>
      <w:r w:rsidR="00DE2E07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FD15F5" w:rsidRPr="001E1040">
        <w:rPr>
          <w:rFonts w:ascii="Segoe UI" w:hAnsi="Segoe UI" w:cs="Segoe UI"/>
          <w:sz w:val="20"/>
          <w:szCs w:val="20"/>
          <w:lang w:val="en-US"/>
        </w:rPr>
        <w:t>have</w:t>
      </w:r>
      <w:r w:rsidR="003965F6" w:rsidRPr="001E1040">
        <w:rPr>
          <w:rFonts w:ascii="Segoe UI" w:hAnsi="Segoe UI" w:cs="Segoe UI"/>
          <w:sz w:val="20"/>
          <w:szCs w:val="20"/>
          <w:lang w:val="en-US"/>
        </w:rPr>
        <w:t xml:space="preserve"> a major impact </w:t>
      </w:r>
      <w:r w:rsidR="00443A05" w:rsidRPr="001E1040">
        <w:rPr>
          <w:rFonts w:ascii="Segoe UI" w:hAnsi="Segoe UI" w:cs="Segoe UI"/>
          <w:sz w:val="20"/>
          <w:szCs w:val="20"/>
          <w:lang w:val="en-US"/>
        </w:rPr>
        <w:t xml:space="preserve">on various aspects of societal life as well as on the regulatory policies of states. 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>International b</w:t>
      </w:r>
      <w:r w:rsidR="00443A05" w:rsidRPr="001E1040">
        <w:rPr>
          <w:rFonts w:ascii="Segoe UI" w:hAnsi="Segoe UI" w:cs="Segoe UI"/>
          <w:sz w:val="20"/>
          <w:szCs w:val="20"/>
          <w:lang w:val="en-US"/>
        </w:rPr>
        <w:t>usiness relati</w:t>
      </w:r>
      <w:r w:rsidR="0036734D" w:rsidRPr="001E1040">
        <w:rPr>
          <w:rFonts w:ascii="Segoe UI" w:hAnsi="Segoe UI" w:cs="Segoe UI"/>
          <w:sz w:val="20"/>
          <w:szCs w:val="20"/>
          <w:lang w:val="en-US"/>
        </w:rPr>
        <w:t xml:space="preserve">ons can take various forms from </w:t>
      </w:r>
      <w:r w:rsidR="00443A05" w:rsidRPr="001E1040">
        <w:rPr>
          <w:rFonts w:ascii="Segoe UI" w:hAnsi="Segoe UI" w:cs="Segoe UI"/>
          <w:sz w:val="20"/>
          <w:szCs w:val="20"/>
          <w:lang w:val="en-US"/>
        </w:rPr>
        <w:t>trade relations</w:t>
      </w:r>
      <w:r w:rsidR="009D7938" w:rsidRPr="001E1040">
        <w:rPr>
          <w:rFonts w:ascii="Segoe UI" w:hAnsi="Segoe UI" w:cs="Segoe UI"/>
          <w:sz w:val="20"/>
          <w:szCs w:val="20"/>
          <w:lang w:val="en-US"/>
        </w:rPr>
        <w:t xml:space="preserve"> through different</w:t>
      </w:r>
      <w:r w:rsidR="0036734D" w:rsidRPr="001E1040">
        <w:rPr>
          <w:rFonts w:ascii="Segoe UI" w:hAnsi="Segoe UI" w:cs="Segoe UI"/>
          <w:sz w:val="20"/>
          <w:szCs w:val="20"/>
          <w:lang w:val="en-US"/>
        </w:rPr>
        <w:t xml:space="preserve"> methods of</w:t>
      </w:r>
      <w:r w:rsidR="009D7938" w:rsidRPr="001E1040">
        <w:rPr>
          <w:rFonts w:ascii="Segoe UI" w:hAnsi="Segoe UI" w:cs="Segoe UI"/>
          <w:sz w:val="20"/>
          <w:szCs w:val="20"/>
          <w:lang w:val="en-US"/>
        </w:rPr>
        <w:t xml:space="preserve"> licensing</w:t>
      </w:r>
      <w:r w:rsidR="00443A05" w:rsidRPr="001E1040">
        <w:rPr>
          <w:rFonts w:ascii="Segoe UI" w:hAnsi="Segoe UI" w:cs="Segoe UI"/>
          <w:sz w:val="20"/>
          <w:szCs w:val="20"/>
          <w:lang w:val="en-US"/>
        </w:rPr>
        <w:t xml:space="preserve"> to </w:t>
      </w:r>
      <w:r w:rsidR="009D7938" w:rsidRPr="001E1040">
        <w:rPr>
          <w:rFonts w:ascii="Segoe UI" w:hAnsi="Segoe UI" w:cs="Segoe UI"/>
          <w:sz w:val="20"/>
          <w:szCs w:val="20"/>
          <w:lang w:val="en-US"/>
        </w:rPr>
        <w:t xml:space="preserve">the actual establishment of production 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 xml:space="preserve">lines </w:t>
      </w:r>
      <w:r w:rsidR="009D7938" w:rsidRPr="001E1040">
        <w:rPr>
          <w:rFonts w:ascii="Segoe UI" w:hAnsi="Segoe UI" w:cs="Segoe UI"/>
          <w:sz w:val="20"/>
          <w:szCs w:val="20"/>
          <w:lang w:val="en-US"/>
        </w:rPr>
        <w:t>or other</w:t>
      </w:r>
      <w:r w:rsidR="00C71762" w:rsidRPr="001E1040">
        <w:rPr>
          <w:rFonts w:ascii="Segoe UI" w:hAnsi="Segoe UI" w:cs="Segoe UI"/>
          <w:sz w:val="20"/>
          <w:szCs w:val="20"/>
          <w:lang w:val="en-US"/>
        </w:rPr>
        <w:t xml:space="preserve"> operation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>s</w:t>
      </w:r>
      <w:r w:rsidR="00C71762" w:rsidRPr="001E1040">
        <w:rPr>
          <w:rFonts w:ascii="Segoe UI" w:hAnsi="Segoe UI" w:cs="Segoe UI"/>
          <w:sz w:val="20"/>
          <w:szCs w:val="20"/>
          <w:lang w:val="en-US"/>
        </w:rPr>
        <w:t xml:space="preserve"> in a fo</w:t>
      </w:r>
      <w:r w:rsidR="0036734D" w:rsidRPr="001E1040">
        <w:rPr>
          <w:rFonts w:ascii="Segoe UI" w:hAnsi="Segoe UI" w:cs="Segoe UI"/>
          <w:sz w:val="20"/>
          <w:szCs w:val="20"/>
          <w:lang w:val="en-US"/>
        </w:rPr>
        <w:t>reign country</w:t>
      </w:r>
      <w:r w:rsidR="00443A05" w:rsidRPr="001E1040">
        <w:rPr>
          <w:rFonts w:ascii="Segoe UI" w:hAnsi="Segoe UI" w:cs="Segoe UI"/>
          <w:sz w:val="20"/>
          <w:szCs w:val="20"/>
          <w:lang w:val="en-US"/>
        </w:rPr>
        <w:t>.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 xml:space="preserve"> The letter form of business relation is called foreign direct investment.</w:t>
      </w:r>
    </w:p>
    <w:p w:rsidR="00EF7C0C" w:rsidRPr="001E1040" w:rsidRDefault="00EF7C0C" w:rsidP="006531D0">
      <w:pPr>
        <w:spacing w:line="22" w:lineRule="atLeast"/>
        <w:rPr>
          <w:rFonts w:ascii="Segoe UI" w:hAnsi="Segoe UI" w:cs="Segoe UI"/>
          <w:sz w:val="20"/>
          <w:szCs w:val="20"/>
          <w:lang w:val="en-US"/>
        </w:rPr>
      </w:pPr>
      <w:r w:rsidRPr="001E1040">
        <w:rPr>
          <w:rFonts w:ascii="Segoe UI" w:hAnsi="Segoe UI" w:cs="Segoe UI"/>
          <w:sz w:val="20"/>
          <w:szCs w:val="20"/>
          <w:lang w:val="en-US"/>
        </w:rPr>
        <w:tab/>
      </w:r>
      <w:r w:rsidR="00C71762" w:rsidRPr="001E1040">
        <w:rPr>
          <w:rFonts w:ascii="Segoe UI" w:hAnsi="Segoe UI" w:cs="Segoe UI"/>
          <w:sz w:val="20"/>
          <w:szCs w:val="20"/>
          <w:lang w:val="en-US"/>
        </w:rPr>
        <w:t>T</w:t>
      </w:r>
      <w:r w:rsidR="00982C44" w:rsidRPr="001E1040">
        <w:rPr>
          <w:rFonts w:ascii="Segoe UI" w:hAnsi="Segoe UI" w:cs="Segoe UI"/>
          <w:sz w:val="20"/>
          <w:szCs w:val="20"/>
          <w:lang w:val="en-US"/>
        </w:rPr>
        <w:t xml:space="preserve">he </w:t>
      </w:r>
      <w:r w:rsidR="00C71762" w:rsidRPr="001E1040">
        <w:rPr>
          <w:rFonts w:ascii="Segoe UI" w:hAnsi="Segoe UI" w:cs="Segoe UI"/>
          <w:sz w:val="20"/>
          <w:szCs w:val="20"/>
          <w:lang w:val="en-US"/>
        </w:rPr>
        <w:t xml:space="preserve">main </w:t>
      </w:r>
      <w:r w:rsidR="007D75A0" w:rsidRPr="001E1040">
        <w:rPr>
          <w:rFonts w:ascii="Segoe UI" w:hAnsi="Segoe UI" w:cs="Segoe UI"/>
          <w:sz w:val="20"/>
          <w:szCs w:val="20"/>
          <w:lang w:val="en-US"/>
        </w:rPr>
        <w:t>objective of this course is to</w:t>
      </w:r>
      <w:r w:rsidR="00982C44" w:rsidRPr="001E1040">
        <w:rPr>
          <w:rFonts w:ascii="Segoe UI" w:hAnsi="Segoe UI" w:cs="Segoe UI"/>
          <w:sz w:val="20"/>
          <w:szCs w:val="20"/>
          <w:lang w:val="en-US"/>
        </w:rPr>
        <w:t xml:space="preserve"> give students a basic</w:t>
      </w:r>
      <w:r w:rsidR="006D78F7" w:rsidRPr="001E1040">
        <w:rPr>
          <w:rFonts w:ascii="Segoe UI" w:hAnsi="Segoe UI" w:cs="Segoe UI"/>
          <w:sz w:val="20"/>
          <w:szCs w:val="20"/>
          <w:lang w:val="en-US"/>
        </w:rPr>
        <w:t xml:space="preserve"> introduction </w:t>
      </w:r>
      <w:r w:rsidR="008D7B9C" w:rsidRPr="001E1040">
        <w:rPr>
          <w:rFonts w:ascii="Segoe UI" w:hAnsi="Segoe UI" w:cs="Segoe UI"/>
          <w:sz w:val="20"/>
          <w:szCs w:val="20"/>
          <w:lang w:val="en-US"/>
        </w:rPr>
        <w:t>to</w:t>
      </w:r>
      <w:r w:rsidR="008015AC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8D7B9C" w:rsidRPr="001E1040">
        <w:rPr>
          <w:rFonts w:ascii="Segoe UI" w:hAnsi="Segoe UI" w:cs="Segoe UI"/>
          <w:sz w:val="20"/>
          <w:szCs w:val="20"/>
          <w:lang w:val="en-US"/>
        </w:rPr>
        <w:t xml:space="preserve">the </w:t>
      </w:r>
      <w:r w:rsidR="00F87CAA" w:rsidRPr="001E1040">
        <w:rPr>
          <w:rFonts w:ascii="Segoe UI" w:hAnsi="Segoe UI" w:cs="Segoe UI"/>
          <w:sz w:val="20"/>
          <w:szCs w:val="20"/>
          <w:lang w:val="en-US"/>
        </w:rPr>
        <w:t xml:space="preserve">legal </w:t>
      </w:r>
      <w:r w:rsidR="009D7938" w:rsidRPr="001E1040">
        <w:rPr>
          <w:rFonts w:ascii="Segoe UI" w:hAnsi="Segoe UI" w:cs="Segoe UI"/>
          <w:sz w:val="20"/>
          <w:szCs w:val="20"/>
          <w:lang w:val="en-US"/>
        </w:rPr>
        <w:t>world of foreign</w:t>
      </w:r>
      <w:r w:rsidR="00F87CAA" w:rsidRPr="001E1040">
        <w:rPr>
          <w:rFonts w:ascii="Segoe UI" w:hAnsi="Segoe UI" w:cs="Segoe UI"/>
          <w:sz w:val="20"/>
          <w:szCs w:val="20"/>
          <w:lang w:val="en-US"/>
        </w:rPr>
        <w:t xml:space="preserve"> direct</w:t>
      </w:r>
      <w:r w:rsidR="009D7938" w:rsidRPr="001E1040">
        <w:rPr>
          <w:rFonts w:ascii="Segoe UI" w:hAnsi="Segoe UI" w:cs="Segoe UI"/>
          <w:sz w:val="20"/>
          <w:szCs w:val="20"/>
          <w:lang w:val="en-US"/>
        </w:rPr>
        <w:t xml:space="preserve"> investments. In doing so </w:t>
      </w:r>
      <w:r w:rsidR="00F87CAA" w:rsidRPr="001E1040">
        <w:rPr>
          <w:rFonts w:ascii="Segoe UI" w:hAnsi="Segoe UI" w:cs="Segoe UI"/>
          <w:sz w:val="20"/>
          <w:szCs w:val="20"/>
          <w:lang w:val="en-US"/>
        </w:rPr>
        <w:t xml:space="preserve">the course explores </w:t>
      </w:r>
      <w:r w:rsidR="0087130E" w:rsidRPr="001E1040">
        <w:rPr>
          <w:rFonts w:ascii="Segoe UI" w:hAnsi="Segoe UI" w:cs="Segoe UI"/>
          <w:sz w:val="20"/>
          <w:szCs w:val="20"/>
          <w:lang w:val="en-US"/>
        </w:rPr>
        <w:t xml:space="preserve">the 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 xml:space="preserve">different </w:t>
      </w:r>
      <w:r w:rsidR="00F87CAA" w:rsidRPr="001E1040">
        <w:rPr>
          <w:rFonts w:ascii="Segoe UI" w:hAnsi="Segoe UI" w:cs="Segoe UI"/>
          <w:sz w:val="20"/>
          <w:szCs w:val="20"/>
          <w:lang w:val="en-US"/>
        </w:rPr>
        <w:t>economic theories of foreign direct investment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>s</w:t>
      </w:r>
      <w:r w:rsidR="00F87CAA" w:rsidRPr="001E1040">
        <w:rPr>
          <w:rFonts w:ascii="Segoe UI" w:hAnsi="Segoe UI" w:cs="Segoe UI"/>
          <w:sz w:val="20"/>
          <w:szCs w:val="20"/>
          <w:lang w:val="en-US"/>
        </w:rPr>
        <w:t xml:space="preserve"> along with </w:t>
      </w:r>
      <w:r w:rsidR="002F77DF" w:rsidRPr="001E1040">
        <w:rPr>
          <w:rFonts w:ascii="Segoe UI" w:hAnsi="Segoe UI" w:cs="Segoe UI"/>
          <w:sz w:val="20"/>
          <w:szCs w:val="20"/>
          <w:lang w:val="en-US"/>
        </w:rPr>
        <w:t xml:space="preserve">the </w:t>
      </w:r>
      <w:r w:rsidR="00F00D85" w:rsidRPr="001E1040">
        <w:rPr>
          <w:rFonts w:ascii="Segoe UI" w:hAnsi="Segoe UI" w:cs="Segoe UI"/>
          <w:sz w:val="20"/>
          <w:szCs w:val="20"/>
          <w:lang w:val="en-US"/>
        </w:rPr>
        <w:t>historical path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>, the</w:t>
      </w:r>
      <w:r w:rsidR="000337E9" w:rsidRPr="001E1040">
        <w:rPr>
          <w:rFonts w:ascii="Segoe UI" w:hAnsi="Segoe UI" w:cs="Segoe UI"/>
          <w:sz w:val="20"/>
          <w:szCs w:val="20"/>
          <w:lang w:val="en-US"/>
        </w:rPr>
        <w:t xml:space="preserve"> basic treaty structure and 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 xml:space="preserve">the </w:t>
      </w:r>
      <w:r w:rsidR="000337E9" w:rsidRPr="001E1040">
        <w:rPr>
          <w:rFonts w:ascii="Segoe UI" w:hAnsi="Segoe UI" w:cs="Segoe UI"/>
          <w:sz w:val="20"/>
          <w:szCs w:val="20"/>
          <w:lang w:val="en-US"/>
        </w:rPr>
        <w:t xml:space="preserve">institutions </w:t>
      </w:r>
      <w:r w:rsidR="007A5AAC" w:rsidRPr="001E1040">
        <w:rPr>
          <w:rFonts w:ascii="Segoe UI" w:hAnsi="Segoe UI" w:cs="Segoe UI"/>
          <w:sz w:val="20"/>
          <w:szCs w:val="20"/>
          <w:lang w:val="en-US"/>
        </w:rPr>
        <w:t>of its international regulation</w:t>
      </w:r>
      <w:r w:rsidR="002F77DF" w:rsidRPr="001E1040">
        <w:rPr>
          <w:rFonts w:ascii="Segoe UI" w:hAnsi="Segoe UI" w:cs="Segoe UI"/>
          <w:sz w:val="20"/>
          <w:szCs w:val="20"/>
          <w:lang w:val="en-US"/>
        </w:rPr>
        <w:t xml:space="preserve">. 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>By assessing actual investment disputes</w:t>
      </w:r>
      <w:r w:rsidR="00DC4539" w:rsidRPr="001E1040">
        <w:rPr>
          <w:rFonts w:ascii="Segoe UI" w:hAnsi="Segoe UI" w:cs="Segoe UI"/>
          <w:sz w:val="20"/>
          <w:szCs w:val="20"/>
          <w:lang w:val="en-US"/>
        </w:rPr>
        <w:t xml:space="preserve"> t</w:t>
      </w:r>
      <w:r w:rsidR="00401E1A" w:rsidRPr="001E1040">
        <w:rPr>
          <w:rFonts w:ascii="Segoe UI" w:hAnsi="Segoe UI" w:cs="Segoe UI"/>
          <w:sz w:val="20"/>
          <w:szCs w:val="20"/>
          <w:lang w:val="en-US"/>
        </w:rPr>
        <w:t xml:space="preserve">he course will </w:t>
      </w:r>
      <w:r w:rsidR="00F5520A" w:rsidRPr="001E1040">
        <w:rPr>
          <w:rFonts w:ascii="Segoe UI" w:hAnsi="Segoe UI" w:cs="Segoe UI"/>
          <w:sz w:val="20"/>
          <w:szCs w:val="20"/>
          <w:lang w:val="en-US"/>
        </w:rPr>
        <w:t>give</w:t>
      </w:r>
      <w:r w:rsidR="00DC4539" w:rsidRPr="001E1040">
        <w:rPr>
          <w:rFonts w:ascii="Segoe UI" w:hAnsi="Segoe UI" w:cs="Segoe UI"/>
          <w:sz w:val="20"/>
          <w:szCs w:val="20"/>
          <w:lang w:val="en-US"/>
        </w:rPr>
        <w:t xml:space="preserve"> students</w:t>
      </w:r>
      <w:r w:rsidR="00F5520A" w:rsidRPr="001E1040">
        <w:rPr>
          <w:rFonts w:ascii="Segoe UI" w:hAnsi="Segoe UI" w:cs="Segoe UI"/>
          <w:sz w:val="20"/>
          <w:szCs w:val="20"/>
          <w:lang w:val="en-US"/>
        </w:rPr>
        <w:t xml:space="preserve"> detailed insight</w:t>
      </w:r>
      <w:r w:rsidR="00DC4539" w:rsidRPr="001E1040">
        <w:rPr>
          <w:rFonts w:ascii="Segoe UI" w:hAnsi="Segoe UI" w:cs="Segoe UI"/>
          <w:sz w:val="20"/>
          <w:szCs w:val="20"/>
          <w:lang w:val="en-US"/>
        </w:rPr>
        <w:t>s</w:t>
      </w:r>
      <w:r w:rsidR="00F5520A" w:rsidRPr="001E1040">
        <w:rPr>
          <w:rFonts w:ascii="Segoe UI" w:hAnsi="Segoe UI" w:cs="Segoe UI"/>
          <w:sz w:val="20"/>
          <w:szCs w:val="20"/>
          <w:lang w:val="en-US"/>
        </w:rPr>
        <w:t xml:space="preserve"> into </w:t>
      </w:r>
      <w:r w:rsidR="002F038A" w:rsidRPr="001E1040">
        <w:rPr>
          <w:rFonts w:ascii="Segoe UI" w:hAnsi="Segoe UI" w:cs="Segoe UI"/>
          <w:sz w:val="20"/>
          <w:szCs w:val="20"/>
          <w:lang w:val="en-US"/>
        </w:rPr>
        <w:t xml:space="preserve">the various standard of protections the international investment regime currently offers. </w:t>
      </w:r>
      <w:r w:rsidR="00DC4539" w:rsidRPr="001E1040">
        <w:rPr>
          <w:rFonts w:ascii="Segoe UI" w:hAnsi="Segoe UI" w:cs="Segoe UI"/>
          <w:sz w:val="20"/>
          <w:szCs w:val="20"/>
          <w:lang w:val="en-US"/>
        </w:rPr>
        <w:t>The course will also outline the historical roots and main characteristics of investor-state</w:t>
      </w:r>
      <w:r w:rsidRPr="001E1040">
        <w:rPr>
          <w:rFonts w:ascii="Segoe UI" w:hAnsi="Segoe UI" w:cs="Segoe UI"/>
          <w:sz w:val="20"/>
          <w:szCs w:val="20"/>
          <w:lang w:val="en-US"/>
        </w:rPr>
        <w:t xml:space="preserve"> dispute settlement mechanisms.</w:t>
      </w:r>
    </w:p>
    <w:p w:rsidR="00F5520A" w:rsidRPr="001E1040" w:rsidRDefault="00EF7C0C" w:rsidP="006531D0">
      <w:pPr>
        <w:spacing w:line="22" w:lineRule="atLeast"/>
        <w:rPr>
          <w:rFonts w:ascii="Segoe UI" w:hAnsi="Segoe UI" w:cs="Segoe UI"/>
          <w:sz w:val="20"/>
          <w:szCs w:val="20"/>
          <w:lang w:val="en-US"/>
        </w:rPr>
      </w:pPr>
      <w:r w:rsidRPr="001E1040">
        <w:rPr>
          <w:rFonts w:ascii="Segoe UI" w:hAnsi="Segoe UI" w:cs="Segoe UI"/>
          <w:sz w:val="20"/>
          <w:szCs w:val="20"/>
          <w:lang w:val="en-US"/>
        </w:rPr>
        <w:tab/>
      </w:r>
      <w:r w:rsidR="00C9003F" w:rsidRPr="001E1040">
        <w:rPr>
          <w:rFonts w:ascii="Segoe UI" w:hAnsi="Segoe UI" w:cs="Segoe UI"/>
          <w:sz w:val="20"/>
          <w:szCs w:val="20"/>
          <w:lang w:val="en-US"/>
        </w:rPr>
        <w:t>The current international investm</w:t>
      </w:r>
      <w:r w:rsidR="00C95618" w:rsidRPr="001E1040">
        <w:rPr>
          <w:rFonts w:ascii="Segoe UI" w:hAnsi="Segoe UI" w:cs="Segoe UI"/>
          <w:sz w:val="20"/>
          <w:szCs w:val="20"/>
          <w:lang w:val="en-US"/>
        </w:rPr>
        <w:t>e</w:t>
      </w:r>
      <w:r w:rsidR="00D31E6D" w:rsidRPr="001E1040">
        <w:rPr>
          <w:rFonts w:ascii="Segoe UI" w:hAnsi="Segoe UI" w:cs="Segoe UI"/>
          <w:sz w:val="20"/>
          <w:szCs w:val="20"/>
          <w:lang w:val="en-US"/>
        </w:rPr>
        <w:t>nt regime has attracted heavy</w:t>
      </w:r>
      <w:r w:rsidR="00C95618" w:rsidRPr="001E1040">
        <w:rPr>
          <w:rFonts w:ascii="Segoe UI" w:hAnsi="Segoe UI" w:cs="Segoe UI"/>
          <w:sz w:val="20"/>
          <w:szCs w:val="20"/>
          <w:lang w:val="en-US"/>
        </w:rPr>
        <w:t xml:space="preserve"> criticism throughout the past several decades. Therefore, the cour</w:t>
      </w:r>
      <w:r w:rsidR="00DF1951" w:rsidRPr="001E1040">
        <w:rPr>
          <w:rFonts w:ascii="Segoe UI" w:hAnsi="Segoe UI" w:cs="Segoe UI"/>
          <w:sz w:val="20"/>
          <w:szCs w:val="20"/>
          <w:lang w:val="en-US"/>
        </w:rPr>
        <w:t xml:space="preserve">se will explore the reasons of such criticism by </w:t>
      </w:r>
      <w:r w:rsidR="00951217" w:rsidRPr="001E1040">
        <w:rPr>
          <w:rFonts w:ascii="Segoe UI" w:hAnsi="Segoe UI" w:cs="Segoe UI"/>
          <w:sz w:val="20"/>
          <w:szCs w:val="20"/>
          <w:lang w:val="en-US"/>
        </w:rPr>
        <w:t>providing an overview of the</w:t>
      </w:r>
      <w:r w:rsidR="00AB0BB1" w:rsidRPr="001E1040">
        <w:rPr>
          <w:rFonts w:ascii="Segoe UI" w:hAnsi="Segoe UI" w:cs="Segoe UI"/>
          <w:sz w:val="20"/>
          <w:szCs w:val="20"/>
          <w:lang w:val="en-US"/>
        </w:rPr>
        <w:t xml:space="preserve"> investment</w:t>
      </w:r>
      <w:r w:rsidR="00951217" w:rsidRPr="001E1040">
        <w:rPr>
          <w:rFonts w:ascii="Segoe UI" w:hAnsi="Segoe UI" w:cs="Segoe UI"/>
          <w:sz w:val="20"/>
          <w:szCs w:val="20"/>
          <w:lang w:val="en-US"/>
        </w:rPr>
        <w:t xml:space="preserve"> regime's </w:t>
      </w:r>
      <w:r w:rsidR="00401E1A" w:rsidRPr="001E1040">
        <w:rPr>
          <w:rFonts w:ascii="Segoe UI" w:hAnsi="Segoe UI" w:cs="Segoe UI"/>
          <w:sz w:val="20"/>
          <w:szCs w:val="20"/>
          <w:lang w:val="en-US"/>
        </w:rPr>
        <w:t>modern-day challenges</w:t>
      </w:r>
      <w:r w:rsidR="00951217" w:rsidRPr="001E1040">
        <w:rPr>
          <w:rFonts w:ascii="Segoe UI" w:hAnsi="Segoe UI" w:cs="Segoe UI"/>
          <w:sz w:val="20"/>
          <w:szCs w:val="20"/>
          <w:lang w:val="en-US"/>
        </w:rPr>
        <w:t xml:space="preserve">. </w:t>
      </w:r>
      <w:r w:rsidR="00AB0BB1" w:rsidRPr="001E1040">
        <w:rPr>
          <w:rFonts w:ascii="Segoe UI" w:hAnsi="Segoe UI" w:cs="Segoe UI"/>
          <w:sz w:val="20"/>
          <w:szCs w:val="20"/>
          <w:lang w:val="en-US"/>
        </w:rPr>
        <w:t>In doing so, great emphasis will be put on assessing those areas of international law which interrelate with investment law. Hence its relations with hu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>man rights regime, environmental</w:t>
      </w:r>
      <w:r w:rsidR="00AB0BB1" w:rsidRPr="001E1040">
        <w:rPr>
          <w:rFonts w:ascii="Segoe UI" w:hAnsi="Segoe UI" w:cs="Segoe UI"/>
          <w:sz w:val="20"/>
          <w:szCs w:val="20"/>
          <w:lang w:val="en-US"/>
        </w:rPr>
        <w:t xml:space="preserve"> law and the principle of sustainable </w:t>
      </w:r>
      <w:r w:rsidR="00376865" w:rsidRPr="001E1040">
        <w:rPr>
          <w:rFonts w:ascii="Segoe UI" w:hAnsi="Segoe UI" w:cs="Segoe UI"/>
          <w:sz w:val="20"/>
          <w:szCs w:val="20"/>
          <w:lang w:val="en-US"/>
        </w:rPr>
        <w:t>de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>velopment will be discussed by assessing</w:t>
      </w:r>
      <w:r w:rsidR="00376865" w:rsidRPr="001E1040">
        <w:rPr>
          <w:rFonts w:ascii="Segoe UI" w:hAnsi="Segoe UI" w:cs="Segoe UI"/>
          <w:sz w:val="20"/>
          <w:szCs w:val="20"/>
          <w:lang w:val="en-US"/>
        </w:rPr>
        <w:t xml:space="preserve"> actual investment cases.</w:t>
      </w:r>
    </w:p>
    <w:p w:rsidR="00401E1A" w:rsidRPr="001E1040" w:rsidRDefault="00401E1A" w:rsidP="006531D0">
      <w:pPr>
        <w:spacing w:line="22" w:lineRule="atLeast"/>
        <w:rPr>
          <w:rFonts w:ascii="Segoe UI" w:hAnsi="Segoe UI" w:cs="Segoe UI"/>
          <w:sz w:val="20"/>
          <w:szCs w:val="20"/>
          <w:lang w:val="en-US"/>
        </w:rPr>
      </w:pPr>
    </w:p>
    <w:p w:rsidR="004233ED" w:rsidRPr="001E1040" w:rsidRDefault="00287152" w:rsidP="004C2711">
      <w:pPr>
        <w:suppressAutoHyphens w:val="0"/>
        <w:spacing w:line="22" w:lineRule="atLeast"/>
        <w:rPr>
          <w:rFonts w:ascii="Segoe UI" w:hAnsi="Segoe UI" w:cs="Segoe UI"/>
          <w:sz w:val="20"/>
          <w:szCs w:val="20"/>
          <w:lang w:val="en-US"/>
        </w:rPr>
      </w:pPr>
      <w:r w:rsidRPr="001E1040">
        <w:rPr>
          <w:rFonts w:ascii="Segoe UI" w:hAnsi="Segoe UI" w:cs="Segoe UI"/>
          <w:b/>
          <w:sz w:val="20"/>
          <w:szCs w:val="20"/>
          <w:lang w:val="en-US"/>
        </w:rPr>
        <w:t>Requirements:</w:t>
      </w:r>
      <w:r w:rsidR="004233ED" w:rsidRPr="001E1040">
        <w:rPr>
          <w:rFonts w:ascii="Segoe UI" w:hAnsi="Segoe UI" w:cs="Segoe UI"/>
          <w:b/>
          <w:sz w:val="20"/>
          <w:szCs w:val="20"/>
          <w:lang w:val="en-US"/>
        </w:rPr>
        <w:tab/>
      </w:r>
      <w:r w:rsidR="004233ED" w:rsidRPr="001E1040">
        <w:rPr>
          <w:rFonts w:ascii="Segoe UI" w:hAnsi="Segoe UI" w:cs="Segoe UI"/>
          <w:b/>
          <w:sz w:val="20"/>
          <w:szCs w:val="20"/>
          <w:lang w:val="en-US"/>
        </w:rPr>
        <w:tab/>
      </w:r>
      <w:r w:rsidR="004233ED" w:rsidRPr="001E1040">
        <w:rPr>
          <w:rFonts w:ascii="Segoe UI" w:hAnsi="Segoe UI" w:cs="Segoe UI"/>
          <w:sz w:val="20"/>
          <w:szCs w:val="20"/>
          <w:lang w:val="en-US"/>
        </w:rPr>
        <w:t xml:space="preserve">The final grade is influenced by the result of the midterm </w:t>
      </w:r>
      <w:r w:rsidR="002B17CB" w:rsidRPr="001E1040">
        <w:rPr>
          <w:rFonts w:ascii="Segoe UI" w:hAnsi="Segoe UI" w:cs="Segoe UI"/>
          <w:sz w:val="20"/>
          <w:szCs w:val="20"/>
          <w:lang w:val="en-US"/>
        </w:rPr>
        <w:t xml:space="preserve">and final </w:t>
      </w:r>
      <w:r w:rsidR="004233ED" w:rsidRPr="001E1040">
        <w:rPr>
          <w:rFonts w:ascii="Segoe UI" w:hAnsi="Segoe UI" w:cs="Segoe UI"/>
          <w:sz w:val="20"/>
          <w:szCs w:val="20"/>
          <w:lang w:val="en-US"/>
        </w:rPr>
        <w:t>exam</w:t>
      </w:r>
      <w:r w:rsidR="00666B78" w:rsidRPr="001E1040">
        <w:rPr>
          <w:rFonts w:ascii="Segoe UI" w:hAnsi="Segoe UI" w:cs="Segoe UI"/>
          <w:sz w:val="20"/>
          <w:szCs w:val="20"/>
          <w:lang w:val="en-US"/>
        </w:rPr>
        <w:t>s as well as the class participation</w:t>
      </w:r>
      <w:r w:rsidR="004233ED" w:rsidRPr="001E1040">
        <w:rPr>
          <w:rFonts w:ascii="Segoe UI" w:hAnsi="Segoe UI" w:cs="Segoe UI"/>
          <w:sz w:val="20"/>
          <w:szCs w:val="20"/>
          <w:lang w:val="en-US"/>
        </w:rPr>
        <w:t>. The midterm exam consists of two parts. One of them is a multiple choice examination, while the second part is an essay. The material for the midterm exam is the previous class material covering</w:t>
      </w:r>
      <w:r w:rsidR="009258CC" w:rsidRPr="001E1040">
        <w:rPr>
          <w:rFonts w:ascii="Segoe UI" w:hAnsi="Segoe UI" w:cs="Segoe UI"/>
          <w:sz w:val="20"/>
          <w:szCs w:val="20"/>
          <w:lang w:val="en-US"/>
        </w:rPr>
        <w:t xml:space="preserve"> both</w:t>
      </w:r>
      <w:r w:rsidR="004233ED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9258CC" w:rsidRPr="001E1040">
        <w:rPr>
          <w:rFonts w:ascii="Segoe UI" w:hAnsi="Segoe UI" w:cs="Segoe UI"/>
          <w:sz w:val="20"/>
          <w:szCs w:val="20"/>
          <w:lang w:val="en-US"/>
        </w:rPr>
        <w:t>the substantive and procedural basis of the international investment law.</w:t>
      </w:r>
      <w:r w:rsidR="00F44EA9" w:rsidRPr="001E1040">
        <w:rPr>
          <w:rFonts w:ascii="Segoe UI" w:hAnsi="Segoe UI" w:cs="Segoe UI"/>
          <w:sz w:val="20"/>
          <w:szCs w:val="20"/>
          <w:lang w:val="en-US"/>
        </w:rPr>
        <w:t xml:space="preserve"> The final exam is an essay which is </w:t>
      </w:r>
      <w:r w:rsidR="00666B78" w:rsidRPr="001E1040">
        <w:rPr>
          <w:rFonts w:ascii="Segoe UI" w:hAnsi="Segoe UI" w:cs="Segoe UI"/>
          <w:sz w:val="20"/>
          <w:szCs w:val="20"/>
          <w:lang w:val="en-US"/>
        </w:rPr>
        <w:t>on one of the modern challenges of investment law</w:t>
      </w:r>
      <w:r w:rsidR="00F44EA9" w:rsidRPr="001E1040">
        <w:rPr>
          <w:rFonts w:ascii="Segoe UI" w:hAnsi="Segoe UI" w:cs="Segoe UI"/>
          <w:sz w:val="20"/>
          <w:szCs w:val="20"/>
          <w:lang w:val="en-US"/>
        </w:rPr>
        <w:t xml:space="preserve">. </w:t>
      </w:r>
      <w:r w:rsidR="004233ED" w:rsidRPr="001E1040">
        <w:rPr>
          <w:rFonts w:ascii="Segoe UI" w:hAnsi="Segoe UI" w:cs="Segoe UI"/>
          <w:sz w:val="20"/>
          <w:szCs w:val="20"/>
          <w:lang w:val="en-US"/>
        </w:rPr>
        <w:t xml:space="preserve">The midterm </w:t>
      </w:r>
      <w:r w:rsidR="00F44EA9" w:rsidRPr="001E1040">
        <w:rPr>
          <w:rFonts w:ascii="Segoe UI" w:hAnsi="Segoe UI" w:cs="Segoe UI"/>
          <w:sz w:val="20"/>
          <w:szCs w:val="20"/>
          <w:lang w:val="en-US"/>
        </w:rPr>
        <w:t xml:space="preserve">and final </w:t>
      </w:r>
      <w:r w:rsidR="004233ED" w:rsidRPr="001E1040">
        <w:rPr>
          <w:rFonts w:ascii="Segoe UI" w:hAnsi="Segoe UI" w:cs="Segoe UI"/>
          <w:sz w:val="20"/>
          <w:szCs w:val="20"/>
          <w:lang w:val="en-US"/>
        </w:rPr>
        <w:t>exam</w:t>
      </w:r>
      <w:r w:rsidR="00F44EA9" w:rsidRPr="001E1040">
        <w:rPr>
          <w:rFonts w:ascii="Segoe UI" w:hAnsi="Segoe UI" w:cs="Segoe UI"/>
          <w:sz w:val="20"/>
          <w:szCs w:val="20"/>
          <w:lang w:val="en-US"/>
        </w:rPr>
        <w:t xml:space="preserve">s </w:t>
      </w:r>
      <w:r w:rsidR="004233ED" w:rsidRPr="001E1040">
        <w:rPr>
          <w:rFonts w:ascii="Segoe UI" w:hAnsi="Segoe UI" w:cs="Segoe UI"/>
          <w:sz w:val="20"/>
          <w:szCs w:val="20"/>
          <w:lang w:val="en-US"/>
        </w:rPr>
        <w:t>have equal weight in the course of the grade evaluation.</w:t>
      </w:r>
    </w:p>
    <w:p w:rsidR="00287152" w:rsidRPr="001E1040" w:rsidRDefault="004233ED" w:rsidP="004C2711">
      <w:pPr>
        <w:suppressAutoHyphens w:val="0"/>
        <w:spacing w:line="22" w:lineRule="atLeast"/>
        <w:rPr>
          <w:rFonts w:ascii="Segoe UI" w:hAnsi="Segoe UI" w:cs="Segoe UI"/>
          <w:sz w:val="20"/>
          <w:szCs w:val="20"/>
          <w:lang w:val="en-US"/>
        </w:rPr>
      </w:pPr>
      <w:r w:rsidRPr="001E1040">
        <w:rPr>
          <w:rFonts w:ascii="Segoe UI" w:hAnsi="Segoe UI" w:cs="Segoe UI"/>
          <w:sz w:val="20"/>
          <w:szCs w:val="20"/>
          <w:lang w:val="en-US"/>
        </w:rPr>
        <w:t>Also, s</w:t>
      </w:r>
      <w:r w:rsidR="009E2D06" w:rsidRPr="001E1040">
        <w:rPr>
          <w:rFonts w:ascii="Segoe UI" w:hAnsi="Segoe UI" w:cs="Segoe UI"/>
          <w:sz w:val="20"/>
          <w:szCs w:val="20"/>
          <w:lang w:val="en-US"/>
        </w:rPr>
        <w:t xml:space="preserve">tudent participation during class and discussion are required. Each student is expected to participate fully in these discussions and the </w:t>
      </w:r>
      <w:r w:rsidR="00107B83" w:rsidRPr="001E1040">
        <w:rPr>
          <w:rFonts w:ascii="Segoe UI" w:hAnsi="Segoe UI" w:cs="Segoe UI"/>
          <w:sz w:val="20"/>
          <w:szCs w:val="20"/>
          <w:lang w:val="en-US"/>
        </w:rPr>
        <w:t>intensity of their</w:t>
      </w:r>
      <w:r w:rsidR="00E9635E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9E2D06" w:rsidRPr="001E1040">
        <w:rPr>
          <w:rFonts w:ascii="Segoe UI" w:hAnsi="Segoe UI" w:cs="Segoe UI"/>
          <w:sz w:val="20"/>
          <w:szCs w:val="20"/>
          <w:lang w:val="en-US"/>
        </w:rPr>
        <w:t xml:space="preserve">participation influences the </w:t>
      </w:r>
      <w:r w:rsidR="00E9635E" w:rsidRPr="001E1040">
        <w:rPr>
          <w:rFonts w:ascii="Segoe UI" w:hAnsi="Segoe UI" w:cs="Segoe UI"/>
          <w:sz w:val="20"/>
          <w:szCs w:val="20"/>
          <w:lang w:val="en-US"/>
        </w:rPr>
        <w:t>final grade.</w:t>
      </w:r>
      <w:r w:rsidR="00666B78" w:rsidRPr="001E1040">
        <w:rPr>
          <w:rFonts w:ascii="Segoe UI" w:hAnsi="Segoe UI" w:cs="Segoe UI"/>
          <w:sz w:val="20"/>
          <w:szCs w:val="20"/>
          <w:lang w:val="en-US"/>
        </w:rPr>
        <w:t xml:space="preserve"> Cases may be distributed to pair of students throughout the semester. Case presentation also influences the final grade.</w:t>
      </w:r>
    </w:p>
    <w:p w:rsidR="00287152" w:rsidRPr="001E1040" w:rsidRDefault="00287152" w:rsidP="004C2711">
      <w:pPr>
        <w:suppressAutoHyphens w:val="0"/>
        <w:spacing w:line="22" w:lineRule="atLeast"/>
        <w:rPr>
          <w:rFonts w:ascii="Segoe UI" w:hAnsi="Segoe UI" w:cs="Segoe UI"/>
          <w:b/>
          <w:sz w:val="20"/>
          <w:szCs w:val="20"/>
          <w:lang w:val="en-US"/>
        </w:rPr>
      </w:pPr>
    </w:p>
    <w:p w:rsidR="00287152" w:rsidRPr="001E1040" w:rsidRDefault="00970EB1" w:rsidP="004C2711">
      <w:pPr>
        <w:suppressAutoHyphens w:val="0"/>
        <w:spacing w:line="22" w:lineRule="atLeast"/>
        <w:rPr>
          <w:rFonts w:ascii="Segoe UI" w:hAnsi="Segoe UI" w:cs="Segoe UI"/>
          <w:sz w:val="20"/>
          <w:szCs w:val="20"/>
          <w:lang w:val="en-US"/>
        </w:rPr>
      </w:pPr>
      <w:r w:rsidRPr="001E1040">
        <w:rPr>
          <w:rFonts w:ascii="Segoe UI" w:hAnsi="Segoe UI" w:cs="Segoe UI"/>
          <w:b/>
          <w:sz w:val="20"/>
          <w:szCs w:val="20"/>
          <w:lang w:val="en-US"/>
        </w:rPr>
        <w:t>Absenteeism Policy</w:t>
      </w:r>
      <w:r w:rsidR="00287152" w:rsidRPr="001E1040">
        <w:rPr>
          <w:rFonts w:ascii="Segoe UI" w:hAnsi="Segoe UI" w:cs="Segoe UI"/>
          <w:b/>
          <w:sz w:val="20"/>
          <w:szCs w:val="20"/>
          <w:lang w:val="en-US"/>
        </w:rPr>
        <w:t>:</w:t>
      </w:r>
      <w:r w:rsidR="00287152" w:rsidRPr="001E1040">
        <w:rPr>
          <w:rFonts w:ascii="Segoe UI" w:hAnsi="Segoe UI" w:cs="Segoe UI"/>
          <w:b/>
          <w:sz w:val="20"/>
          <w:szCs w:val="20"/>
          <w:lang w:val="en-US"/>
        </w:rPr>
        <w:tab/>
      </w:r>
      <w:r w:rsidR="00AE69F4" w:rsidRPr="001E1040">
        <w:rPr>
          <w:rFonts w:ascii="Segoe UI" w:hAnsi="Segoe UI" w:cs="Segoe UI"/>
          <w:sz w:val="20"/>
          <w:szCs w:val="20"/>
          <w:lang w:val="en-US"/>
        </w:rPr>
        <w:t>A student should not have more than 3 unexcused absences. Excused absence must be validated with the instructor. To assist in keeping track of excused absences, please submit a note (or email) documenting your validated absences.</w:t>
      </w:r>
    </w:p>
    <w:p w:rsidR="000F37D9" w:rsidRPr="001E1040" w:rsidRDefault="000F37D9" w:rsidP="004C2711">
      <w:pPr>
        <w:suppressAutoHyphens w:val="0"/>
        <w:spacing w:line="22" w:lineRule="atLeast"/>
        <w:rPr>
          <w:rFonts w:ascii="Segoe UI" w:hAnsi="Segoe UI" w:cs="Segoe UI"/>
          <w:sz w:val="20"/>
          <w:szCs w:val="20"/>
          <w:lang w:val="en-US"/>
        </w:rPr>
      </w:pPr>
    </w:p>
    <w:p w:rsidR="000F37D9" w:rsidRPr="001E1040" w:rsidRDefault="000F37D9" w:rsidP="004C2711">
      <w:pPr>
        <w:suppressAutoHyphens w:val="0"/>
        <w:spacing w:line="22" w:lineRule="atLeast"/>
        <w:rPr>
          <w:rFonts w:ascii="Segoe UI" w:hAnsi="Segoe UI" w:cs="Segoe UI"/>
          <w:sz w:val="20"/>
          <w:szCs w:val="20"/>
          <w:lang w:val="en-US"/>
        </w:rPr>
      </w:pPr>
      <w:r w:rsidRPr="001E1040">
        <w:rPr>
          <w:rFonts w:ascii="Segoe UI" w:hAnsi="Segoe UI" w:cs="Segoe UI"/>
          <w:b/>
          <w:sz w:val="20"/>
          <w:szCs w:val="20"/>
          <w:lang w:val="en-US"/>
        </w:rPr>
        <w:t xml:space="preserve">Cell Phone Policy: </w:t>
      </w:r>
      <w:r w:rsidRPr="001E1040">
        <w:rPr>
          <w:rFonts w:ascii="Segoe UI" w:hAnsi="Segoe UI" w:cs="Segoe UI"/>
          <w:b/>
          <w:sz w:val="20"/>
          <w:szCs w:val="20"/>
          <w:lang w:val="en-US"/>
        </w:rPr>
        <w:tab/>
      </w:r>
      <w:r w:rsidRPr="001E1040">
        <w:rPr>
          <w:rFonts w:ascii="Segoe UI" w:hAnsi="Segoe UI" w:cs="Segoe UI"/>
          <w:sz w:val="20"/>
          <w:szCs w:val="20"/>
          <w:lang w:val="en-US"/>
        </w:rPr>
        <w:t>Cell phones should be silenced during class out of respect for classmates. If you need to take a call due to an emergency, please excuse yourse</w:t>
      </w:r>
      <w:r w:rsidR="00CD0193" w:rsidRPr="001E1040">
        <w:rPr>
          <w:rFonts w:ascii="Segoe UI" w:hAnsi="Segoe UI" w:cs="Segoe UI"/>
          <w:sz w:val="20"/>
          <w:szCs w:val="20"/>
          <w:lang w:val="en-US"/>
        </w:rPr>
        <w:t>lf from the class. Please do not</w:t>
      </w:r>
      <w:r w:rsidRPr="001E1040">
        <w:rPr>
          <w:rFonts w:ascii="Segoe UI" w:hAnsi="Segoe UI" w:cs="Segoe UI"/>
          <w:sz w:val="20"/>
          <w:szCs w:val="20"/>
          <w:lang w:val="en-US"/>
        </w:rPr>
        <w:t xml:space="preserve"> text either as it is disturbing to your fellow classmates.</w:t>
      </w:r>
    </w:p>
    <w:p w:rsidR="00287152" w:rsidRPr="001E1040" w:rsidRDefault="00287152" w:rsidP="004C2711">
      <w:pPr>
        <w:suppressAutoHyphens w:val="0"/>
        <w:spacing w:line="22" w:lineRule="atLeast"/>
        <w:rPr>
          <w:rFonts w:ascii="Segoe UI" w:hAnsi="Segoe UI" w:cs="Segoe UI"/>
          <w:b/>
          <w:sz w:val="20"/>
          <w:szCs w:val="20"/>
          <w:lang w:val="en-US"/>
        </w:rPr>
      </w:pPr>
    </w:p>
    <w:p w:rsidR="00894C71" w:rsidRPr="001E1040" w:rsidRDefault="00287152" w:rsidP="004C2711">
      <w:pPr>
        <w:suppressAutoHyphens w:val="0"/>
        <w:spacing w:line="22" w:lineRule="atLeast"/>
        <w:rPr>
          <w:rFonts w:ascii="Segoe UI" w:hAnsi="Segoe UI" w:cs="Segoe UI"/>
          <w:i/>
          <w:sz w:val="20"/>
          <w:szCs w:val="20"/>
          <w:lang w:val="en-US"/>
        </w:rPr>
      </w:pPr>
      <w:r w:rsidRPr="001E1040">
        <w:rPr>
          <w:rFonts w:ascii="Segoe UI" w:hAnsi="Segoe UI" w:cs="Segoe UI"/>
          <w:b/>
          <w:sz w:val="20"/>
          <w:szCs w:val="20"/>
          <w:lang w:val="en-US"/>
        </w:rPr>
        <w:t xml:space="preserve">Outcome: </w:t>
      </w:r>
      <w:r w:rsidRPr="001E1040">
        <w:rPr>
          <w:rFonts w:ascii="Segoe UI" w:hAnsi="Segoe UI" w:cs="Segoe UI"/>
          <w:b/>
          <w:sz w:val="20"/>
          <w:szCs w:val="20"/>
          <w:lang w:val="en-US"/>
        </w:rPr>
        <w:tab/>
      </w:r>
      <w:r w:rsidR="00894C71" w:rsidRPr="001E1040">
        <w:rPr>
          <w:rFonts w:ascii="Segoe UI" w:hAnsi="Segoe UI" w:cs="Segoe UI"/>
          <w:sz w:val="20"/>
          <w:szCs w:val="20"/>
          <w:lang w:val="en-US"/>
        </w:rPr>
        <w:t>Upon completion of this course, the student will be able to</w:t>
      </w:r>
      <w:r w:rsidR="007D1AA5" w:rsidRPr="001E1040">
        <w:rPr>
          <w:rFonts w:ascii="Segoe UI" w:hAnsi="Segoe UI" w:cs="Segoe UI"/>
          <w:sz w:val="20"/>
          <w:szCs w:val="20"/>
          <w:lang w:val="en-US"/>
        </w:rPr>
        <w:t xml:space="preserve"> </w:t>
      </w:r>
      <w:r w:rsidR="00382A23" w:rsidRPr="001E1040">
        <w:rPr>
          <w:rFonts w:ascii="Segoe UI" w:hAnsi="Segoe UI" w:cs="Segoe UI"/>
          <w:sz w:val="20"/>
          <w:szCs w:val="20"/>
          <w:lang w:val="en-US"/>
        </w:rPr>
        <w:t>comprehend</w:t>
      </w:r>
      <w:r w:rsidR="001708D0" w:rsidRPr="001E1040">
        <w:rPr>
          <w:rFonts w:ascii="Segoe UI" w:hAnsi="Segoe UI" w:cs="Segoe UI"/>
          <w:sz w:val="20"/>
          <w:szCs w:val="20"/>
          <w:lang w:val="en-US"/>
        </w:rPr>
        <w:t xml:space="preserve"> the</w:t>
      </w:r>
      <w:r w:rsidR="00C85479" w:rsidRPr="001E1040">
        <w:rPr>
          <w:rFonts w:ascii="Segoe UI" w:hAnsi="Segoe UI" w:cs="Segoe UI"/>
          <w:sz w:val="20"/>
          <w:szCs w:val="20"/>
          <w:lang w:val="en-US"/>
        </w:rPr>
        <w:t xml:space="preserve"> philosophy and</w:t>
      </w:r>
      <w:r w:rsidR="001708D0" w:rsidRPr="001E1040">
        <w:rPr>
          <w:rFonts w:ascii="Segoe UI" w:hAnsi="Segoe UI" w:cs="Segoe UI"/>
          <w:sz w:val="20"/>
          <w:szCs w:val="20"/>
          <w:lang w:val="en-US"/>
        </w:rPr>
        <w:t xml:space="preserve"> operation of investment regimes </w:t>
      </w:r>
      <w:r w:rsidR="007D1AA5" w:rsidRPr="001E1040">
        <w:rPr>
          <w:rFonts w:ascii="Segoe UI" w:hAnsi="Segoe UI" w:cs="Segoe UI"/>
          <w:sz w:val="20"/>
          <w:szCs w:val="20"/>
          <w:lang w:val="en-US"/>
        </w:rPr>
        <w:t xml:space="preserve">and </w:t>
      </w:r>
      <w:r w:rsidR="00382A23" w:rsidRPr="001E1040">
        <w:rPr>
          <w:rFonts w:ascii="Segoe UI" w:hAnsi="Segoe UI" w:cs="Segoe UI"/>
          <w:sz w:val="20"/>
          <w:szCs w:val="20"/>
          <w:lang w:val="en-US"/>
        </w:rPr>
        <w:t>capable of</w:t>
      </w:r>
      <w:r w:rsidR="007D1AA5" w:rsidRPr="001E1040">
        <w:rPr>
          <w:rFonts w:ascii="Segoe UI" w:hAnsi="Segoe UI" w:cs="Segoe UI"/>
          <w:sz w:val="20"/>
          <w:szCs w:val="20"/>
          <w:lang w:val="en-US"/>
        </w:rPr>
        <w:t xml:space="preserve"> understand how to build arguments before </w:t>
      </w:r>
      <w:r w:rsidR="00382A23" w:rsidRPr="001E1040">
        <w:rPr>
          <w:rFonts w:ascii="Segoe UI" w:hAnsi="Segoe UI" w:cs="Segoe UI"/>
          <w:sz w:val="20"/>
          <w:szCs w:val="20"/>
          <w:lang w:val="en-US"/>
        </w:rPr>
        <w:t>investment</w:t>
      </w:r>
      <w:r w:rsidR="007D1AA5" w:rsidRPr="001E1040">
        <w:rPr>
          <w:rFonts w:ascii="Segoe UI" w:hAnsi="Segoe UI" w:cs="Segoe UI"/>
          <w:sz w:val="20"/>
          <w:szCs w:val="20"/>
          <w:lang w:val="en-US"/>
        </w:rPr>
        <w:t xml:space="preserve"> courts as well as</w:t>
      </w:r>
      <w:r w:rsidR="00382A23" w:rsidRPr="001E1040">
        <w:rPr>
          <w:rFonts w:ascii="Segoe UI" w:hAnsi="Segoe UI" w:cs="Segoe UI"/>
          <w:sz w:val="20"/>
          <w:szCs w:val="20"/>
          <w:lang w:val="en-US"/>
        </w:rPr>
        <w:t xml:space="preserve"> how to</w:t>
      </w:r>
      <w:r w:rsidR="007D1AA5" w:rsidRPr="001E1040">
        <w:rPr>
          <w:rFonts w:ascii="Segoe UI" w:hAnsi="Segoe UI" w:cs="Segoe UI"/>
          <w:sz w:val="20"/>
          <w:szCs w:val="20"/>
          <w:lang w:val="en-US"/>
        </w:rPr>
        <w:t xml:space="preserve"> apply the </w:t>
      </w:r>
      <w:r w:rsidR="006201D9" w:rsidRPr="001E1040">
        <w:rPr>
          <w:rFonts w:ascii="Segoe UI" w:hAnsi="Segoe UI" w:cs="Segoe UI"/>
          <w:sz w:val="20"/>
          <w:szCs w:val="20"/>
          <w:lang w:val="en-US"/>
        </w:rPr>
        <w:t>pertinent</w:t>
      </w:r>
      <w:r w:rsidR="00382A23" w:rsidRPr="001E1040">
        <w:rPr>
          <w:rFonts w:ascii="Segoe UI" w:hAnsi="Segoe UI" w:cs="Segoe UI"/>
          <w:sz w:val="20"/>
          <w:szCs w:val="20"/>
          <w:lang w:val="en-US"/>
        </w:rPr>
        <w:t xml:space="preserve"> international legal</w:t>
      </w:r>
      <w:r w:rsidR="007D1AA5" w:rsidRPr="001E1040">
        <w:rPr>
          <w:rFonts w:ascii="Segoe UI" w:hAnsi="Segoe UI" w:cs="Segoe UI"/>
          <w:sz w:val="20"/>
          <w:szCs w:val="20"/>
          <w:lang w:val="en-US"/>
        </w:rPr>
        <w:t xml:space="preserve"> tools.</w:t>
      </w:r>
    </w:p>
    <w:p w:rsidR="00287152" w:rsidRPr="001E1040" w:rsidRDefault="00287152" w:rsidP="00894C71">
      <w:pPr>
        <w:suppressAutoHyphens w:val="0"/>
        <w:spacing w:line="240" w:lineRule="auto"/>
        <w:rPr>
          <w:rFonts w:ascii="Segoe UI" w:hAnsi="Segoe UI" w:cs="Segoe UI"/>
          <w:b/>
          <w:sz w:val="20"/>
          <w:szCs w:val="20"/>
          <w:lang w:val="en-US"/>
        </w:rPr>
      </w:pPr>
    </w:p>
    <w:p w:rsidR="0097372B" w:rsidRPr="001E1040" w:rsidRDefault="00240A26" w:rsidP="006531D0">
      <w:pPr>
        <w:suppressAutoHyphens w:val="0"/>
        <w:spacing w:line="22" w:lineRule="atLeast"/>
        <w:rPr>
          <w:rFonts w:ascii="Segoe UI" w:hAnsi="Segoe UI" w:cs="Segoe UI"/>
          <w:sz w:val="20"/>
          <w:szCs w:val="20"/>
          <w:lang w:val="en-US"/>
        </w:rPr>
      </w:pPr>
      <w:r w:rsidRPr="001E1040">
        <w:rPr>
          <w:rFonts w:ascii="Segoe UI" w:hAnsi="Segoe UI" w:cs="Segoe UI"/>
          <w:b/>
          <w:sz w:val="20"/>
          <w:szCs w:val="20"/>
          <w:lang w:val="en-US"/>
        </w:rPr>
        <w:t>Recommended</w:t>
      </w:r>
      <w:r w:rsidR="006531D0" w:rsidRPr="001E1040">
        <w:rPr>
          <w:rFonts w:ascii="Segoe UI" w:hAnsi="Segoe UI" w:cs="Segoe UI"/>
          <w:b/>
          <w:sz w:val="20"/>
          <w:szCs w:val="20"/>
          <w:lang w:val="en-US"/>
        </w:rPr>
        <w:t xml:space="preserve"> Bibliography</w:t>
      </w:r>
      <w:r w:rsidR="006531D0" w:rsidRPr="001E1040">
        <w:rPr>
          <w:rFonts w:ascii="Segoe UI" w:hAnsi="Segoe UI" w:cs="Segoe UI"/>
          <w:sz w:val="20"/>
          <w:szCs w:val="20"/>
          <w:lang w:val="en-US"/>
        </w:rPr>
        <w:t xml:space="preserve">: </w:t>
      </w:r>
    </w:p>
    <w:p w:rsidR="006531D0" w:rsidRPr="001E1040" w:rsidRDefault="0097372B" w:rsidP="007D6A32">
      <w:pPr>
        <w:suppressAutoHyphens w:val="0"/>
        <w:spacing w:line="240" w:lineRule="auto"/>
        <w:rPr>
          <w:rFonts w:ascii="Segoe UI" w:hAnsi="Segoe UI" w:cs="Segoe UI"/>
          <w:smallCaps/>
          <w:sz w:val="20"/>
          <w:szCs w:val="20"/>
        </w:rPr>
      </w:pPr>
      <w:r w:rsidRPr="001E1040">
        <w:rPr>
          <w:rFonts w:ascii="Segoe UI" w:hAnsi="Segoe UI" w:cs="Segoe UI"/>
          <w:sz w:val="20"/>
          <w:szCs w:val="20"/>
          <w:lang w:val="en-US"/>
        </w:rPr>
        <w:t xml:space="preserve">Andrew </w:t>
      </w:r>
      <w:proofErr w:type="spellStart"/>
      <w:r w:rsidRPr="001E1040">
        <w:rPr>
          <w:rFonts w:ascii="Segoe UI" w:hAnsi="Segoe UI" w:cs="Segoe UI"/>
          <w:smallCaps/>
          <w:sz w:val="20"/>
          <w:szCs w:val="20"/>
          <w:lang w:val="en-US"/>
        </w:rPr>
        <w:t>Newcombe</w:t>
      </w:r>
      <w:proofErr w:type="spellEnd"/>
      <w:r w:rsidRPr="001E1040">
        <w:rPr>
          <w:rFonts w:ascii="Segoe UI" w:hAnsi="Segoe UI" w:cs="Segoe UI"/>
          <w:smallCaps/>
          <w:sz w:val="20"/>
          <w:szCs w:val="20"/>
          <w:lang w:val="en-US"/>
        </w:rPr>
        <w:t xml:space="preserve"> </w:t>
      </w:r>
      <w:r w:rsidRPr="001E1040">
        <w:rPr>
          <w:rFonts w:ascii="Segoe UI" w:hAnsi="Segoe UI" w:cs="Segoe UI"/>
          <w:sz w:val="20"/>
          <w:szCs w:val="20"/>
          <w:lang w:val="en-US"/>
        </w:rPr>
        <w:t xml:space="preserve">and </w:t>
      </w:r>
      <w:proofErr w:type="spellStart"/>
      <w:r w:rsidRPr="001E1040">
        <w:rPr>
          <w:rFonts w:ascii="Segoe UI" w:hAnsi="Segoe UI" w:cs="Segoe UI"/>
          <w:sz w:val="20"/>
          <w:szCs w:val="20"/>
          <w:lang w:val="en-US"/>
        </w:rPr>
        <w:t>Lluis</w:t>
      </w:r>
      <w:proofErr w:type="spellEnd"/>
      <w:r w:rsidRPr="001E1040">
        <w:rPr>
          <w:rFonts w:ascii="Segoe UI" w:hAnsi="Segoe UI" w:cs="Segoe UI"/>
          <w:smallCaps/>
          <w:sz w:val="20"/>
          <w:szCs w:val="20"/>
          <w:lang w:val="en-US"/>
        </w:rPr>
        <w:t xml:space="preserve"> </w:t>
      </w:r>
      <w:proofErr w:type="spellStart"/>
      <w:r w:rsidRPr="001E1040">
        <w:rPr>
          <w:rFonts w:ascii="Segoe UI" w:hAnsi="Segoe UI" w:cs="Segoe UI"/>
          <w:smallCaps/>
          <w:sz w:val="20"/>
          <w:szCs w:val="20"/>
          <w:lang w:val="en-US"/>
        </w:rPr>
        <w:t>Paradell</w:t>
      </w:r>
      <w:proofErr w:type="spellEnd"/>
      <w:r w:rsidRPr="001E1040">
        <w:rPr>
          <w:rFonts w:ascii="Segoe UI" w:hAnsi="Segoe UI" w:cs="Segoe UI"/>
          <w:smallCaps/>
          <w:sz w:val="20"/>
          <w:szCs w:val="20"/>
          <w:lang w:val="en-US"/>
        </w:rPr>
        <w:t>:</w:t>
      </w:r>
      <w:r w:rsidRPr="001E1040">
        <w:rPr>
          <w:rFonts w:ascii="Segoe UI" w:hAnsi="Segoe UI" w:cs="Segoe UI"/>
          <w:sz w:val="20"/>
          <w:szCs w:val="20"/>
          <w:lang w:val="en-US"/>
        </w:rPr>
        <w:t xml:space="preserve"> Law and Practice of Investment Treaties </w:t>
      </w:r>
      <w:r w:rsidRPr="001E1040">
        <w:rPr>
          <w:rFonts w:ascii="Segoe UI" w:hAnsi="Segoe UI" w:cs="Segoe UI"/>
          <w:smallCaps/>
          <w:sz w:val="20"/>
          <w:szCs w:val="20"/>
        </w:rPr>
        <w:t>(</w:t>
      </w:r>
      <w:proofErr w:type="spellStart"/>
      <w:r w:rsidRPr="001E1040">
        <w:rPr>
          <w:rFonts w:ascii="Segoe UI" w:hAnsi="Segoe UI" w:cs="Segoe UI"/>
          <w:smallCaps/>
          <w:sz w:val="20"/>
          <w:szCs w:val="20"/>
        </w:rPr>
        <w:t>Wolters</w:t>
      </w:r>
      <w:proofErr w:type="spellEnd"/>
      <w:r w:rsidRPr="001E1040">
        <w:rPr>
          <w:rFonts w:ascii="Segoe UI" w:hAnsi="Segoe UI" w:cs="Segoe UI"/>
          <w:smallCaps/>
          <w:sz w:val="20"/>
          <w:szCs w:val="20"/>
        </w:rPr>
        <w:t xml:space="preserve"> </w:t>
      </w:r>
      <w:proofErr w:type="spellStart"/>
      <w:r w:rsidRPr="001E1040">
        <w:rPr>
          <w:rFonts w:ascii="Segoe UI" w:hAnsi="Segoe UI" w:cs="Segoe UI"/>
          <w:smallCaps/>
          <w:sz w:val="20"/>
          <w:szCs w:val="20"/>
        </w:rPr>
        <w:t>Kluwer</w:t>
      </w:r>
      <w:proofErr w:type="spellEnd"/>
      <w:r w:rsidRPr="001E1040">
        <w:rPr>
          <w:rFonts w:ascii="Segoe UI" w:hAnsi="Segoe UI" w:cs="Segoe UI"/>
          <w:smallCaps/>
          <w:sz w:val="20"/>
          <w:szCs w:val="20"/>
        </w:rPr>
        <w:t xml:space="preserve"> 2009</w:t>
      </w:r>
      <w:r w:rsidR="006531D0" w:rsidRPr="001E1040">
        <w:rPr>
          <w:rFonts w:ascii="Segoe UI" w:hAnsi="Segoe UI" w:cs="Segoe UI"/>
          <w:smallCaps/>
          <w:sz w:val="20"/>
          <w:szCs w:val="20"/>
        </w:rPr>
        <w:t>)</w:t>
      </w:r>
      <w:r w:rsidRPr="001E1040">
        <w:rPr>
          <w:rFonts w:ascii="Segoe UI" w:hAnsi="Segoe UI" w:cs="Segoe UI"/>
          <w:smallCaps/>
          <w:sz w:val="20"/>
          <w:szCs w:val="20"/>
        </w:rPr>
        <w:t xml:space="preserve"> &amp;</w:t>
      </w:r>
    </w:p>
    <w:p w:rsidR="006531D0" w:rsidRPr="001E1040" w:rsidRDefault="0097372B" w:rsidP="007D6A32">
      <w:pPr>
        <w:suppressAutoHyphens w:val="0"/>
        <w:spacing w:line="240" w:lineRule="auto"/>
        <w:rPr>
          <w:rFonts w:ascii="Segoe UI" w:hAnsi="Segoe UI" w:cs="Segoe UI"/>
          <w:b/>
          <w:sz w:val="20"/>
          <w:szCs w:val="20"/>
        </w:rPr>
      </w:pPr>
      <w:r w:rsidRPr="001E1040">
        <w:rPr>
          <w:rFonts w:ascii="Segoe UI" w:hAnsi="Segoe UI" w:cs="Segoe UI"/>
          <w:smallCaps/>
          <w:sz w:val="20"/>
          <w:szCs w:val="20"/>
        </w:rPr>
        <w:t xml:space="preserve">M. </w:t>
      </w:r>
      <w:proofErr w:type="spellStart"/>
      <w:r w:rsidRPr="001E1040">
        <w:rPr>
          <w:rFonts w:ascii="Segoe UI" w:hAnsi="Segoe UI" w:cs="Segoe UI"/>
          <w:smallCaps/>
          <w:sz w:val="20"/>
          <w:szCs w:val="20"/>
        </w:rPr>
        <w:t>Sornarajah</w:t>
      </w:r>
      <w:proofErr w:type="spellEnd"/>
      <w:r w:rsidRPr="001E1040">
        <w:rPr>
          <w:rFonts w:ascii="Segoe UI" w:hAnsi="Segoe UI" w:cs="Segoe UI"/>
          <w:smallCaps/>
          <w:sz w:val="20"/>
          <w:szCs w:val="20"/>
        </w:rPr>
        <w:t xml:space="preserve">: </w:t>
      </w:r>
      <w:r w:rsidRPr="001E1040">
        <w:rPr>
          <w:rFonts w:ascii="Segoe UI" w:hAnsi="Segoe UI" w:cs="Segoe UI"/>
          <w:sz w:val="20"/>
          <w:szCs w:val="20"/>
        </w:rPr>
        <w:t xml:space="preserve">The International Law </w:t>
      </w:r>
      <w:proofErr w:type="spellStart"/>
      <w:r w:rsidRPr="001E1040">
        <w:rPr>
          <w:rFonts w:ascii="Segoe UI" w:hAnsi="Segoe UI" w:cs="Segoe UI"/>
          <w:sz w:val="20"/>
          <w:szCs w:val="20"/>
        </w:rPr>
        <w:t>on</w:t>
      </w:r>
      <w:proofErr w:type="spellEnd"/>
      <w:r w:rsidRPr="001E104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E1040">
        <w:rPr>
          <w:rFonts w:ascii="Segoe UI" w:hAnsi="Segoe UI" w:cs="Segoe UI"/>
          <w:sz w:val="20"/>
          <w:szCs w:val="20"/>
        </w:rPr>
        <w:t>Foreign</w:t>
      </w:r>
      <w:proofErr w:type="spellEnd"/>
      <w:r w:rsidRPr="001E104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1E1040">
        <w:rPr>
          <w:rFonts w:ascii="Segoe UI" w:hAnsi="Segoe UI" w:cs="Segoe UI"/>
          <w:sz w:val="20"/>
          <w:szCs w:val="20"/>
        </w:rPr>
        <w:t>Investment</w:t>
      </w:r>
      <w:proofErr w:type="spellEnd"/>
      <w:r w:rsidRPr="001E1040">
        <w:rPr>
          <w:rFonts w:ascii="Segoe UI" w:hAnsi="Segoe UI" w:cs="Segoe UI"/>
          <w:sz w:val="20"/>
          <w:szCs w:val="20"/>
        </w:rPr>
        <w:t xml:space="preserve"> (</w:t>
      </w:r>
      <w:r w:rsidR="00C6263B" w:rsidRPr="001E1040">
        <w:rPr>
          <w:rFonts w:ascii="Segoe UI" w:hAnsi="Segoe UI" w:cs="Segoe UI"/>
          <w:sz w:val="20"/>
          <w:szCs w:val="20"/>
        </w:rPr>
        <w:t xml:space="preserve">Cambridge </w:t>
      </w:r>
      <w:proofErr w:type="spellStart"/>
      <w:r w:rsidR="00C6263B" w:rsidRPr="001E1040">
        <w:rPr>
          <w:rFonts w:ascii="Segoe UI" w:hAnsi="Segoe UI" w:cs="Segoe UI"/>
          <w:sz w:val="20"/>
          <w:szCs w:val="20"/>
        </w:rPr>
        <w:t>Univeristy</w:t>
      </w:r>
      <w:proofErr w:type="spellEnd"/>
      <w:r w:rsidR="00C6263B" w:rsidRPr="001E1040">
        <w:rPr>
          <w:rFonts w:ascii="Segoe UI" w:hAnsi="Segoe UI" w:cs="Segoe UI"/>
          <w:sz w:val="20"/>
          <w:szCs w:val="20"/>
        </w:rPr>
        <w:t xml:space="preserve"> Press 2010</w:t>
      </w:r>
      <w:r w:rsidRPr="001E1040">
        <w:rPr>
          <w:rFonts w:ascii="Segoe UI" w:hAnsi="Segoe UI" w:cs="Segoe UI"/>
          <w:sz w:val="20"/>
          <w:szCs w:val="20"/>
        </w:rPr>
        <w:t>)</w:t>
      </w:r>
    </w:p>
    <w:p w:rsidR="007D6A32" w:rsidRDefault="007D6A32" w:rsidP="006D78F7">
      <w:pPr>
        <w:pStyle w:val="Szvegtrzsbehzssal"/>
        <w:ind w:left="0"/>
        <w:jc w:val="center"/>
        <w:rPr>
          <w:rFonts w:ascii="Segoe UI" w:hAnsi="Segoe UI" w:cs="Segoe UI"/>
          <w:b/>
          <w:sz w:val="20"/>
          <w:lang w:val="en-US"/>
        </w:rPr>
      </w:pPr>
    </w:p>
    <w:p w:rsidR="00514B94" w:rsidRPr="003C0A83" w:rsidRDefault="00F00D85" w:rsidP="006D78F7">
      <w:pPr>
        <w:pStyle w:val="Szvegtrzsbehzssal"/>
        <w:ind w:left="0"/>
        <w:jc w:val="center"/>
        <w:rPr>
          <w:rFonts w:ascii="Segoe UI" w:hAnsi="Segoe UI" w:cs="Segoe UI"/>
          <w:b/>
          <w:sz w:val="20"/>
          <w:lang w:val="en-US"/>
        </w:rPr>
      </w:pPr>
      <w:r w:rsidRPr="003C0A83">
        <w:rPr>
          <w:rFonts w:ascii="Segoe UI" w:hAnsi="Segoe UI" w:cs="Segoe UI"/>
          <w:b/>
          <w:sz w:val="20"/>
          <w:lang w:val="en-US"/>
        </w:rPr>
        <w:lastRenderedPageBreak/>
        <w:t>Tentative Course Schedule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379"/>
        <w:gridCol w:w="1847"/>
      </w:tblGrid>
      <w:tr w:rsidR="00F00D85" w:rsidRPr="003C0A83" w:rsidTr="00B24584">
        <w:tc>
          <w:tcPr>
            <w:tcW w:w="1242" w:type="dxa"/>
          </w:tcPr>
          <w:p w:rsidR="00F00D85" w:rsidRPr="003C0A83" w:rsidRDefault="00F00D85" w:rsidP="004E730D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6379" w:type="dxa"/>
          </w:tcPr>
          <w:p w:rsidR="00F00D85" w:rsidRPr="003C0A83" w:rsidRDefault="00F00D85" w:rsidP="004E730D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Topic</w:t>
            </w:r>
          </w:p>
        </w:tc>
        <w:tc>
          <w:tcPr>
            <w:tcW w:w="1847" w:type="dxa"/>
          </w:tcPr>
          <w:p w:rsidR="00F00D85" w:rsidRPr="003C0A83" w:rsidRDefault="00F00D85" w:rsidP="004E730D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Assignment</w:t>
            </w:r>
          </w:p>
        </w:tc>
      </w:tr>
      <w:tr w:rsidR="0043452C" w:rsidRPr="003C0A83" w:rsidTr="00B24584">
        <w:tc>
          <w:tcPr>
            <w:tcW w:w="1242" w:type="dxa"/>
          </w:tcPr>
          <w:p w:rsidR="0043452C" w:rsidRPr="003C0A83" w:rsidRDefault="00F31A10" w:rsidP="00514B9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Sept. 23</w:t>
            </w:r>
            <w:r w:rsidR="00F43144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</w:tcPr>
          <w:p w:rsidR="0043452C" w:rsidRPr="003C0A83" w:rsidRDefault="00287152" w:rsidP="003F1FDC">
            <w:pPr>
              <w:spacing w:line="264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Introductory class, the</w:t>
            </w:r>
            <w:r w:rsidR="00861D1C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buildup</w:t>
            </w:r>
            <w:r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of the material, structure and requirements of the c</w:t>
            </w:r>
            <w:r w:rsidR="00B0689C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ourse</w:t>
            </w:r>
            <w:r w:rsidR="00063A09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47" w:type="dxa"/>
          </w:tcPr>
          <w:p w:rsidR="0043452C" w:rsidRPr="003C0A83" w:rsidRDefault="0043452C" w:rsidP="00514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52C" w:rsidRPr="003C0A83" w:rsidTr="00B24584">
        <w:tc>
          <w:tcPr>
            <w:tcW w:w="1242" w:type="dxa"/>
          </w:tcPr>
          <w:p w:rsidR="0043452C" w:rsidRPr="003C0A83" w:rsidRDefault="00F43144" w:rsidP="00514B9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Sept.</w:t>
            </w:r>
            <w:r w:rsidR="006531D0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F31A10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30</w:t>
            </w: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</w:tcPr>
          <w:p w:rsidR="00367AE8" w:rsidRPr="003C0A83" w:rsidRDefault="00063A09" w:rsidP="00367AE8">
            <w:pPr>
              <w:spacing w:line="264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The</w:t>
            </w:r>
            <w:r w:rsidR="00367AE8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international legal foundation</w:t>
            </w:r>
            <w:r w:rsidR="00B05A66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,</w:t>
            </w:r>
            <w:r w:rsidR="00F10D80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the</w:t>
            </w:r>
            <w:r w:rsidR="00DE305C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basic </w:t>
            </w:r>
            <w:r w:rsidR="00F10D80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legal </w:t>
            </w:r>
            <w:r w:rsidR="00DE305C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concepts</w:t>
            </w:r>
            <w:r w:rsidR="00B05A66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and economic theories</w:t>
            </w:r>
            <w:r w:rsidR="00367AE8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of</w:t>
            </w:r>
            <w:r w:rsidR="00DE305C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foreign</w:t>
            </w:r>
            <w:r w:rsidR="00367AE8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 xml:space="preserve"> investment</w:t>
            </w:r>
            <w:r w:rsidR="00DE305C" w:rsidRPr="003C0A83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s</w:t>
            </w:r>
          </w:p>
          <w:p w:rsidR="00DE305C" w:rsidRPr="003C0A83" w:rsidRDefault="00DE305C" w:rsidP="00367AE8">
            <w:pPr>
              <w:spacing w:line="264" w:lineRule="auto"/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[</w:t>
            </w:r>
            <w:r w:rsidR="009D2FC0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This class</w:t>
            </w:r>
            <w:r w:rsidR="0051074E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introduce</w:t>
            </w:r>
            <w:r w:rsidR="00A7144C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s</w:t>
            </w:r>
            <w:r w:rsidR="0051074E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students to</w:t>
            </w:r>
            <w:r w:rsidR="00FA2EB7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the</w:t>
            </w:r>
            <w:r w:rsidR="0051074E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basic </w:t>
            </w:r>
            <w:r w:rsidR="00A7144C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international </w:t>
            </w:r>
            <w:r w:rsidR="0051074E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legal </w:t>
            </w:r>
            <w:r w:rsidR="00A7144C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framework of foreign investment. In doing so the class </w:t>
            </w:r>
            <w:r w:rsidR="004A5885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outlines</w:t>
            </w:r>
            <w:r w:rsidR="00A7144C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the sources of international law </w:t>
            </w:r>
            <w:r w:rsidR="00BC6077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and their relationships with international business activities. </w:t>
            </w:r>
            <w:r w:rsidR="0059426E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Beyond the formal legal sources</w:t>
            </w:r>
            <w:r w:rsidR="00CB1E4A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</w:t>
            </w:r>
            <w:r w:rsidR="0059426E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the class </w:t>
            </w:r>
            <w:r w:rsidR="00CB1E4A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also </w:t>
            </w:r>
            <w:r w:rsidR="0059426E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tou</w:t>
            </w:r>
            <w:r w:rsidR="000145EB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ches upon 'soft law' material related to</w:t>
            </w:r>
            <w:r w:rsidR="0059426E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transnational corporations. </w:t>
            </w:r>
            <w:r w:rsidR="00072B20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Finally students gain an insight in</w:t>
            </w:r>
            <w:r w:rsidR="002E40E4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to</w:t>
            </w:r>
            <w:r w:rsidR="00072B20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the </w:t>
            </w:r>
            <w:r w:rsidR="002E40E4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economic contexts as well as the</w:t>
            </w:r>
            <w:r w:rsidR="000145EB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other</w:t>
            </w:r>
            <w:r w:rsidR="002E40E4"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 xml:space="preserve"> shaping factors of foreign investment</w:t>
            </w:r>
            <w:r w:rsidRPr="003C0A83">
              <w:rPr>
                <w:rFonts w:ascii="Segoe UI" w:hAnsi="Segoe UI" w:cs="Segoe UI"/>
                <w:bCs/>
                <w:sz w:val="20"/>
                <w:szCs w:val="20"/>
                <w:lang w:val="en-US"/>
              </w:rPr>
              <w:t>].</w:t>
            </w:r>
          </w:p>
        </w:tc>
        <w:tc>
          <w:tcPr>
            <w:tcW w:w="1847" w:type="dxa"/>
          </w:tcPr>
          <w:p w:rsidR="0043452C" w:rsidRPr="003C0A83" w:rsidRDefault="0043452C" w:rsidP="00514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52C" w:rsidRPr="003C0A83" w:rsidTr="00B24584">
        <w:tc>
          <w:tcPr>
            <w:tcW w:w="1242" w:type="dxa"/>
          </w:tcPr>
          <w:p w:rsidR="0043452C" w:rsidRPr="003C0A83" w:rsidRDefault="00F31A10" w:rsidP="00514B94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Oct. 7</w:t>
            </w:r>
            <w:r w:rsidR="00063A0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</w:tcPr>
          <w:p w:rsidR="00DE305C" w:rsidRPr="003C0A83" w:rsidRDefault="00DE305C" w:rsidP="00063A09">
            <w:pPr>
              <w:spacing w:line="264" w:lineRule="auto"/>
              <w:rPr>
                <w:rFonts w:ascii="Segoe UI" w:hAnsi="Segoe UI" w:cs="Segoe UI"/>
                <w:b/>
                <w:iCs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iCs/>
                <w:sz w:val="20"/>
                <w:szCs w:val="20"/>
                <w:lang w:val="en-US"/>
              </w:rPr>
              <w:t>The historic</w:t>
            </w:r>
            <w:r w:rsidR="00F10D80" w:rsidRPr="003C0A83">
              <w:rPr>
                <w:rFonts w:ascii="Segoe UI" w:hAnsi="Segoe UI" w:cs="Segoe UI"/>
                <w:b/>
                <w:iCs/>
                <w:sz w:val="20"/>
                <w:szCs w:val="20"/>
                <w:lang w:val="en-US"/>
              </w:rPr>
              <w:t>al path</w:t>
            </w:r>
            <w:r w:rsidR="003609AB" w:rsidRPr="003C0A83">
              <w:rPr>
                <w:rFonts w:ascii="Segoe UI" w:hAnsi="Segoe UI" w:cs="Segoe UI"/>
                <w:b/>
                <w:iCs/>
                <w:sz w:val="20"/>
                <w:szCs w:val="20"/>
                <w:lang w:val="en-US"/>
              </w:rPr>
              <w:t xml:space="preserve"> and development</w:t>
            </w:r>
            <w:r w:rsidR="00F10D80" w:rsidRPr="003C0A83">
              <w:rPr>
                <w:rFonts w:ascii="Segoe UI" w:hAnsi="Segoe UI" w:cs="Segoe UI"/>
                <w:b/>
                <w:iCs/>
                <w:sz w:val="20"/>
                <w:szCs w:val="20"/>
                <w:lang w:val="en-US"/>
              </w:rPr>
              <w:t xml:space="preserve"> of</w:t>
            </w:r>
            <w:r w:rsidR="003609AB" w:rsidRPr="003C0A83">
              <w:rPr>
                <w:rFonts w:ascii="Segoe UI" w:hAnsi="Segoe UI" w:cs="Segoe UI"/>
                <w:b/>
                <w:iCs/>
                <w:sz w:val="20"/>
                <w:szCs w:val="20"/>
                <w:lang w:val="en-US"/>
              </w:rPr>
              <w:t xml:space="preserve"> international investment regulation</w:t>
            </w:r>
          </w:p>
          <w:p w:rsidR="0043452C" w:rsidRPr="003C0A83" w:rsidRDefault="00063A09" w:rsidP="003C05BC">
            <w:pPr>
              <w:spacing w:line="264" w:lineRule="auto"/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>[</w:t>
            </w:r>
            <w:r w:rsidR="00C62DF3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>This</w:t>
            </w:r>
            <w:r w:rsidR="006B5B89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 xml:space="preserve"> cl</w:t>
            </w:r>
            <w:r w:rsidR="00C62DF3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 xml:space="preserve">ass looks back in time and gives an overview on the different historical phases of </w:t>
            </w:r>
            <w:r w:rsidR="00F54478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 xml:space="preserve">the protection of </w:t>
            </w:r>
            <w:r w:rsidR="003C05BC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 xml:space="preserve">foreign </w:t>
            </w:r>
            <w:r w:rsidR="00F54478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>investment</w:t>
            </w:r>
            <w:r w:rsidR="0049085A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>. Starting with the questions of diplomatic protection and the</w:t>
            </w:r>
            <w:r w:rsidR="000145EB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 xml:space="preserve"> standard of treatment for</w:t>
            </w:r>
            <w:r w:rsidR="00487289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 xml:space="preserve"> aliens </w:t>
            </w:r>
            <w:r w:rsidR="003C05BC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>this class explores the main characteristics of</w:t>
            </w:r>
            <w:r w:rsidR="00FD3A42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 xml:space="preserve"> each phase </w:t>
            </w:r>
            <w:r w:rsidR="00CF4E88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 xml:space="preserve">by </w:t>
            </w:r>
            <w:r w:rsidR="002775A2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 xml:space="preserve">referring to the </w:t>
            </w:r>
            <w:r w:rsidR="00CF4E88"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>then prevailing economic and world order</w:t>
            </w:r>
            <w:r w:rsidRPr="003C0A83">
              <w:rPr>
                <w:rFonts w:ascii="Segoe UI" w:hAnsi="Segoe UI" w:cs="Segoe UI"/>
                <w:iCs/>
                <w:sz w:val="20"/>
                <w:szCs w:val="20"/>
                <w:lang w:val="en-US"/>
              </w:rPr>
              <w:t>].</w:t>
            </w:r>
          </w:p>
        </w:tc>
        <w:tc>
          <w:tcPr>
            <w:tcW w:w="1847" w:type="dxa"/>
          </w:tcPr>
          <w:p w:rsidR="0043452C" w:rsidRPr="003C0A83" w:rsidRDefault="0043452C" w:rsidP="00514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52C" w:rsidRPr="003C0A83" w:rsidTr="00B24584">
        <w:tc>
          <w:tcPr>
            <w:tcW w:w="1242" w:type="dxa"/>
          </w:tcPr>
          <w:p w:rsidR="0043452C" w:rsidRPr="003C0A83" w:rsidRDefault="00F31A10" w:rsidP="00514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Oct. 14</w:t>
            </w:r>
            <w:r w:rsidR="00063A09"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</w:tcPr>
          <w:p w:rsidR="00063A09" w:rsidRPr="003C0A83" w:rsidRDefault="006A29EE" w:rsidP="00063A09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The standard of protection</w:t>
            </w:r>
            <w:r w:rsidR="00510205"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in investment law</w:t>
            </w: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I: direct and indirect expropriations</w:t>
            </w:r>
          </w:p>
          <w:p w:rsidR="0043452C" w:rsidRPr="003C0A83" w:rsidRDefault="00063A09" w:rsidP="00940399">
            <w:pPr>
              <w:spacing w:line="264" w:lineRule="auto"/>
              <w:rPr>
                <w:rFonts w:ascii="Segoe UI" w:hAnsi="Segoe UI" w:cs="Segoe UI"/>
                <w:iCs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[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The class covers the concept and dilemmas</w:t>
            </w:r>
            <w:r w:rsidR="00964B0C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of</w:t>
            </w:r>
            <w:r w:rsidR="00510205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623A5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expropriation in 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customary </w:t>
            </w:r>
            <w:r w:rsidR="00623A5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internati</w:t>
            </w:r>
            <w:r w:rsidR="00720F6C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onal law and its different </w:t>
            </w:r>
            <w:r w:rsidR="0094039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types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and standards</w:t>
            </w:r>
            <w:r w:rsidR="0094039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in </w:t>
            </w:r>
            <w:r w:rsidR="00A8414A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the </w:t>
            </w:r>
            <w:r w:rsidR="0094039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current </w:t>
            </w:r>
            <w:r w:rsidR="00CA7DA1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international </w:t>
            </w:r>
            <w:r w:rsidR="0094039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investment regimes</w:t>
            </w:r>
            <w:r w:rsidR="00720F6C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  <w:r w:rsidR="00831F44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087DCA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Through actual cases the</w:t>
            </w:r>
            <w:r w:rsidR="008F17C7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class </w:t>
            </w:r>
            <w:r w:rsidR="00087DCA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illustrates </w:t>
            </w:r>
            <w:r w:rsidR="00A8414A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the scope of expropriation under investment law</w:t>
            </w:r>
            <w:r w:rsidR="00BB5CF6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. The class also discuss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es</w:t>
            </w:r>
            <w:r w:rsidR="00BB5CF6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 conditions fo</w:t>
            </w:r>
            <w:r w:rsidR="00473FE8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r expropriations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, the valuation</w:t>
            </w:r>
            <w:r w:rsidR="00473FE8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as well as the various questions of compensation</w:t>
            </w: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].</w:t>
            </w:r>
          </w:p>
        </w:tc>
        <w:tc>
          <w:tcPr>
            <w:tcW w:w="1847" w:type="dxa"/>
          </w:tcPr>
          <w:p w:rsidR="0043452C" w:rsidRPr="003C0A83" w:rsidRDefault="00063A09" w:rsidP="00514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 #1</w:t>
            </w:r>
            <w:r w:rsidR="00B1786B"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23A5B"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 #2</w:t>
            </w:r>
          </w:p>
        </w:tc>
      </w:tr>
      <w:tr w:rsidR="00563D5D" w:rsidRPr="003C0A83" w:rsidTr="00B24584">
        <w:tc>
          <w:tcPr>
            <w:tcW w:w="1242" w:type="dxa"/>
          </w:tcPr>
          <w:p w:rsidR="00563D5D" w:rsidRPr="003C0A83" w:rsidRDefault="00F31A10" w:rsidP="00514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Oct. 21</w:t>
            </w:r>
            <w:r w:rsidR="00063A09"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6379" w:type="dxa"/>
          </w:tcPr>
          <w:p w:rsidR="00063A09" w:rsidRPr="003C0A83" w:rsidRDefault="006A29EE" w:rsidP="008619A8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The standard of protection</w:t>
            </w:r>
            <w:r w:rsidR="00510205"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in investment law</w:t>
            </w: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II: </w:t>
            </w:r>
            <w:r w:rsidR="008619A8"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fair and equitable standard, national treatment and </w:t>
            </w:r>
            <w:r w:rsidR="00212BC0"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the </w:t>
            </w:r>
            <w:r w:rsidR="008619A8"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most-favored nation treatment</w:t>
            </w:r>
          </w:p>
          <w:p w:rsidR="00563D5D" w:rsidRPr="003C0A83" w:rsidRDefault="00063A09" w:rsidP="000145EB">
            <w:pPr>
              <w:spacing w:line="240" w:lineRule="auto"/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[</w:t>
            </w:r>
            <w:r w:rsidR="000C1A93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This class covers</w:t>
            </w:r>
            <w:r w:rsidR="00212BC0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 different aspects of the requirement of the fair and equitable </w:t>
            </w:r>
            <w:r w:rsidR="003C6FC4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treatment. Through actual 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investment disputes</w:t>
            </w:r>
            <w:r w:rsidR="003C6FC4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 concept of legitimate expectation, the denial of justice and due process </w:t>
            </w:r>
            <w:r w:rsidR="006A294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irregularity </w:t>
            </w:r>
            <w:r w:rsidR="003C6FC4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are</w:t>
            </w:r>
            <w:r w:rsidR="006A294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among the aspects which are being</w:t>
            </w:r>
            <w:r w:rsidR="003C6FC4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illustrated</w:t>
            </w:r>
            <w:r w:rsidR="006A294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. The class also gives an outline of the origin and content of the</w:t>
            </w:r>
            <w:r w:rsidR="00430670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non-discrimination principles, namely the</w:t>
            </w:r>
            <w:r w:rsidR="006A294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national as well as th</w:t>
            </w:r>
            <w:r w:rsidR="00430670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e most-favored nation treatment</w:t>
            </w: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].</w:t>
            </w:r>
          </w:p>
        </w:tc>
        <w:tc>
          <w:tcPr>
            <w:tcW w:w="1847" w:type="dxa"/>
          </w:tcPr>
          <w:p w:rsidR="00563D5D" w:rsidRPr="003C0A83" w:rsidRDefault="00063A09" w:rsidP="00FF7D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Cases #</w:t>
            </w:r>
            <w:r w:rsidR="00623A5B"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&amp; #4</w:t>
            </w:r>
          </w:p>
        </w:tc>
      </w:tr>
      <w:tr w:rsidR="008619A8" w:rsidRPr="003C0A83" w:rsidTr="00B24584">
        <w:trPr>
          <w:trHeight w:val="385"/>
        </w:trPr>
        <w:tc>
          <w:tcPr>
            <w:tcW w:w="1242" w:type="dxa"/>
          </w:tcPr>
          <w:p w:rsidR="008619A8" w:rsidRPr="003C0A83" w:rsidRDefault="008619A8" w:rsidP="00514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Oct. 28.</w:t>
            </w:r>
          </w:p>
        </w:tc>
        <w:tc>
          <w:tcPr>
            <w:tcW w:w="6379" w:type="dxa"/>
          </w:tcPr>
          <w:p w:rsidR="008619A8" w:rsidRPr="003C0A83" w:rsidRDefault="008619A8" w:rsidP="00771BCD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The regime of dispute settlement: Investor - State Dispute Settlement (ISDS)</w:t>
            </w:r>
            <w:r w:rsidR="00082581"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- an alternative </w:t>
            </w:r>
          </w:p>
          <w:p w:rsidR="008619A8" w:rsidRPr="003C0A83" w:rsidRDefault="008619A8" w:rsidP="00056692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[</w:t>
            </w:r>
            <w:r w:rsidR="0070051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This class explores t</w:t>
            </w:r>
            <w:r w:rsidR="007F093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he historical roots and current roles of</w:t>
            </w:r>
            <w:r w:rsidR="00596D6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7F093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treaty-based investment arbitration</w:t>
            </w:r>
            <w:r w:rsidR="0070051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s</w:t>
            </w:r>
            <w:r w:rsidR="00596D6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  <w:r w:rsidR="0070051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 basic rules </w:t>
            </w:r>
            <w:r w:rsidR="00F16C2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and characteristics </w:t>
            </w:r>
            <w:r w:rsidR="0070051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of their operations are also discussed. The ICSID (1965) and</w:t>
            </w:r>
            <w:r w:rsidR="00642078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 subsequent ICC and</w:t>
            </w:r>
            <w:r w:rsidR="0070051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UNCITRAL regimes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are to be outlined</w:t>
            </w:r>
            <w:r w:rsidR="0070051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 class also ad</w:t>
            </w:r>
            <w:r w:rsidR="00785927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dress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es</w:t>
            </w:r>
            <w:r w:rsidR="00785927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 questions whether </w:t>
            </w:r>
            <w:r w:rsidR="00F16C2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ISDS regimes signify a</w:t>
            </w:r>
            <w:r w:rsidR="00F04EC4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n</w:t>
            </w:r>
            <w:r w:rsidR="007F093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alternative </w:t>
            </w:r>
            <w:r w:rsidR="00C80420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way </w:t>
            </w:r>
            <w:r w:rsidR="007F093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for diplomatic protection?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If so,</w:t>
            </w:r>
            <w:r w:rsidR="007F093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w</w:t>
            </w:r>
            <w:r w:rsidR="00785927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hat are the </w:t>
            </w:r>
            <w:r w:rsidR="00785927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lastRenderedPageBreak/>
              <w:t>shortcomings</w:t>
            </w:r>
            <w:r w:rsidR="00056692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of the ISDS system and</w:t>
            </w:r>
            <w:r w:rsidR="00785927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what reform tools</w:t>
            </w:r>
            <w:r w:rsidR="00056692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might be necessary to overcome</w:t>
            </w:r>
            <w:r w:rsidR="00785927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these shortcomings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?</w:t>
            </w: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].</w:t>
            </w:r>
          </w:p>
        </w:tc>
        <w:tc>
          <w:tcPr>
            <w:tcW w:w="1847" w:type="dxa"/>
          </w:tcPr>
          <w:p w:rsidR="008619A8" w:rsidRPr="003C0A83" w:rsidRDefault="00623A5B" w:rsidP="00C878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Case #5</w:t>
            </w:r>
            <w:r w:rsidR="005E0805"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 </w:t>
            </w:r>
            <w:r w:rsidR="005E0805" w:rsidRPr="003C0A83">
              <w:rPr>
                <w:rFonts w:ascii="Times New Roman" w:hAnsi="Times New Roman" w:cs="Times New Roman"/>
                <w:sz w:val="20"/>
                <w:szCs w:val="20"/>
              </w:rPr>
              <w:t>#6</w:t>
            </w:r>
          </w:p>
        </w:tc>
      </w:tr>
      <w:tr w:rsidR="008619A8" w:rsidRPr="003C0A83" w:rsidTr="00B24584">
        <w:tc>
          <w:tcPr>
            <w:tcW w:w="1242" w:type="dxa"/>
          </w:tcPr>
          <w:p w:rsidR="008619A8" w:rsidRPr="003C0A83" w:rsidRDefault="008619A8" w:rsidP="00514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Nov. 4.</w:t>
            </w:r>
          </w:p>
        </w:tc>
        <w:tc>
          <w:tcPr>
            <w:tcW w:w="6379" w:type="dxa"/>
          </w:tcPr>
          <w:p w:rsidR="008619A8" w:rsidRPr="003C0A83" w:rsidRDefault="008619A8" w:rsidP="006531D0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No class - fall recess</w:t>
            </w:r>
          </w:p>
        </w:tc>
        <w:tc>
          <w:tcPr>
            <w:tcW w:w="1847" w:type="dxa"/>
          </w:tcPr>
          <w:p w:rsidR="008619A8" w:rsidRPr="003C0A83" w:rsidRDefault="008619A8" w:rsidP="00514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9A8" w:rsidRPr="003C0A83" w:rsidTr="00B24584">
        <w:tc>
          <w:tcPr>
            <w:tcW w:w="1242" w:type="dxa"/>
          </w:tcPr>
          <w:p w:rsidR="008619A8" w:rsidRPr="003C0A83" w:rsidRDefault="008619A8" w:rsidP="00514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Nov. 11.</w:t>
            </w:r>
          </w:p>
        </w:tc>
        <w:tc>
          <w:tcPr>
            <w:tcW w:w="6379" w:type="dxa"/>
          </w:tcPr>
          <w:p w:rsidR="008619A8" w:rsidRPr="003C0A83" w:rsidRDefault="008619A8" w:rsidP="00B43D1B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1847" w:type="dxa"/>
          </w:tcPr>
          <w:p w:rsidR="008619A8" w:rsidRPr="003C0A83" w:rsidRDefault="008619A8" w:rsidP="00B51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19A8" w:rsidRPr="003C0A83" w:rsidTr="00B24584">
        <w:tc>
          <w:tcPr>
            <w:tcW w:w="1242" w:type="dxa"/>
          </w:tcPr>
          <w:p w:rsidR="008619A8" w:rsidRPr="003C0A83" w:rsidRDefault="008619A8" w:rsidP="00514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Nov. 25.</w:t>
            </w:r>
          </w:p>
        </w:tc>
        <w:tc>
          <w:tcPr>
            <w:tcW w:w="6379" w:type="dxa"/>
          </w:tcPr>
          <w:p w:rsidR="008619A8" w:rsidRPr="003C0A83" w:rsidRDefault="008619A8" w:rsidP="00554A01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Modern Challenges I: Investment Law &amp; Human Rights. Is investment law part of or constrained by human rights?</w:t>
            </w:r>
          </w:p>
          <w:p w:rsidR="008619A8" w:rsidRPr="003C0A83" w:rsidRDefault="008619A8" w:rsidP="003C4905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[</w:t>
            </w:r>
            <w:r w:rsidR="00297647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In a certain sense, the investment treatie</w:t>
            </w:r>
            <w:r w:rsidR="0045284A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s protect human rights, namely the property rights of foreign investors</w:t>
            </w:r>
            <w:r w:rsidR="00297647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.</w:t>
            </w:r>
            <w:r w:rsidR="0045284A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9D44AE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However, human righ</w:t>
            </w:r>
            <w:r w:rsidR="0074696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ts considerations also embody </w:t>
            </w:r>
            <w:r w:rsidR="005019DD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various</w:t>
            </w:r>
            <w:r w:rsidR="003C4905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constrain</w:t>
            </w:r>
            <w:r w:rsidR="005019DD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s</w:t>
            </w:r>
            <w:r w:rsidR="003C4905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of investment standards. </w:t>
            </w:r>
            <w:r w:rsidR="005019DD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Private property is usually subject to public interests. This is the public interests that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the various requirements of</w:t>
            </w:r>
            <w:r w:rsidR="005019DD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human rights law </w:t>
            </w:r>
            <w:r w:rsidR="002420A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represents. Through assessing investment disputes this</w:t>
            </w:r>
            <w:r w:rsidR="005019DD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class endeavors to explore </w:t>
            </w:r>
            <w:r w:rsidR="002420A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the growing complexity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of the relations between</w:t>
            </w:r>
            <w:r w:rsidR="002420A9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human rights and investment law.</w:t>
            </w:r>
            <w:r w:rsidR="005019DD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</w:t>
            </w:r>
            <w:r w:rsidR="00BB6794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ICSID </w:t>
            </w:r>
            <w:proofErr w:type="spellStart"/>
            <w:r w:rsidR="00814A43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Biwater</w:t>
            </w:r>
            <w:proofErr w:type="spellEnd"/>
            <w:r w:rsidR="00814A43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4A43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Gauff</w:t>
            </w:r>
            <w:proofErr w:type="spellEnd"/>
            <w:r w:rsidR="00814A43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 xml:space="preserve"> v. Tanzania</w:t>
            </w:r>
            <w:r w:rsidR="00814A43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ARB/05/22., </w:t>
            </w:r>
            <w:r w:rsidR="00951FEC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ICSID </w:t>
            </w:r>
            <w:proofErr w:type="spellStart"/>
            <w:r w:rsidR="00951FEC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Compania</w:t>
            </w:r>
            <w:proofErr w:type="spellEnd"/>
            <w:r w:rsidR="00951FEC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951FEC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Aguas</w:t>
            </w:r>
            <w:proofErr w:type="spellEnd"/>
            <w:r w:rsidR="00951FEC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 xml:space="preserve"> v. Argentina</w:t>
            </w:r>
            <w:r w:rsidR="00951FEC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ARB 97/3.; ICSID </w:t>
            </w:r>
            <w:proofErr w:type="spellStart"/>
            <w:r w:rsidR="00951FEC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Azurix</w:t>
            </w:r>
            <w:proofErr w:type="spellEnd"/>
            <w:r w:rsidR="00951FEC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 xml:space="preserve"> v. Argentina</w:t>
            </w:r>
            <w:r w:rsidR="00951FEC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ARB/01/12., ICSID </w:t>
            </w:r>
            <w:r w:rsidR="00951FEC" w:rsidRPr="003C0A83">
              <w:rPr>
                <w:rFonts w:ascii="Segoe UI" w:hAnsi="Segoe UI" w:cs="Segoe UI"/>
                <w:i/>
                <w:sz w:val="20"/>
                <w:szCs w:val="20"/>
                <w:lang w:val="en-US"/>
              </w:rPr>
              <w:t>Suez v. Argentina</w:t>
            </w:r>
            <w:r w:rsidR="00951FEC"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 xml:space="preserve"> ARB/03/17.</w:t>
            </w:r>
            <w:r w:rsidRPr="003C0A83">
              <w:rPr>
                <w:rFonts w:ascii="Segoe UI" w:hAnsi="Segoe UI" w:cs="Segoe UI"/>
                <w:sz w:val="20"/>
                <w:szCs w:val="20"/>
                <w:lang w:val="en-US"/>
              </w:rPr>
              <w:t>].</w:t>
            </w:r>
          </w:p>
        </w:tc>
        <w:tc>
          <w:tcPr>
            <w:tcW w:w="1847" w:type="dxa"/>
          </w:tcPr>
          <w:p w:rsidR="008619A8" w:rsidRPr="003C0A83" w:rsidRDefault="005E0805" w:rsidP="005E08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0A83">
              <w:rPr>
                <w:rFonts w:ascii="Times New Roman" w:hAnsi="Times New Roman" w:cs="Times New Roman"/>
                <w:sz w:val="20"/>
                <w:szCs w:val="20"/>
              </w:rPr>
              <w:t>Case</w:t>
            </w:r>
            <w:proofErr w:type="spellEnd"/>
            <w:r w:rsidRPr="003C0A83">
              <w:rPr>
                <w:rFonts w:ascii="Times New Roman" w:hAnsi="Times New Roman" w:cs="Times New Roman"/>
                <w:sz w:val="20"/>
                <w:szCs w:val="20"/>
              </w:rPr>
              <w:t xml:space="preserve"> #</w:t>
            </w:r>
            <w:r w:rsidR="008619A8" w:rsidRPr="003C0A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619A8" w:rsidRPr="003C0A83" w:rsidTr="00B24584">
        <w:tc>
          <w:tcPr>
            <w:tcW w:w="1242" w:type="dxa"/>
          </w:tcPr>
          <w:p w:rsidR="008619A8" w:rsidRPr="003C0A83" w:rsidRDefault="008619A8" w:rsidP="00514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Dec. 2.</w:t>
            </w:r>
          </w:p>
        </w:tc>
        <w:tc>
          <w:tcPr>
            <w:tcW w:w="6379" w:type="dxa"/>
          </w:tcPr>
          <w:p w:rsidR="008619A8" w:rsidRPr="003C0A83" w:rsidRDefault="008619A8" w:rsidP="00554A0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Modern Challenges II: Investment Law &amp; Environment</w:t>
            </w:r>
          </w:p>
          <w:p w:rsidR="008619A8" w:rsidRPr="003C0A83" w:rsidRDefault="008619A8" w:rsidP="00982AED">
            <w:pPr>
              <w:rPr>
                <w:rFonts w:ascii="Segoe UI" w:hAnsi="Segoe UI" w:cs="Segoe UI"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[</w:t>
            </w:r>
            <w:r w:rsidR="00F17D4D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One of the most dynamically developing area of international law is the environmental regulation. </w:t>
            </w:r>
            <w:r w:rsidR="0026724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widespread and increasingly </w:t>
            </w:r>
            <w:r w:rsidR="009857F0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tightening</w:t>
            </w:r>
            <w:r w:rsidR="00650DF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requirements</w:t>
            </w:r>
            <w:r w:rsidR="0026724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9857F0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of international environmental law </w:t>
            </w:r>
            <w:r w:rsidR="00650DF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has a standard setting </w:t>
            </w:r>
            <w:r w:rsidR="00DD2C4D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characteristic </w:t>
            </w:r>
            <w:r w:rsidR="00DD2C4D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vis-a-vis</w:t>
            </w:r>
            <w:r w:rsidR="00DD2C4D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BA17AA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bo</w:t>
            </w:r>
            <w:r w:rsidR="000145E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th</w:t>
            </w:r>
            <w:r w:rsidR="00DD2C4D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bus</w:t>
            </w:r>
            <w:r w:rsidR="00BA17AA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iness life and</w:t>
            </w:r>
            <w:r w:rsidR="00DD2C4D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public policies. These requirements might interfere with the standard of investment law. </w:t>
            </w:r>
            <w:r w:rsidR="00FF3BA7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The class covers those investment disputes in which</w:t>
            </w:r>
            <w:r w:rsidR="00650DF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B85B67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the conflicting interests between investment and environmental areas of international law</w:t>
            </w:r>
            <w:r w:rsidR="00C12048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became visible. </w:t>
            </w:r>
            <w:r w:rsidR="00561924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 class also address the </w:t>
            </w:r>
            <w:r w:rsidR="00A50765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question</w:t>
            </w:r>
            <w:r w:rsidR="00C057E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of</w:t>
            </w:r>
            <w:r w:rsidR="00A50765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what conflict resolution tools the general international law offers</w:t>
            </w:r>
            <w:r w:rsidR="00236914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in these scenarios</w:t>
            </w:r>
            <w:r w:rsidR="00A50765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  <w:r w:rsidR="00561924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40228C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ICSID </w:t>
            </w:r>
            <w:r w:rsidR="0040228C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SPP v. Arab Republic of Egypt </w:t>
            </w:r>
            <w:r w:rsidR="0040228C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ARB/84/3.; </w:t>
            </w:r>
            <w:r w:rsidR="00AB3648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ICSID </w:t>
            </w:r>
            <w:proofErr w:type="spellStart"/>
            <w:r w:rsidR="00AB3648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Pa</w:t>
            </w:r>
            <w:r w:rsidR="00EF3490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rkerings</w:t>
            </w:r>
            <w:proofErr w:type="spellEnd"/>
            <w:r w:rsidR="00EF3490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v</w:t>
            </w:r>
            <w:r w:rsidR="00AB3648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. Lithuania </w:t>
            </w:r>
            <w:r w:rsidR="00AB3648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ARB/05/8.;</w:t>
            </w:r>
            <w:r w:rsidR="00C805A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NAFTA Arbitration under UNCITRAL Rules </w:t>
            </w:r>
            <w:r w:rsidR="00C805AB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S.D. Myers v. Canada</w:t>
            </w:r>
            <w:r w:rsidR="00C805A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;</w:t>
            </w:r>
            <w:r w:rsidR="00B24584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NAFTA Arbitration under UNCITRAL Rules</w:t>
            </w:r>
            <w:r w:rsidR="00982AED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82AED" w:rsidRPr="003C0A83">
              <w:rPr>
                <w:rFonts w:ascii="Segoe UI" w:hAnsi="Segoe UI" w:cs="Segoe UI"/>
                <w:i/>
                <w:sz w:val="20"/>
                <w:szCs w:val="20"/>
              </w:rPr>
              <w:t>Methanex</w:t>
            </w:r>
            <w:proofErr w:type="spellEnd"/>
            <w:r w:rsidR="00982AED" w:rsidRPr="003C0A83">
              <w:rPr>
                <w:rFonts w:ascii="Segoe UI" w:hAnsi="Segoe UI" w:cs="Segoe UI"/>
                <w:i/>
                <w:sz w:val="20"/>
                <w:szCs w:val="20"/>
              </w:rPr>
              <w:t xml:space="preserve"> v. United </w:t>
            </w:r>
            <w:proofErr w:type="spellStart"/>
            <w:r w:rsidR="00982AED" w:rsidRPr="003C0A83">
              <w:rPr>
                <w:rFonts w:ascii="Segoe UI" w:hAnsi="Segoe UI" w:cs="Segoe UI"/>
                <w:i/>
                <w:sz w:val="20"/>
                <w:szCs w:val="20"/>
              </w:rPr>
              <w:t>States</w:t>
            </w:r>
            <w:proofErr w:type="spellEnd"/>
            <w:r w:rsidR="00B24584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; ICSID </w:t>
            </w:r>
            <w:proofErr w:type="spellStart"/>
            <w:r w:rsidR="00B24584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Maffezini</w:t>
            </w:r>
            <w:proofErr w:type="spellEnd"/>
            <w:r w:rsidR="00B24584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v. Spain</w:t>
            </w:r>
            <w:r w:rsidR="00B24584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ARB/97/7.; ICSID </w:t>
            </w:r>
            <w:r w:rsidR="00B24584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Metalclad v. United States </w:t>
            </w:r>
            <w:r w:rsidR="00B24584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ARB/97/1.; ICSID </w:t>
            </w:r>
            <w:proofErr w:type="spellStart"/>
            <w:r w:rsidR="00D47373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Tecmed</w:t>
            </w:r>
            <w:proofErr w:type="spellEnd"/>
            <w:r w:rsidR="00D47373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v. Mexico</w:t>
            </w:r>
            <w:r w:rsidR="00B24584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</w:t>
            </w:r>
            <w:r w:rsidR="00B24584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ARB/00/2.</w:t>
            </w:r>
            <w:r w:rsidR="00C039F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].</w:t>
            </w:r>
          </w:p>
        </w:tc>
        <w:tc>
          <w:tcPr>
            <w:tcW w:w="1847" w:type="dxa"/>
          </w:tcPr>
          <w:p w:rsidR="008619A8" w:rsidRPr="003C0A83" w:rsidRDefault="008619A8" w:rsidP="00F97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3C0A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Case #8 &amp; 9</w:t>
            </w:r>
          </w:p>
        </w:tc>
      </w:tr>
      <w:tr w:rsidR="008619A8" w:rsidRPr="003C0A83" w:rsidTr="00B24584">
        <w:tc>
          <w:tcPr>
            <w:tcW w:w="1242" w:type="dxa"/>
          </w:tcPr>
          <w:p w:rsidR="008619A8" w:rsidRPr="003C0A83" w:rsidRDefault="008619A8" w:rsidP="0051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</w:rPr>
              <w:t>Dec. 9.</w:t>
            </w:r>
          </w:p>
        </w:tc>
        <w:tc>
          <w:tcPr>
            <w:tcW w:w="6379" w:type="dxa"/>
          </w:tcPr>
          <w:p w:rsidR="008619A8" w:rsidRPr="003C0A83" w:rsidRDefault="008619A8" w:rsidP="000A5041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Modern challenges III: Sovereign Debt Restructuring in the traps of investment law</w:t>
            </w:r>
            <w:r w:rsidR="00394A37" w:rsidRPr="003C0A83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?</w:t>
            </w:r>
          </w:p>
          <w:p w:rsidR="008619A8" w:rsidRPr="003C0A83" w:rsidRDefault="008619A8" w:rsidP="00D331D0">
            <w:pPr>
              <w:rPr>
                <w:rFonts w:ascii="Segoe UI" w:hAnsi="Segoe UI" w:cs="Segoe UI"/>
                <w:bCs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[</w:t>
            </w:r>
            <w:r w:rsidR="00CA0BD8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The last class raises a very actual dilemma: how modern states are able to restructure their sovereign debt</w:t>
            </w:r>
            <w:r w:rsidR="003A4218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s</w:t>
            </w:r>
            <w:r w:rsidR="007B093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if bonds are considered as investment</w:t>
            </w:r>
            <w:r w:rsidR="00CA0BD8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  <w:r w:rsidR="006C5FB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7B093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As the concept of welfare state gained</w:t>
            </w:r>
            <w:r w:rsidR="006C5FB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7B093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widespread acceptance </w:t>
            </w:r>
            <w:r w:rsidR="007F0D33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throughout the last </w:t>
            </w:r>
            <w:r w:rsidR="00E41D36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century the functions as well as the public debt of states began to grow rapidly</w:t>
            </w:r>
            <w:r w:rsidR="006C5FB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  <w:r w:rsidR="007F0D33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1534A1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As the example</w:t>
            </w:r>
            <w:r w:rsidR="002570BA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s</w:t>
            </w:r>
            <w:r w:rsidR="001534A1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of a lot countries</w:t>
            </w:r>
            <w:r w:rsidR="0080141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such as Argentina or Greece</w:t>
            </w:r>
            <w:r w:rsidR="001534A1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80141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recently </w:t>
            </w:r>
            <w:r w:rsidR="001534A1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show </w:t>
            </w:r>
            <w:r w:rsidR="0080141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there is a </w:t>
            </w:r>
            <w:r w:rsidR="007C7E3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definite </w:t>
            </w:r>
            <w:r w:rsidR="0080141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need for </w:t>
            </w:r>
            <w:r w:rsidR="003C4B4C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restructuring </w:t>
            </w:r>
            <w:r w:rsidR="002570BA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very high amount of public debt</w:t>
            </w:r>
            <w:r w:rsidR="0080141B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.</w:t>
            </w:r>
            <w:r w:rsidR="003C4B4C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1E167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In these scenarios can investment law offer protection for bondholders? </w:t>
            </w:r>
            <w:r w:rsidR="00D331D0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If so, i</w:t>
            </w:r>
            <w:r w:rsidR="001E167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s it </w:t>
            </w:r>
            <w:r w:rsidR="00D331D0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an adequate answer</w:t>
            </w:r>
            <w:r w:rsidR="001E167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?</w:t>
            </w:r>
            <w:r w:rsidR="00B108EA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The class discusses</w:t>
            </w:r>
            <w:r w:rsidR="001E167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these questions along with</w:t>
            </w:r>
            <w:r w:rsidR="00B108EA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the internation</w:t>
            </w:r>
            <w:r w:rsidR="001E167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al legal as well as the</w:t>
            </w:r>
            <w:r w:rsidR="00B108EA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economic</w:t>
            </w:r>
            <w:r w:rsidR="001E1672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policy</w:t>
            </w:r>
            <w:r w:rsidR="00B108EA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background of </w:t>
            </w:r>
            <w:r w:rsidR="00E02101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investment protection in the course of sovereign debt restructuring</w:t>
            </w:r>
            <w:r w:rsidR="00B108EA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. </w:t>
            </w:r>
            <w:r w:rsidR="006C5FB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lastRenderedPageBreak/>
              <w:t xml:space="preserve">ICSID </w:t>
            </w:r>
            <w:proofErr w:type="spellStart"/>
            <w:r w:rsidR="00C37D45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Abaclat</w:t>
            </w:r>
            <w:proofErr w:type="spellEnd"/>
            <w:r w:rsidR="00C37D45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and others</w:t>
            </w:r>
            <w:r w:rsidR="00C37D45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C37D45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v. Argentine Republic </w:t>
            </w:r>
            <w:r w:rsidR="00C37D45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ARB/07/05.</w:t>
            </w:r>
            <w:r w:rsidR="006C5FB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; </w:t>
            </w:r>
            <w:proofErr w:type="spellStart"/>
            <w:r w:rsidR="006C5FB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ECtHR</w:t>
            </w:r>
            <w:proofErr w:type="spellEnd"/>
            <w:r w:rsidR="006C5FB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C5FBF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>Mamatas</w:t>
            </w:r>
            <w:proofErr w:type="spellEnd"/>
            <w:r w:rsidR="006C5FBF" w:rsidRPr="003C0A83">
              <w:rPr>
                <w:rFonts w:ascii="Segoe UI" w:hAnsi="Segoe UI" w:cs="Segoe UI"/>
                <w:i/>
                <w:sz w:val="20"/>
                <w:szCs w:val="20"/>
                <w:lang w:val="en-GB"/>
              </w:rPr>
              <w:t xml:space="preserve"> and others v. Greece </w:t>
            </w:r>
            <w:r w:rsidR="006C5FB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(63066/14)</w:t>
            </w:r>
            <w:r w:rsidR="00D47373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,</w:t>
            </w:r>
            <w:r w:rsidR="006C5FBF"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21 July 2016.</w:t>
            </w:r>
            <w:r w:rsidRPr="003C0A83">
              <w:rPr>
                <w:rFonts w:ascii="Segoe UI" w:hAnsi="Segoe UI" w:cs="Segoe UI"/>
                <w:sz w:val="20"/>
                <w:szCs w:val="20"/>
                <w:lang w:val="en-GB"/>
              </w:rPr>
              <w:t>].</w:t>
            </w:r>
          </w:p>
        </w:tc>
        <w:tc>
          <w:tcPr>
            <w:tcW w:w="1847" w:type="dxa"/>
          </w:tcPr>
          <w:p w:rsidR="008619A8" w:rsidRPr="003C0A83" w:rsidRDefault="008619A8" w:rsidP="00E229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Case #10</w:t>
            </w:r>
            <w:r w:rsidR="0040228C"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&amp;</w:t>
            </w:r>
            <w:r w:rsidR="00FB3066"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# 11</w:t>
            </w:r>
          </w:p>
        </w:tc>
      </w:tr>
      <w:tr w:rsidR="008619A8" w:rsidRPr="003C0A83" w:rsidTr="00B24584">
        <w:tc>
          <w:tcPr>
            <w:tcW w:w="1242" w:type="dxa"/>
          </w:tcPr>
          <w:p w:rsidR="008619A8" w:rsidRPr="003C0A83" w:rsidRDefault="008619A8" w:rsidP="00514B9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0A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Dec. 16.</w:t>
            </w:r>
          </w:p>
        </w:tc>
        <w:tc>
          <w:tcPr>
            <w:tcW w:w="6379" w:type="dxa"/>
          </w:tcPr>
          <w:p w:rsidR="008619A8" w:rsidRPr="003C0A83" w:rsidRDefault="008619A8" w:rsidP="00D36069">
            <w:pPr>
              <w:rPr>
                <w:rFonts w:ascii="Segoe UI" w:hAnsi="Segoe UI" w:cs="Segoe UI"/>
                <w:iCs/>
                <w:sz w:val="20"/>
                <w:szCs w:val="20"/>
                <w:lang w:val="en-US"/>
              </w:rPr>
            </w:pPr>
            <w:r w:rsidRPr="003C0A83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1847" w:type="dxa"/>
          </w:tcPr>
          <w:p w:rsidR="008619A8" w:rsidRPr="003C0A83" w:rsidRDefault="008619A8" w:rsidP="00080B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B4FCF" w:rsidRPr="003C0A83" w:rsidRDefault="005B4FCF" w:rsidP="00442B42">
      <w:pPr>
        <w:rPr>
          <w:rFonts w:ascii="Times New Roman" w:hAnsi="Times New Roman"/>
          <w:sz w:val="20"/>
          <w:szCs w:val="20"/>
        </w:rPr>
      </w:pPr>
    </w:p>
    <w:sectPr w:rsidR="005B4FCF" w:rsidRPr="003C0A83" w:rsidSect="00815C4A">
      <w:pgSz w:w="11905" w:h="16837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MS Mincho"/>
    <w:charset w:val="8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ACF49E3"/>
    <w:multiLevelType w:val="singleLevel"/>
    <w:tmpl w:val="5C78C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34"/>
    <w:rsid w:val="00005C69"/>
    <w:rsid w:val="0001081B"/>
    <w:rsid w:val="00012FEC"/>
    <w:rsid w:val="0001379C"/>
    <w:rsid w:val="000145EB"/>
    <w:rsid w:val="0002337E"/>
    <w:rsid w:val="000337E9"/>
    <w:rsid w:val="000401DF"/>
    <w:rsid w:val="000466D9"/>
    <w:rsid w:val="00050B25"/>
    <w:rsid w:val="00056692"/>
    <w:rsid w:val="00063A09"/>
    <w:rsid w:val="00072B20"/>
    <w:rsid w:val="00082581"/>
    <w:rsid w:val="00084BE1"/>
    <w:rsid w:val="00087DCA"/>
    <w:rsid w:val="00092D5E"/>
    <w:rsid w:val="000979DD"/>
    <w:rsid w:val="000A54D6"/>
    <w:rsid w:val="000C1765"/>
    <w:rsid w:val="000C1A93"/>
    <w:rsid w:val="000C7FBA"/>
    <w:rsid w:val="000E2776"/>
    <w:rsid w:val="000E3BEE"/>
    <w:rsid w:val="000F0109"/>
    <w:rsid w:val="000F37D9"/>
    <w:rsid w:val="00107B83"/>
    <w:rsid w:val="00112E2F"/>
    <w:rsid w:val="00120A62"/>
    <w:rsid w:val="001257D6"/>
    <w:rsid w:val="00127173"/>
    <w:rsid w:val="00140311"/>
    <w:rsid w:val="00145035"/>
    <w:rsid w:val="001534A1"/>
    <w:rsid w:val="001708D0"/>
    <w:rsid w:val="00173D2F"/>
    <w:rsid w:val="00174235"/>
    <w:rsid w:val="00174821"/>
    <w:rsid w:val="00183BBE"/>
    <w:rsid w:val="00196735"/>
    <w:rsid w:val="001A43C3"/>
    <w:rsid w:val="001A70CB"/>
    <w:rsid w:val="001B0634"/>
    <w:rsid w:val="001B17E4"/>
    <w:rsid w:val="001C0F6E"/>
    <w:rsid w:val="001C7715"/>
    <w:rsid w:val="001D740C"/>
    <w:rsid w:val="001E076A"/>
    <w:rsid w:val="001E1040"/>
    <w:rsid w:val="001E1672"/>
    <w:rsid w:val="001F279F"/>
    <w:rsid w:val="00203D33"/>
    <w:rsid w:val="00212BC0"/>
    <w:rsid w:val="002308BD"/>
    <w:rsid w:val="00236914"/>
    <w:rsid w:val="00237ED1"/>
    <w:rsid w:val="00240A26"/>
    <w:rsid w:val="002420A9"/>
    <w:rsid w:val="00247E58"/>
    <w:rsid w:val="00252416"/>
    <w:rsid w:val="002564EE"/>
    <w:rsid w:val="002570BA"/>
    <w:rsid w:val="00267242"/>
    <w:rsid w:val="00270563"/>
    <w:rsid w:val="002775A2"/>
    <w:rsid w:val="00285239"/>
    <w:rsid w:val="00287152"/>
    <w:rsid w:val="00297647"/>
    <w:rsid w:val="002B05B5"/>
    <w:rsid w:val="002B17CB"/>
    <w:rsid w:val="002B5491"/>
    <w:rsid w:val="002B5867"/>
    <w:rsid w:val="002C48E4"/>
    <w:rsid w:val="002C60F6"/>
    <w:rsid w:val="002C627F"/>
    <w:rsid w:val="002D3519"/>
    <w:rsid w:val="002E40E4"/>
    <w:rsid w:val="002E6FEC"/>
    <w:rsid w:val="002F038A"/>
    <w:rsid w:val="002F77DF"/>
    <w:rsid w:val="0030344A"/>
    <w:rsid w:val="00304A9B"/>
    <w:rsid w:val="00311B24"/>
    <w:rsid w:val="003175D6"/>
    <w:rsid w:val="0033699F"/>
    <w:rsid w:val="00347C2F"/>
    <w:rsid w:val="0035192B"/>
    <w:rsid w:val="003540B7"/>
    <w:rsid w:val="00357A03"/>
    <w:rsid w:val="003609AB"/>
    <w:rsid w:val="0036734D"/>
    <w:rsid w:val="00367AE8"/>
    <w:rsid w:val="00373968"/>
    <w:rsid w:val="00376865"/>
    <w:rsid w:val="00382A23"/>
    <w:rsid w:val="003848EE"/>
    <w:rsid w:val="00394A37"/>
    <w:rsid w:val="003965F6"/>
    <w:rsid w:val="003A33EA"/>
    <w:rsid w:val="003A4218"/>
    <w:rsid w:val="003C05BC"/>
    <w:rsid w:val="003C0A83"/>
    <w:rsid w:val="003C2B83"/>
    <w:rsid w:val="003C2DAB"/>
    <w:rsid w:val="003C38F9"/>
    <w:rsid w:val="003C4905"/>
    <w:rsid w:val="003C4B4C"/>
    <w:rsid w:val="003C5A82"/>
    <w:rsid w:val="003C6FC4"/>
    <w:rsid w:val="003D1D93"/>
    <w:rsid w:val="003E27F6"/>
    <w:rsid w:val="003E5CF3"/>
    <w:rsid w:val="003E67CB"/>
    <w:rsid w:val="003F1FDC"/>
    <w:rsid w:val="00401E1A"/>
    <w:rsid w:val="0040228C"/>
    <w:rsid w:val="00412B2F"/>
    <w:rsid w:val="00413FBB"/>
    <w:rsid w:val="0042065D"/>
    <w:rsid w:val="004233ED"/>
    <w:rsid w:val="00423BD7"/>
    <w:rsid w:val="00430670"/>
    <w:rsid w:val="0043452C"/>
    <w:rsid w:val="0044117C"/>
    <w:rsid w:val="00442B42"/>
    <w:rsid w:val="00443A05"/>
    <w:rsid w:val="00451EA6"/>
    <w:rsid w:val="0045284A"/>
    <w:rsid w:val="00455723"/>
    <w:rsid w:val="00457055"/>
    <w:rsid w:val="004604C9"/>
    <w:rsid w:val="004657A4"/>
    <w:rsid w:val="00473FE8"/>
    <w:rsid w:val="0047598A"/>
    <w:rsid w:val="00480567"/>
    <w:rsid w:val="00487289"/>
    <w:rsid w:val="0049085A"/>
    <w:rsid w:val="00493709"/>
    <w:rsid w:val="004A2D51"/>
    <w:rsid w:val="004A5885"/>
    <w:rsid w:val="004C2711"/>
    <w:rsid w:val="004C2F30"/>
    <w:rsid w:val="004C5FEA"/>
    <w:rsid w:val="004D158E"/>
    <w:rsid w:val="004D7D70"/>
    <w:rsid w:val="004E730D"/>
    <w:rsid w:val="004F60AD"/>
    <w:rsid w:val="004F71CF"/>
    <w:rsid w:val="005019DD"/>
    <w:rsid w:val="00506401"/>
    <w:rsid w:val="00510205"/>
    <w:rsid w:val="0051074E"/>
    <w:rsid w:val="00512BFE"/>
    <w:rsid w:val="00512D2E"/>
    <w:rsid w:val="00513ADD"/>
    <w:rsid w:val="00514B94"/>
    <w:rsid w:val="00526E2D"/>
    <w:rsid w:val="00527958"/>
    <w:rsid w:val="00537A35"/>
    <w:rsid w:val="005404AA"/>
    <w:rsid w:val="0054090E"/>
    <w:rsid w:val="00543D2E"/>
    <w:rsid w:val="00544B0B"/>
    <w:rsid w:val="00554A01"/>
    <w:rsid w:val="005559B3"/>
    <w:rsid w:val="005570E5"/>
    <w:rsid w:val="00561924"/>
    <w:rsid w:val="00563D5D"/>
    <w:rsid w:val="00572591"/>
    <w:rsid w:val="00582DC9"/>
    <w:rsid w:val="005850DC"/>
    <w:rsid w:val="00592050"/>
    <w:rsid w:val="0059426E"/>
    <w:rsid w:val="00594E5B"/>
    <w:rsid w:val="00596D69"/>
    <w:rsid w:val="005972EF"/>
    <w:rsid w:val="005A4279"/>
    <w:rsid w:val="005B1D1E"/>
    <w:rsid w:val="005B4FCF"/>
    <w:rsid w:val="005C3662"/>
    <w:rsid w:val="005D29AA"/>
    <w:rsid w:val="005D7EF4"/>
    <w:rsid w:val="005E0805"/>
    <w:rsid w:val="005E5D08"/>
    <w:rsid w:val="005F0FBD"/>
    <w:rsid w:val="005F2F19"/>
    <w:rsid w:val="005F32D5"/>
    <w:rsid w:val="00607C12"/>
    <w:rsid w:val="00611F22"/>
    <w:rsid w:val="006201D9"/>
    <w:rsid w:val="00623972"/>
    <w:rsid w:val="00623A5B"/>
    <w:rsid w:val="006273E0"/>
    <w:rsid w:val="00632DA2"/>
    <w:rsid w:val="0063310C"/>
    <w:rsid w:val="00642078"/>
    <w:rsid w:val="0064708E"/>
    <w:rsid w:val="00650DF2"/>
    <w:rsid w:val="006531D0"/>
    <w:rsid w:val="00654914"/>
    <w:rsid w:val="00666B78"/>
    <w:rsid w:val="00672707"/>
    <w:rsid w:val="00695F6E"/>
    <w:rsid w:val="006A0F4A"/>
    <w:rsid w:val="006A294B"/>
    <w:rsid w:val="006A29EE"/>
    <w:rsid w:val="006A7E12"/>
    <w:rsid w:val="006B5B89"/>
    <w:rsid w:val="006B7BD6"/>
    <w:rsid w:val="006C39B8"/>
    <w:rsid w:val="006C5FBF"/>
    <w:rsid w:val="006D004D"/>
    <w:rsid w:val="006D78F7"/>
    <w:rsid w:val="006E1C53"/>
    <w:rsid w:val="006E1DD1"/>
    <w:rsid w:val="006E2C98"/>
    <w:rsid w:val="006E528A"/>
    <w:rsid w:val="0070051E"/>
    <w:rsid w:val="007018AC"/>
    <w:rsid w:val="00702D49"/>
    <w:rsid w:val="00706FCA"/>
    <w:rsid w:val="00720F6C"/>
    <w:rsid w:val="00725161"/>
    <w:rsid w:val="00725307"/>
    <w:rsid w:val="00726313"/>
    <w:rsid w:val="00727E0F"/>
    <w:rsid w:val="00742076"/>
    <w:rsid w:val="00744082"/>
    <w:rsid w:val="00745FB1"/>
    <w:rsid w:val="00746969"/>
    <w:rsid w:val="0076149C"/>
    <w:rsid w:val="00771BCD"/>
    <w:rsid w:val="00773578"/>
    <w:rsid w:val="0078162F"/>
    <w:rsid w:val="00785927"/>
    <w:rsid w:val="007928EE"/>
    <w:rsid w:val="007A5AAC"/>
    <w:rsid w:val="007B093B"/>
    <w:rsid w:val="007C1271"/>
    <w:rsid w:val="007C438D"/>
    <w:rsid w:val="007C6369"/>
    <w:rsid w:val="007C7E3B"/>
    <w:rsid w:val="007D1AA5"/>
    <w:rsid w:val="007D4510"/>
    <w:rsid w:val="007D6A32"/>
    <w:rsid w:val="007D75A0"/>
    <w:rsid w:val="007E108C"/>
    <w:rsid w:val="007F077A"/>
    <w:rsid w:val="007F093E"/>
    <w:rsid w:val="007F0D33"/>
    <w:rsid w:val="007F4818"/>
    <w:rsid w:val="007F7057"/>
    <w:rsid w:val="0080141B"/>
    <w:rsid w:val="008015AC"/>
    <w:rsid w:val="00814A43"/>
    <w:rsid w:val="00815C4A"/>
    <w:rsid w:val="00826364"/>
    <w:rsid w:val="00827D33"/>
    <w:rsid w:val="00831F44"/>
    <w:rsid w:val="00834657"/>
    <w:rsid w:val="00840E7E"/>
    <w:rsid w:val="00844E9E"/>
    <w:rsid w:val="008536F3"/>
    <w:rsid w:val="00853FD4"/>
    <w:rsid w:val="008551E0"/>
    <w:rsid w:val="008619A8"/>
    <w:rsid w:val="00861D1C"/>
    <w:rsid w:val="008631D5"/>
    <w:rsid w:val="00863A38"/>
    <w:rsid w:val="00864816"/>
    <w:rsid w:val="008658D3"/>
    <w:rsid w:val="0087130E"/>
    <w:rsid w:val="00873430"/>
    <w:rsid w:val="00885181"/>
    <w:rsid w:val="00886F92"/>
    <w:rsid w:val="00887847"/>
    <w:rsid w:val="00894C71"/>
    <w:rsid w:val="008A25CD"/>
    <w:rsid w:val="008D7B9C"/>
    <w:rsid w:val="008F17C7"/>
    <w:rsid w:val="009029D9"/>
    <w:rsid w:val="009039DC"/>
    <w:rsid w:val="00904007"/>
    <w:rsid w:val="009047EA"/>
    <w:rsid w:val="00910926"/>
    <w:rsid w:val="0091096E"/>
    <w:rsid w:val="00914ECE"/>
    <w:rsid w:val="009258CC"/>
    <w:rsid w:val="00925A61"/>
    <w:rsid w:val="0093763F"/>
    <w:rsid w:val="00937E9A"/>
    <w:rsid w:val="00940399"/>
    <w:rsid w:val="00951217"/>
    <w:rsid w:val="00951FEC"/>
    <w:rsid w:val="00964B0C"/>
    <w:rsid w:val="00970EB1"/>
    <w:rsid w:val="0097372B"/>
    <w:rsid w:val="00976BDE"/>
    <w:rsid w:val="00976E8B"/>
    <w:rsid w:val="00982AED"/>
    <w:rsid w:val="00982C44"/>
    <w:rsid w:val="009857F0"/>
    <w:rsid w:val="00986553"/>
    <w:rsid w:val="009C2199"/>
    <w:rsid w:val="009D2FC0"/>
    <w:rsid w:val="009D44AE"/>
    <w:rsid w:val="009D5CE9"/>
    <w:rsid w:val="009D7938"/>
    <w:rsid w:val="009D7D8D"/>
    <w:rsid w:val="009E2D06"/>
    <w:rsid w:val="009F3CB3"/>
    <w:rsid w:val="00A341FA"/>
    <w:rsid w:val="00A34DB9"/>
    <w:rsid w:val="00A3785D"/>
    <w:rsid w:val="00A40E07"/>
    <w:rsid w:val="00A44FDE"/>
    <w:rsid w:val="00A50765"/>
    <w:rsid w:val="00A61F1B"/>
    <w:rsid w:val="00A64268"/>
    <w:rsid w:val="00A7144C"/>
    <w:rsid w:val="00A766FC"/>
    <w:rsid w:val="00A83149"/>
    <w:rsid w:val="00A8414A"/>
    <w:rsid w:val="00AB0738"/>
    <w:rsid w:val="00AB0BB1"/>
    <w:rsid w:val="00AB3648"/>
    <w:rsid w:val="00AC53C1"/>
    <w:rsid w:val="00AE6376"/>
    <w:rsid w:val="00AE69F4"/>
    <w:rsid w:val="00AF7F74"/>
    <w:rsid w:val="00B05A66"/>
    <w:rsid w:val="00B0600E"/>
    <w:rsid w:val="00B0689C"/>
    <w:rsid w:val="00B079A1"/>
    <w:rsid w:val="00B108EA"/>
    <w:rsid w:val="00B1786B"/>
    <w:rsid w:val="00B22D4C"/>
    <w:rsid w:val="00B24584"/>
    <w:rsid w:val="00B24D1D"/>
    <w:rsid w:val="00B3204F"/>
    <w:rsid w:val="00B36132"/>
    <w:rsid w:val="00B47022"/>
    <w:rsid w:val="00B70089"/>
    <w:rsid w:val="00B72E71"/>
    <w:rsid w:val="00B74072"/>
    <w:rsid w:val="00B77472"/>
    <w:rsid w:val="00B80A61"/>
    <w:rsid w:val="00B81DAD"/>
    <w:rsid w:val="00B85B67"/>
    <w:rsid w:val="00BA17AA"/>
    <w:rsid w:val="00BA602B"/>
    <w:rsid w:val="00BA7A82"/>
    <w:rsid w:val="00BB091C"/>
    <w:rsid w:val="00BB1EF1"/>
    <w:rsid w:val="00BB387B"/>
    <w:rsid w:val="00BB50EA"/>
    <w:rsid w:val="00BB5CF6"/>
    <w:rsid w:val="00BB5DF3"/>
    <w:rsid w:val="00BB6794"/>
    <w:rsid w:val="00BC6077"/>
    <w:rsid w:val="00BD0EDC"/>
    <w:rsid w:val="00BE1E6F"/>
    <w:rsid w:val="00BE75CA"/>
    <w:rsid w:val="00C039FF"/>
    <w:rsid w:val="00C057EF"/>
    <w:rsid w:val="00C05BF1"/>
    <w:rsid w:val="00C12048"/>
    <w:rsid w:val="00C176EF"/>
    <w:rsid w:val="00C20A24"/>
    <w:rsid w:val="00C230E2"/>
    <w:rsid w:val="00C36995"/>
    <w:rsid w:val="00C37D45"/>
    <w:rsid w:val="00C60834"/>
    <w:rsid w:val="00C6263B"/>
    <w:rsid w:val="00C62DF3"/>
    <w:rsid w:val="00C71762"/>
    <w:rsid w:val="00C73612"/>
    <w:rsid w:val="00C80391"/>
    <w:rsid w:val="00C80420"/>
    <w:rsid w:val="00C805AB"/>
    <w:rsid w:val="00C85479"/>
    <w:rsid w:val="00C9003F"/>
    <w:rsid w:val="00C95618"/>
    <w:rsid w:val="00CA0BD8"/>
    <w:rsid w:val="00CA7DA1"/>
    <w:rsid w:val="00CB147F"/>
    <w:rsid w:val="00CB1E4A"/>
    <w:rsid w:val="00CB73CE"/>
    <w:rsid w:val="00CC594D"/>
    <w:rsid w:val="00CD00AB"/>
    <w:rsid w:val="00CD012D"/>
    <w:rsid w:val="00CD0193"/>
    <w:rsid w:val="00CD389B"/>
    <w:rsid w:val="00CD558F"/>
    <w:rsid w:val="00CD7715"/>
    <w:rsid w:val="00CE6BAC"/>
    <w:rsid w:val="00CE6BB2"/>
    <w:rsid w:val="00CF15CE"/>
    <w:rsid w:val="00CF4E88"/>
    <w:rsid w:val="00D021B3"/>
    <w:rsid w:val="00D1187E"/>
    <w:rsid w:val="00D13423"/>
    <w:rsid w:val="00D15412"/>
    <w:rsid w:val="00D15A75"/>
    <w:rsid w:val="00D24D6D"/>
    <w:rsid w:val="00D27C19"/>
    <w:rsid w:val="00D27E0C"/>
    <w:rsid w:val="00D31E6D"/>
    <w:rsid w:val="00D331D0"/>
    <w:rsid w:val="00D4644A"/>
    <w:rsid w:val="00D467E8"/>
    <w:rsid w:val="00D47346"/>
    <w:rsid w:val="00D47373"/>
    <w:rsid w:val="00D5371B"/>
    <w:rsid w:val="00D61C35"/>
    <w:rsid w:val="00D67549"/>
    <w:rsid w:val="00D710FA"/>
    <w:rsid w:val="00D71272"/>
    <w:rsid w:val="00D74B51"/>
    <w:rsid w:val="00DC04CC"/>
    <w:rsid w:val="00DC0B14"/>
    <w:rsid w:val="00DC4539"/>
    <w:rsid w:val="00DD2C4D"/>
    <w:rsid w:val="00DE2E07"/>
    <w:rsid w:val="00DE305C"/>
    <w:rsid w:val="00DF1951"/>
    <w:rsid w:val="00E02101"/>
    <w:rsid w:val="00E03BF5"/>
    <w:rsid w:val="00E10EEA"/>
    <w:rsid w:val="00E12421"/>
    <w:rsid w:val="00E36043"/>
    <w:rsid w:val="00E41D36"/>
    <w:rsid w:val="00E54B24"/>
    <w:rsid w:val="00E5770D"/>
    <w:rsid w:val="00E66554"/>
    <w:rsid w:val="00E7138E"/>
    <w:rsid w:val="00E72B8F"/>
    <w:rsid w:val="00E914B6"/>
    <w:rsid w:val="00E92017"/>
    <w:rsid w:val="00E93951"/>
    <w:rsid w:val="00E9635E"/>
    <w:rsid w:val="00EC0687"/>
    <w:rsid w:val="00EC2C6D"/>
    <w:rsid w:val="00EF3490"/>
    <w:rsid w:val="00EF7C0C"/>
    <w:rsid w:val="00F00D85"/>
    <w:rsid w:val="00F0127B"/>
    <w:rsid w:val="00F0405B"/>
    <w:rsid w:val="00F04EC4"/>
    <w:rsid w:val="00F10D80"/>
    <w:rsid w:val="00F16139"/>
    <w:rsid w:val="00F16C2E"/>
    <w:rsid w:val="00F17D4D"/>
    <w:rsid w:val="00F31A10"/>
    <w:rsid w:val="00F348C3"/>
    <w:rsid w:val="00F36AEE"/>
    <w:rsid w:val="00F43144"/>
    <w:rsid w:val="00F44EA9"/>
    <w:rsid w:val="00F472B1"/>
    <w:rsid w:val="00F47A47"/>
    <w:rsid w:val="00F54478"/>
    <w:rsid w:val="00F54570"/>
    <w:rsid w:val="00F5520A"/>
    <w:rsid w:val="00F573ED"/>
    <w:rsid w:val="00F60FD0"/>
    <w:rsid w:val="00F64189"/>
    <w:rsid w:val="00F6735A"/>
    <w:rsid w:val="00F76AC7"/>
    <w:rsid w:val="00F833CA"/>
    <w:rsid w:val="00F87CAA"/>
    <w:rsid w:val="00FA2EB7"/>
    <w:rsid w:val="00FB3066"/>
    <w:rsid w:val="00FC775C"/>
    <w:rsid w:val="00FD15F5"/>
    <w:rsid w:val="00FD3A42"/>
    <w:rsid w:val="00FE272A"/>
    <w:rsid w:val="00FE549C"/>
    <w:rsid w:val="00FF18A3"/>
    <w:rsid w:val="00FF3BA7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72549"/>
  <w15:docId w15:val="{69C1BB67-9B58-4C1D-B850-E13CE7C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pacing w:line="22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04AA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hi-IN" w:bidi="hi-IN"/>
    </w:rPr>
  </w:style>
  <w:style w:type="paragraph" w:styleId="Cmsor1">
    <w:name w:val="heading 1"/>
    <w:basedOn w:val="Norml"/>
    <w:next w:val="Szvegtrzs"/>
    <w:qFormat/>
    <w:rsid w:val="005404AA"/>
    <w:pPr>
      <w:tabs>
        <w:tab w:val="num" w:pos="0"/>
      </w:tabs>
      <w:spacing w:before="480" w:after="120"/>
      <w:ind w:left="432" w:hanging="432"/>
      <w:outlineLvl w:val="0"/>
    </w:pPr>
    <w:rPr>
      <w:b/>
      <w:bCs/>
      <w:sz w:val="36"/>
      <w:szCs w:val="36"/>
    </w:rPr>
  </w:style>
  <w:style w:type="paragraph" w:styleId="Cmsor2">
    <w:name w:val="heading 2"/>
    <w:basedOn w:val="Norml"/>
    <w:next w:val="Szvegtrzs"/>
    <w:qFormat/>
    <w:rsid w:val="005404AA"/>
    <w:pPr>
      <w:tabs>
        <w:tab w:val="num" w:pos="0"/>
      </w:tabs>
      <w:spacing w:before="360" w:after="80"/>
      <w:ind w:left="576" w:hanging="576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Szvegtrzs"/>
    <w:qFormat/>
    <w:rsid w:val="005404AA"/>
    <w:pPr>
      <w:tabs>
        <w:tab w:val="num" w:pos="0"/>
      </w:tabs>
      <w:spacing w:before="280" w:after="80"/>
      <w:ind w:left="720" w:hanging="720"/>
      <w:outlineLvl w:val="2"/>
    </w:pPr>
    <w:rPr>
      <w:b/>
      <w:bCs/>
      <w:color w:val="666666"/>
      <w:sz w:val="24"/>
      <w:szCs w:val="24"/>
    </w:rPr>
  </w:style>
  <w:style w:type="paragraph" w:styleId="Cmsor4">
    <w:name w:val="heading 4"/>
    <w:basedOn w:val="Norml"/>
    <w:next w:val="Szvegtrzs"/>
    <w:qFormat/>
    <w:rsid w:val="005404AA"/>
    <w:pPr>
      <w:tabs>
        <w:tab w:val="num" w:pos="0"/>
      </w:tabs>
      <w:spacing w:before="240" w:after="40"/>
      <w:ind w:left="864" w:hanging="864"/>
      <w:outlineLvl w:val="3"/>
    </w:pPr>
    <w:rPr>
      <w:i/>
      <w:iCs/>
      <w:color w:val="666666"/>
    </w:rPr>
  </w:style>
  <w:style w:type="paragraph" w:styleId="Cmsor5">
    <w:name w:val="heading 5"/>
    <w:basedOn w:val="Norml"/>
    <w:next w:val="Szvegtrzs"/>
    <w:qFormat/>
    <w:rsid w:val="005404AA"/>
    <w:pPr>
      <w:tabs>
        <w:tab w:val="num" w:pos="0"/>
      </w:tabs>
      <w:spacing w:before="220" w:after="40"/>
      <w:ind w:left="1008" w:hanging="1008"/>
      <w:outlineLvl w:val="4"/>
    </w:pPr>
    <w:rPr>
      <w:b/>
      <w:bCs/>
      <w:color w:val="666666"/>
      <w:sz w:val="20"/>
      <w:szCs w:val="20"/>
    </w:rPr>
  </w:style>
  <w:style w:type="paragraph" w:styleId="Cmsor6">
    <w:name w:val="heading 6"/>
    <w:basedOn w:val="Norml"/>
    <w:next w:val="Szvegtrzs"/>
    <w:qFormat/>
    <w:rsid w:val="005404AA"/>
    <w:pPr>
      <w:tabs>
        <w:tab w:val="num" w:pos="0"/>
      </w:tabs>
      <w:spacing w:before="200" w:after="40"/>
      <w:ind w:left="1152" w:hanging="1152"/>
      <w:outlineLvl w:val="5"/>
    </w:pPr>
    <w:rPr>
      <w:i/>
      <w:iCs/>
      <w:color w:val="66666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404AA"/>
  </w:style>
  <w:style w:type="character" w:customStyle="1" w:styleId="WW-Absatz-Standardschriftart">
    <w:name w:val="WW-Absatz-Standardschriftart"/>
    <w:rsid w:val="005404AA"/>
  </w:style>
  <w:style w:type="character" w:customStyle="1" w:styleId="WW-Absatz-Standardschriftart1">
    <w:name w:val="WW-Absatz-Standardschriftart1"/>
    <w:rsid w:val="005404AA"/>
  </w:style>
  <w:style w:type="character" w:customStyle="1" w:styleId="WW-Absatz-Standardschriftart11">
    <w:name w:val="WW-Absatz-Standardschriftart11"/>
    <w:rsid w:val="005404AA"/>
  </w:style>
  <w:style w:type="character" w:customStyle="1" w:styleId="Bekezdsalapbettpusa1">
    <w:name w:val="Bekezdés alapbetűtípusa1"/>
    <w:rsid w:val="005404AA"/>
  </w:style>
  <w:style w:type="character" w:customStyle="1" w:styleId="WW-Absatz-Standardschriftart111">
    <w:name w:val="WW-Absatz-Standardschriftart111"/>
    <w:rsid w:val="005404AA"/>
  </w:style>
  <w:style w:type="character" w:customStyle="1" w:styleId="WW-Absatz-Standardschriftart1111">
    <w:name w:val="WW-Absatz-Standardschriftart1111"/>
    <w:rsid w:val="005404AA"/>
  </w:style>
  <w:style w:type="character" w:customStyle="1" w:styleId="WW-Absatz-Standardschriftart11111">
    <w:name w:val="WW-Absatz-Standardschriftart11111"/>
    <w:rsid w:val="005404AA"/>
  </w:style>
  <w:style w:type="character" w:customStyle="1" w:styleId="WW-Absatz-Standardschriftart111111">
    <w:name w:val="WW-Absatz-Standardschriftart111111"/>
    <w:rsid w:val="005404AA"/>
  </w:style>
  <w:style w:type="character" w:customStyle="1" w:styleId="WW-DefaultParagraphFont">
    <w:name w:val="WW-Default Paragraph Font"/>
    <w:rsid w:val="005404AA"/>
  </w:style>
  <w:style w:type="character" w:customStyle="1" w:styleId="FootnoteCharacters">
    <w:name w:val="Footnote Characters"/>
    <w:rsid w:val="005404AA"/>
  </w:style>
  <w:style w:type="character" w:styleId="Hiperhivatkozs">
    <w:name w:val="Hyperlink"/>
    <w:rsid w:val="005404AA"/>
    <w:rPr>
      <w:color w:val="000080"/>
      <w:u w:val="single"/>
    </w:rPr>
  </w:style>
  <w:style w:type="character" w:styleId="Mrltotthiperhivatkozs">
    <w:name w:val="FollowedHyperlink"/>
    <w:rsid w:val="005404AA"/>
    <w:rPr>
      <w:color w:val="800000"/>
      <w:u w:val="single"/>
    </w:rPr>
  </w:style>
  <w:style w:type="character" w:customStyle="1" w:styleId="Szmozsjelek">
    <w:name w:val="Számozásjelek"/>
    <w:rsid w:val="005404AA"/>
  </w:style>
  <w:style w:type="paragraph" w:customStyle="1" w:styleId="Cmsor">
    <w:name w:val="Címsor"/>
    <w:basedOn w:val="Norml"/>
    <w:next w:val="Szvegtrzs"/>
    <w:rsid w:val="005404AA"/>
    <w:pPr>
      <w:keepNext/>
      <w:spacing w:before="240" w:after="120"/>
    </w:pPr>
    <w:rPr>
      <w:rFonts w:cs="Tahoma"/>
      <w:sz w:val="28"/>
      <w:szCs w:val="28"/>
    </w:rPr>
  </w:style>
  <w:style w:type="paragraph" w:styleId="Szvegtrzs">
    <w:name w:val="Body Text"/>
    <w:basedOn w:val="Norml"/>
    <w:rsid w:val="005404AA"/>
    <w:pPr>
      <w:spacing w:after="120"/>
    </w:pPr>
  </w:style>
  <w:style w:type="paragraph" w:styleId="Lista">
    <w:name w:val="List"/>
    <w:basedOn w:val="Szvegtrzs"/>
    <w:rsid w:val="005404AA"/>
    <w:rPr>
      <w:rFonts w:cs="Lohit Hindi"/>
    </w:rPr>
  </w:style>
  <w:style w:type="paragraph" w:customStyle="1" w:styleId="Felirat">
    <w:name w:val="Felirat"/>
    <w:basedOn w:val="Norml"/>
    <w:rsid w:val="005404A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5404AA"/>
    <w:pPr>
      <w:suppressLineNumbers/>
    </w:pPr>
    <w:rPr>
      <w:rFonts w:cs="Tahoma"/>
    </w:rPr>
  </w:style>
  <w:style w:type="paragraph" w:customStyle="1" w:styleId="Heading">
    <w:name w:val="Heading"/>
    <w:basedOn w:val="Norml"/>
    <w:next w:val="Szvegtrzs"/>
    <w:rsid w:val="005404AA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Kpalrs1">
    <w:name w:val="Képaláírás1"/>
    <w:basedOn w:val="Norml"/>
    <w:rsid w:val="005404A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"/>
    <w:rsid w:val="005404AA"/>
    <w:pPr>
      <w:suppressLineNumbers/>
    </w:pPr>
    <w:rPr>
      <w:rFonts w:cs="Lohit Hindi"/>
    </w:rPr>
  </w:style>
  <w:style w:type="paragraph" w:customStyle="1" w:styleId="NoList1">
    <w:name w:val="No List1"/>
    <w:rsid w:val="005404AA"/>
    <w:pPr>
      <w:suppressAutoHyphens/>
    </w:pPr>
    <w:rPr>
      <w:rFonts w:eastAsia="Arial"/>
      <w:lang w:eastAsia="hi-IN" w:bidi="hi-IN"/>
    </w:rPr>
  </w:style>
  <w:style w:type="paragraph" w:styleId="Cm">
    <w:name w:val="Title"/>
    <w:basedOn w:val="Norml"/>
    <w:next w:val="Alcm"/>
    <w:qFormat/>
    <w:rsid w:val="005404AA"/>
    <w:pPr>
      <w:spacing w:before="480" w:after="120"/>
    </w:pPr>
    <w:rPr>
      <w:b/>
      <w:bCs/>
      <w:sz w:val="72"/>
      <w:szCs w:val="72"/>
    </w:rPr>
  </w:style>
  <w:style w:type="paragraph" w:styleId="Alcm">
    <w:name w:val="Subtitle"/>
    <w:basedOn w:val="Norml"/>
    <w:next w:val="Szvegtrzs"/>
    <w:qFormat/>
    <w:rsid w:val="005404AA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HorizontalLine">
    <w:name w:val="Horizontal Line"/>
    <w:basedOn w:val="Norml"/>
    <w:next w:val="Szvegtrzs"/>
    <w:rsid w:val="005404AA"/>
    <w:pPr>
      <w:suppressLineNumbers/>
      <w:spacing w:after="283"/>
    </w:pPr>
    <w:rPr>
      <w:sz w:val="12"/>
      <w:szCs w:val="1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3452C"/>
    <w:pPr>
      <w:spacing w:after="120"/>
      <w:ind w:left="283"/>
    </w:pPr>
    <w:rPr>
      <w:rFonts w:cs="Mangal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3452C"/>
    <w:rPr>
      <w:rFonts w:ascii="Arial" w:eastAsia="Arial" w:hAnsi="Arial" w:cs="Mangal"/>
      <w:color w:val="000000"/>
      <w:sz w:val="22"/>
      <w:lang w:eastAsia="hi-IN" w:bidi="hi-IN"/>
    </w:rPr>
  </w:style>
  <w:style w:type="character" w:styleId="Kiemels2">
    <w:name w:val="Strong"/>
    <w:basedOn w:val="Bekezdsalapbettpusa"/>
    <w:uiPriority w:val="22"/>
    <w:qFormat/>
    <w:rsid w:val="00084BE1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3423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3423"/>
    <w:rPr>
      <w:rFonts w:ascii="Segoe UI" w:eastAsia="Arial" w:hAnsi="Segoe UI" w:cs="Mangal"/>
      <w:color w:val="000000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E3B2F-82A9-4CC8-84E8-AFFBFB0E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1248</Words>
  <Characters>8616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Lénárd</dc:creator>
  <cp:lastModifiedBy>Pollák Zsuzsanna Éva</cp:lastModifiedBy>
  <cp:revision>8</cp:revision>
  <cp:lastPrinted>2016-08-31T14:28:00Z</cp:lastPrinted>
  <dcterms:created xsi:type="dcterms:W3CDTF">2016-08-31T14:29:00Z</dcterms:created>
  <dcterms:modified xsi:type="dcterms:W3CDTF">2019-06-14T11:34:00Z</dcterms:modified>
</cp:coreProperties>
</file>