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BC" w:rsidRDefault="00B40EBC" w:rsidP="00B40EBC">
      <w:pPr>
        <w:rPr>
          <w:b/>
          <w:bCs/>
          <w:sz w:val="24"/>
          <w:szCs w:val="24"/>
        </w:rPr>
      </w:pPr>
      <w:r w:rsidRPr="00B40EBC">
        <w:rPr>
          <w:b/>
          <w:bCs/>
          <w:sz w:val="24"/>
          <w:szCs w:val="24"/>
        </w:rPr>
        <w:t xml:space="preserve">JSDI-EUA 3380 </w:t>
      </w:r>
      <w:proofErr w:type="spellStart"/>
      <w:r w:rsidRPr="00B40EBC">
        <w:rPr>
          <w:b/>
          <w:bCs/>
          <w:sz w:val="24"/>
          <w:szCs w:val="24"/>
        </w:rPr>
        <w:t>Justice</w:t>
      </w:r>
      <w:proofErr w:type="spellEnd"/>
      <w:r w:rsidRPr="00B40EBC">
        <w:rPr>
          <w:b/>
          <w:bCs/>
          <w:sz w:val="24"/>
          <w:szCs w:val="24"/>
        </w:rPr>
        <w:t xml:space="preserve"> and Home </w:t>
      </w:r>
      <w:proofErr w:type="spellStart"/>
      <w:r w:rsidRPr="00B40EBC">
        <w:rPr>
          <w:b/>
          <w:bCs/>
          <w:sz w:val="24"/>
          <w:szCs w:val="24"/>
        </w:rPr>
        <w:t>Affairs</w:t>
      </w:r>
      <w:proofErr w:type="spellEnd"/>
      <w:r w:rsidRPr="00B40EBC">
        <w:rPr>
          <w:b/>
          <w:bCs/>
          <w:sz w:val="24"/>
          <w:szCs w:val="24"/>
        </w:rPr>
        <w:t xml:space="preserve"> </w:t>
      </w:r>
      <w:proofErr w:type="spellStart"/>
      <w:r w:rsidRPr="00B40EBC">
        <w:rPr>
          <w:b/>
          <w:bCs/>
          <w:sz w:val="24"/>
          <w:szCs w:val="24"/>
        </w:rPr>
        <w:t>in</w:t>
      </w:r>
      <w:proofErr w:type="spellEnd"/>
      <w:r w:rsidRPr="00B40EBC">
        <w:rPr>
          <w:b/>
          <w:bCs/>
          <w:sz w:val="24"/>
          <w:szCs w:val="24"/>
        </w:rPr>
        <w:t xml:space="preserve"> </w:t>
      </w:r>
      <w:proofErr w:type="spellStart"/>
      <w:r w:rsidRPr="00B40EBC">
        <w:rPr>
          <w:b/>
          <w:bCs/>
          <w:sz w:val="24"/>
          <w:szCs w:val="24"/>
        </w:rPr>
        <w:t>the</w:t>
      </w:r>
      <w:proofErr w:type="spellEnd"/>
      <w:r w:rsidRPr="00B40EBC">
        <w:rPr>
          <w:b/>
          <w:bCs/>
          <w:sz w:val="24"/>
          <w:szCs w:val="24"/>
        </w:rPr>
        <w:t xml:space="preserve"> EU</w:t>
      </w:r>
    </w:p>
    <w:p w:rsidR="00B40EBC" w:rsidRPr="00B40EBC" w:rsidRDefault="00B40EBC" w:rsidP="00B40EBC">
      <w:pPr>
        <w:rPr>
          <w:b/>
          <w:bCs/>
          <w:sz w:val="24"/>
          <w:szCs w:val="24"/>
        </w:rPr>
      </w:pPr>
    </w:p>
    <w:p w:rsidR="00B40EBC" w:rsidRPr="000164D3" w:rsidRDefault="00B40EBC" w:rsidP="00B40EBC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12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B40EBC" w:rsidRPr="000164D3" w:rsidRDefault="00B40EBC" w:rsidP="00B40EBC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r w:rsidR="006A3650">
        <w:rPr>
          <w:b/>
          <w:bCs/>
          <w:sz w:val="24"/>
          <w:szCs w:val="24"/>
        </w:rPr>
        <w:t>6</w:t>
      </w:r>
      <w:bookmarkStart w:id="0" w:name="_GoBack"/>
      <w:bookmarkEnd w:id="0"/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or</w:t>
      </w:r>
      <w:proofErr w:type="spellEnd"/>
      <w:r w:rsidRPr="000164D3">
        <w:rPr>
          <w:b/>
          <w:bCs/>
          <w:sz w:val="24"/>
          <w:szCs w:val="24"/>
        </w:rPr>
        <w:t xml:space="preserve"> 0 credit(s)</w:t>
      </w:r>
    </w:p>
    <w:p w:rsidR="00B40EBC" w:rsidRPr="000164D3" w:rsidRDefault="00B40EBC" w:rsidP="00B40EBC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alternative</w:t>
      </w:r>
      <w:proofErr w:type="spellEnd"/>
      <w:r w:rsidRPr="000164D3">
        <w:rPr>
          <w:b/>
          <w:bCs/>
          <w:sz w:val="24"/>
          <w:szCs w:val="24"/>
        </w:rPr>
        <w:t xml:space="preserve">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B40EBC" w:rsidRPr="000164D3" w:rsidRDefault="00B40EBC" w:rsidP="00B40EBC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Lecturer</w:t>
      </w:r>
      <w:proofErr w:type="spellEnd"/>
      <w:r w:rsidRPr="000164D3">
        <w:rPr>
          <w:b/>
          <w:bCs/>
          <w:sz w:val="24"/>
          <w:szCs w:val="24"/>
        </w:rPr>
        <w:t xml:space="preserve">: dr. </w:t>
      </w:r>
      <w:proofErr w:type="spellStart"/>
      <w:r w:rsidRPr="000164D3">
        <w:rPr>
          <w:b/>
          <w:bCs/>
          <w:sz w:val="24"/>
          <w:szCs w:val="24"/>
        </w:rPr>
        <w:t>Gyeney</w:t>
      </w:r>
      <w:proofErr w:type="spellEnd"/>
      <w:r w:rsidRPr="000164D3">
        <w:rPr>
          <w:b/>
          <w:bCs/>
          <w:sz w:val="24"/>
          <w:szCs w:val="24"/>
        </w:rPr>
        <w:t xml:space="preserve"> Laura (4)/ dr. Molnár Tamás (4)/ dr. </w:t>
      </w:r>
      <w:proofErr w:type="spellStart"/>
      <w:r w:rsidRPr="000164D3">
        <w:rPr>
          <w:b/>
          <w:bCs/>
          <w:sz w:val="24"/>
          <w:szCs w:val="24"/>
        </w:rPr>
        <w:t>Töttős</w:t>
      </w:r>
      <w:proofErr w:type="spellEnd"/>
      <w:r w:rsidRPr="000164D3">
        <w:rPr>
          <w:b/>
          <w:bCs/>
          <w:sz w:val="24"/>
          <w:szCs w:val="24"/>
        </w:rPr>
        <w:t xml:space="preserve"> Ágnes (4)</w:t>
      </w:r>
    </w:p>
    <w:p w:rsidR="00B40EBC" w:rsidRPr="000164D3" w:rsidRDefault="00B40EBC" w:rsidP="00B40EBC">
      <w:pPr>
        <w:rPr>
          <w:b/>
          <w:bCs/>
          <w:sz w:val="24"/>
          <w:szCs w:val="24"/>
        </w:rPr>
      </w:pPr>
    </w:p>
    <w:p w:rsidR="00B40EBC" w:rsidRPr="000164D3" w:rsidRDefault="00B40EBC" w:rsidP="00B40EBC">
      <w:pPr>
        <w:rPr>
          <w:b/>
          <w:bCs/>
          <w:sz w:val="24"/>
          <w:szCs w:val="24"/>
        </w:rPr>
      </w:pPr>
    </w:p>
    <w:p w:rsidR="00B40EBC" w:rsidRPr="000164D3" w:rsidRDefault="00B40EBC" w:rsidP="00B40EBC">
      <w:pPr>
        <w:jc w:val="both"/>
        <w:rPr>
          <w:sz w:val="24"/>
          <w:szCs w:val="24"/>
        </w:rPr>
      </w:pPr>
      <w:r w:rsidRPr="000164D3">
        <w:rPr>
          <w:b/>
          <w:sz w:val="24"/>
          <w:szCs w:val="24"/>
        </w:rPr>
        <w:t xml:space="preserve">The </w:t>
      </w:r>
      <w:proofErr w:type="spellStart"/>
      <w:r w:rsidRPr="000164D3">
        <w:rPr>
          <w:b/>
          <w:sz w:val="24"/>
          <w:szCs w:val="24"/>
        </w:rPr>
        <w:t>aim</w:t>
      </w:r>
      <w:proofErr w:type="spellEnd"/>
      <w:r w:rsidRPr="000164D3">
        <w:rPr>
          <w:b/>
          <w:sz w:val="24"/>
          <w:szCs w:val="24"/>
        </w:rPr>
        <w:t xml:space="preserve"> of </w:t>
      </w:r>
      <w:proofErr w:type="spellStart"/>
      <w:r w:rsidRPr="000164D3">
        <w:rPr>
          <w:b/>
          <w:sz w:val="24"/>
          <w:szCs w:val="24"/>
        </w:rPr>
        <w:t>the</w:t>
      </w:r>
      <w:proofErr w:type="spellEnd"/>
      <w:r w:rsidRPr="000164D3">
        <w:rPr>
          <w:b/>
          <w:sz w:val="24"/>
          <w:szCs w:val="24"/>
        </w:rPr>
        <w:t xml:space="preserve"> </w:t>
      </w:r>
      <w:proofErr w:type="spellStart"/>
      <w:r w:rsidRPr="000164D3">
        <w:rPr>
          <w:b/>
          <w:sz w:val="24"/>
          <w:szCs w:val="24"/>
        </w:rPr>
        <w:t>course</w:t>
      </w:r>
      <w:proofErr w:type="spellEnd"/>
      <w:r w:rsidRPr="000164D3">
        <w:rPr>
          <w:sz w:val="24"/>
          <w:szCs w:val="24"/>
        </w:rPr>
        <w:t xml:space="preserve"> is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empower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students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be </w:t>
      </w:r>
      <w:proofErr w:type="spellStart"/>
      <w:r w:rsidRPr="000164D3">
        <w:rPr>
          <w:sz w:val="24"/>
          <w:szCs w:val="24"/>
        </w:rPr>
        <w:t>able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understand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architecture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development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functioning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this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complex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interconnected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field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EU. </w:t>
      </w:r>
      <w:proofErr w:type="spellStart"/>
      <w:r w:rsidRPr="000164D3">
        <w:rPr>
          <w:sz w:val="24"/>
          <w:szCs w:val="24"/>
        </w:rPr>
        <w:t>Not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only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shall</w:t>
      </w:r>
      <w:proofErr w:type="spellEnd"/>
      <w:r w:rsidRPr="000164D3">
        <w:rPr>
          <w:sz w:val="24"/>
          <w:szCs w:val="24"/>
        </w:rPr>
        <w:t xml:space="preserve"> a </w:t>
      </w:r>
      <w:proofErr w:type="spellStart"/>
      <w:r w:rsidRPr="000164D3">
        <w:rPr>
          <w:sz w:val="24"/>
          <w:szCs w:val="24"/>
        </w:rPr>
        <w:t>thorough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practice-oriented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analysis</w:t>
      </w:r>
      <w:proofErr w:type="spellEnd"/>
      <w:r w:rsidRPr="000164D3">
        <w:rPr>
          <w:sz w:val="24"/>
          <w:szCs w:val="24"/>
        </w:rPr>
        <w:t xml:space="preserve"> be made (</w:t>
      </w:r>
      <w:proofErr w:type="spellStart"/>
      <w:r w:rsidRPr="000164D3">
        <w:rPr>
          <w:sz w:val="24"/>
          <w:szCs w:val="24"/>
        </w:rPr>
        <w:t>outlining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also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core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jurisprudence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ECJ), </w:t>
      </w:r>
      <w:proofErr w:type="spellStart"/>
      <w:r w:rsidRPr="000164D3">
        <w:rPr>
          <w:sz w:val="24"/>
          <w:szCs w:val="24"/>
        </w:rPr>
        <w:t>but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doing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students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will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deepen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broaden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their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knowledge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this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particular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field</w:t>
      </w:r>
      <w:proofErr w:type="spellEnd"/>
      <w:r w:rsidRPr="000164D3">
        <w:rPr>
          <w:sz w:val="24"/>
          <w:szCs w:val="24"/>
        </w:rPr>
        <w:t xml:space="preserve"> of EU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 and policy. </w:t>
      </w:r>
      <w:proofErr w:type="spellStart"/>
      <w:r w:rsidRPr="000164D3">
        <w:rPr>
          <w:sz w:val="24"/>
          <w:szCs w:val="24"/>
        </w:rPr>
        <w:t>Enrobed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this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in-depth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knowledge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students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are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expected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understand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besides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general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context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and policy </w:t>
      </w:r>
      <w:proofErr w:type="spellStart"/>
      <w:r w:rsidRPr="000164D3">
        <w:rPr>
          <w:sz w:val="24"/>
          <w:szCs w:val="24"/>
        </w:rPr>
        <w:t>aspects</w:t>
      </w:r>
      <w:proofErr w:type="spellEnd"/>
      <w:r w:rsidRPr="000164D3">
        <w:rPr>
          <w:sz w:val="24"/>
          <w:szCs w:val="24"/>
        </w:rPr>
        <w:t xml:space="preserve"> of AFSJ.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a </w:t>
      </w:r>
      <w:proofErr w:type="spellStart"/>
      <w:r w:rsidRPr="000164D3">
        <w:rPr>
          <w:sz w:val="24"/>
          <w:szCs w:val="24"/>
        </w:rPr>
        <w:t>result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they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will</w:t>
      </w:r>
      <w:proofErr w:type="spellEnd"/>
      <w:r w:rsidRPr="000164D3">
        <w:rPr>
          <w:sz w:val="24"/>
          <w:szCs w:val="24"/>
        </w:rPr>
        <w:t xml:space="preserve"> be </w:t>
      </w:r>
      <w:proofErr w:type="spellStart"/>
      <w:r w:rsidRPr="000164D3">
        <w:rPr>
          <w:sz w:val="24"/>
          <w:szCs w:val="24"/>
        </w:rPr>
        <w:t>able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effectively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work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relevant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units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foreign</w:t>
      </w:r>
      <w:proofErr w:type="spellEnd"/>
      <w:r w:rsidRPr="000164D3">
        <w:rPr>
          <w:sz w:val="24"/>
          <w:szCs w:val="24"/>
        </w:rPr>
        <w:t xml:space="preserve"> service, </w:t>
      </w:r>
      <w:proofErr w:type="spellStart"/>
      <w:r w:rsidRPr="000164D3">
        <w:rPr>
          <w:sz w:val="24"/>
          <w:szCs w:val="24"/>
        </w:rPr>
        <w:t>with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 </w:t>
      </w:r>
      <w:proofErr w:type="spellStart"/>
      <w:r w:rsidRPr="000164D3">
        <w:rPr>
          <w:sz w:val="24"/>
          <w:szCs w:val="24"/>
        </w:rPr>
        <w:t>Delegations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other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international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organizations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too</w:t>
      </w:r>
      <w:proofErr w:type="spellEnd"/>
      <w:r w:rsidRPr="000164D3">
        <w:rPr>
          <w:sz w:val="24"/>
          <w:szCs w:val="24"/>
        </w:rPr>
        <w:t xml:space="preserve"> (UNHCR, IOM, UNODC, OSCE, </w:t>
      </w:r>
      <w:proofErr w:type="spellStart"/>
      <w:r w:rsidRPr="000164D3">
        <w:rPr>
          <w:sz w:val="24"/>
          <w:szCs w:val="24"/>
        </w:rPr>
        <w:t>CoE</w:t>
      </w:r>
      <w:proofErr w:type="spellEnd"/>
      <w:r w:rsidRPr="000164D3">
        <w:rPr>
          <w:sz w:val="24"/>
          <w:szCs w:val="24"/>
        </w:rPr>
        <w:t xml:space="preserve"> etc.).</w:t>
      </w:r>
    </w:p>
    <w:p w:rsidR="00B40EBC" w:rsidRPr="000164D3" w:rsidRDefault="00B40EBC" w:rsidP="00B40EBC">
      <w:pPr>
        <w:rPr>
          <w:b/>
          <w:bCs/>
          <w:sz w:val="24"/>
          <w:szCs w:val="24"/>
        </w:rPr>
      </w:pPr>
    </w:p>
    <w:p w:rsidR="00B40EBC" w:rsidRPr="000164D3" w:rsidRDefault="00B40EBC" w:rsidP="00B40EBC">
      <w:pPr>
        <w:jc w:val="both"/>
        <w:rPr>
          <w:sz w:val="24"/>
          <w:szCs w:val="24"/>
        </w:rPr>
      </w:pPr>
      <w:proofErr w:type="spellStart"/>
      <w:r w:rsidRPr="000164D3">
        <w:rPr>
          <w:b/>
          <w:sz w:val="24"/>
          <w:szCs w:val="24"/>
        </w:rPr>
        <w:t>Course</w:t>
      </w:r>
      <w:proofErr w:type="spellEnd"/>
      <w:r w:rsidRPr="000164D3">
        <w:rPr>
          <w:b/>
          <w:sz w:val="24"/>
          <w:szCs w:val="24"/>
        </w:rPr>
        <w:t xml:space="preserve"> </w:t>
      </w:r>
      <w:proofErr w:type="spellStart"/>
      <w:r w:rsidRPr="000164D3">
        <w:rPr>
          <w:b/>
          <w:sz w:val="24"/>
          <w:szCs w:val="24"/>
        </w:rPr>
        <w:t>outline</w:t>
      </w:r>
      <w:proofErr w:type="spellEnd"/>
      <w:r w:rsidRPr="000164D3">
        <w:rPr>
          <w:sz w:val="24"/>
          <w:szCs w:val="24"/>
        </w:rPr>
        <w:t xml:space="preserve">: </w:t>
      </w:r>
      <w:proofErr w:type="spellStart"/>
      <w:r w:rsidRPr="000164D3">
        <w:rPr>
          <w:sz w:val="24"/>
          <w:szCs w:val="24"/>
        </w:rPr>
        <w:t>This</w:t>
      </w:r>
      <w:proofErr w:type="spellEnd"/>
      <w:r w:rsidRPr="000164D3">
        <w:rPr>
          <w:sz w:val="24"/>
          <w:szCs w:val="24"/>
        </w:rPr>
        <w:t xml:space="preserve"> series of </w:t>
      </w:r>
      <w:proofErr w:type="spellStart"/>
      <w:r w:rsidRPr="000164D3">
        <w:rPr>
          <w:sz w:val="24"/>
          <w:szCs w:val="24"/>
        </w:rPr>
        <w:t>lectures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introduces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students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Area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Freedom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Security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Justice</w:t>
      </w:r>
      <w:proofErr w:type="spellEnd"/>
      <w:r w:rsidRPr="000164D3">
        <w:rPr>
          <w:sz w:val="24"/>
          <w:szCs w:val="24"/>
        </w:rPr>
        <w:t xml:space="preserve"> (AFSJ)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European Union (</w:t>
      </w:r>
      <w:proofErr w:type="spellStart"/>
      <w:r w:rsidRPr="000164D3">
        <w:rPr>
          <w:sz w:val="24"/>
          <w:szCs w:val="24"/>
        </w:rPr>
        <w:t>field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previously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traditionally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called</w:t>
      </w:r>
      <w:proofErr w:type="spellEnd"/>
      <w:r w:rsidRPr="000164D3">
        <w:rPr>
          <w:sz w:val="24"/>
          <w:szCs w:val="24"/>
        </w:rPr>
        <w:t xml:space="preserve"> „</w:t>
      </w:r>
      <w:proofErr w:type="spellStart"/>
      <w:r w:rsidRPr="000164D3">
        <w:rPr>
          <w:sz w:val="24"/>
          <w:szCs w:val="24"/>
        </w:rPr>
        <w:t>Justice</w:t>
      </w:r>
      <w:proofErr w:type="spellEnd"/>
      <w:r w:rsidRPr="000164D3">
        <w:rPr>
          <w:sz w:val="24"/>
          <w:szCs w:val="24"/>
        </w:rPr>
        <w:t xml:space="preserve"> and Home </w:t>
      </w:r>
      <w:proofErr w:type="spellStart"/>
      <w:r w:rsidRPr="000164D3">
        <w:rPr>
          <w:sz w:val="24"/>
          <w:szCs w:val="24"/>
        </w:rPr>
        <w:t>Affairs</w:t>
      </w:r>
      <w:proofErr w:type="spellEnd"/>
      <w:r w:rsidRPr="000164D3">
        <w:rPr>
          <w:sz w:val="24"/>
          <w:szCs w:val="24"/>
        </w:rPr>
        <w:t xml:space="preserve"> (JHA)”).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scope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provides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thorough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overview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all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horizontal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institutional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) </w:t>
      </w:r>
      <w:proofErr w:type="spellStart"/>
      <w:r w:rsidRPr="000164D3">
        <w:rPr>
          <w:sz w:val="24"/>
          <w:szCs w:val="24"/>
        </w:rPr>
        <w:t>issues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well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key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thematic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fields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this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ever-expanding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area</w:t>
      </w:r>
      <w:proofErr w:type="spellEnd"/>
      <w:r w:rsidRPr="000164D3">
        <w:rPr>
          <w:sz w:val="24"/>
          <w:szCs w:val="24"/>
        </w:rPr>
        <w:t xml:space="preserve">, ranging </w:t>
      </w:r>
      <w:proofErr w:type="spellStart"/>
      <w:r w:rsidRPr="000164D3">
        <w:rPr>
          <w:sz w:val="24"/>
          <w:szCs w:val="24"/>
        </w:rPr>
        <w:t>from</w:t>
      </w:r>
      <w:proofErr w:type="spellEnd"/>
      <w:r w:rsidRPr="000164D3">
        <w:rPr>
          <w:sz w:val="24"/>
          <w:szCs w:val="24"/>
        </w:rPr>
        <w:t xml:space="preserve"> Schengen, </w:t>
      </w:r>
      <w:proofErr w:type="spellStart"/>
      <w:r w:rsidRPr="000164D3">
        <w:rPr>
          <w:sz w:val="24"/>
          <w:szCs w:val="24"/>
        </w:rPr>
        <w:t>external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borders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visas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immigration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illegal</w:t>
      </w:r>
      <w:proofErr w:type="spellEnd"/>
      <w:r w:rsidRPr="000164D3">
        <w:rPr>
          <w:sz w:val="24"/>
          <w:szCs w:val="24"/>
        </w:rPr>
        <w:t xml:space="preserve">)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well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asylum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police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cooperation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civilian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crisis</w:t>
      </w:r>
      <w:proofErr w:type="spellEnd"/>
      <w:r w:rsidRPr="000164D3">
        <w:rPr>
          <w:sz w:val="24"/>
          <w:szCs w:val="24"/>
        </w:rPr>
        <w:t xml:space="preserve"> management and </w:t>
      </w:r>
      <w:proofErr w:type="spellStart"/>
      <w:r w:rsidRPr="000164D3">
        <w:rPr>
          <w:sz w:val="24"/>
          <w:szCs w:val="24"/>
        </w:rPr>
        <w:t>judicial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cooperation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civil and </w:t>
      </w:r>
      <w:proofErr w:type="spellStart"/>
      <w:r w:rsidRPr="000164D3">
        <w:rPr>
          <w:sz w:val="24"/>
          <w:szCs w:val="24"/>
        </w:rPr>
        <w:t>criminal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matters</w:t>
      </w:r>
      <w:proofErr w:type="spellEnd"/>
      <w:r w:rsidRPr="000164D3">
        <w:rPr>
          <w:sz w:val="24"/>
          <w:szCs w:val="24"/>
        </w:rPr>
        <w:t xml:space="preserve">. The </w:t>
      </w:r>
      <w:proofErr w:type="spellStart"/>
      <w:r w:rsidRPr="000164D3">
        <w:rPr>
          <w:sz w:val="24"/>
          <w:szCs w:val="24"/>
        </w:rPr>
        <w:t>course</w:t>
      </w:r>
      <w:proofErr w:type="spellEnd"/>
      <w:r w:rsidRPr="000164D3">
        <w:rPr>
          <w:sz w:val="24"/>
          <w:szCs w:val="24"/>
        </w:rPr>
        <w:t xml:space="preserve"> is </w:t>
      </w:r>
      <w:proofErr w:type="spellStart"/>
      <w:r w:rsidRPr="000164D3">
        <w:rPr>
          <w:sz w:val="24"/>
          <w:szCs w:val="24"/>
        </w:rPr>
        <w:t>meant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serve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both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stocktaking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focusing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way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forward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current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legislative</w:t>
      </w:r>
      <w:proofErr w:type="spellEnd"/>
      <w:r w:rsidRPr="000164D3">
        <w:rPr>
          <w:sz w:val="24"/>
          <w:szCs w:val="24"/>
        </w:rPr>
        <w:t xml:space="preserve"> and policy </w:t>
      </w:r>
      <w:proofErr w:type="spellStart"/>
      <w:r w:rsidRPr="000164D3">
        <w:rPr>
          <w:sz w:val="24"/>
          <w:szCs w:val="24"/>
        </w:rPr>
        <w:t>debates</w:t>
      </w:r>
      <w:proofErr w:type="spellEnd"/>
      <w:r w:rsidRPr="000164D3">
        <w:rPr>
          <w:sz w:val="24"/>
          <w:szCs w:val="24"/>
        </w:rPr>
        <w:t>.</w:t>
      </w:r>
    </w:p>
    <w:p w:rsidR="00B40EBC" w:rsidRPr="000164D3" w:rsidRDefault="00B40EBC" w:rsidP="00B40EBC">
      <w:pPr>
        <w:rPr>
          <w:b/>
          <w:bCs/>
          <w:sz w:val="24"/>
          <w:szCs w:val="24"/>
        </w:rPr>
      </w:pPr>
    </w:p>
    <w:p w:rsidR="00B40EBC" w:rsidRPr="000164D3" w:rsidRDefault="00B40EBC" w:rsidP="00B40EBC">
      <w:pPr>
        <w:rPr>
          <w:sz w:val="24"/>
          <w:szCs w:val="24"/>
        </w:rPr>
      </w:pPr>
    </w:p>
    <w:p w:rsidR="00B40EBC" w:rsidRPr="000164D3" w:rsidRDefault="00B40EBC" w:rsidP="00B40EBC">
      <w:pPr>
        <w:jc w:val="both"/>
        <w:rPr>
          <w:b/>
          <w:sz w:val="24"/>
          <w:szCs w:val="24"/>
        </w:rPr>
      </w:pPr>
      <w:proofErr w:type="spellStart"/>
      <w:r w:rsidRPr="000164D3">
        <w:rPr>
          <w:b/>
          <w:sz w:val="24"/>
          <w:szCs w:val="24"/>
        </w:rPr>
        <w:t>Lecture</w:t>
      </w:r>
      <w:proofErr w:type="spellEnd"/>
      <w:r w:rsidRPr="000164D3">
        <w:rPr>
          <w:b/>
          <w:sz w:val="24"/>
          <w:szCs w:val="24"/>
        </w:rPr>
        <w:t xml:space="preserve"> </w:t>
      </w:r>
      <w:proofErr w:type="spellStart"/>
      <w:r w:rsidRPr="000164D3">
        <w:rPr>
          <w:b/>
          <w:sz w:val="24"/>
          <w:szCs w:val="24"/>
        </w:rPr>
        <w:t>topics</w:t>
      </w:r>
      <w:proofErr w:type="spellEnd"/>
      <w:r w:rsidRPr="000164D3">
        <w:rPr>
          <w:b/>
          <w:sz w:val="24"/>
          <w:szCs w:val="24"/>
        </w:rPr>
        <w:t>: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History</w:t>
      </w:r>
      <w:proofErr w:type="spellEnd"/>
      <w:r w:rsidRPr="000164D3">
        <w:rPr>
          <w:sz w:val="24"/>
          <w:szCs w:val="24"/>
        </w:rPr>
        <w:t xml:space="preserve"> of ASFJ (</w:t>
      </w:r>
      <w:proofErr w:type="spellStart"/>
      <w:r w:rsidRPr="000164D3">
        <w:rPr>
          <w:sz w:val="24"/>
          <w:szCs w:val="24"/>
        </w:rPr>
        <w:t>from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‘70s </w:t>
      </w:r>
      <w:proofErr w:type="spellStart"/>
      <w:r w:rsidRPr="000164D3">
        <w:rPr>
          <w:sz w:val="24"/>
          <w:szCs w:val="24"/>
        </w:rPr>
        <w:t>until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Treaty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Lisbon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changes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brought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Treaty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Lisbon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Tampere and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Hague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Programmes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institutional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framework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AFSJ (TEU and </w:t>
      </w:r>
      <w:proofErr w:type="spellStart"/>
      <w:r w:rsidRPr="000164D3">
        <w:rPr>
          <w:sz w:val="24"/>
          <w:szCs w:val="24"/>
        </w:rPr>
        <w:t>Chapter</w:t>
      </w:r>
      <w:proofErr w:type="spellEnd"/>
      <w:r w:rsidRPr="000164D3">
        <w:rPr>
          <w:sz w:val="24"/>
          <w:szCs w:val="24"/>
        </w:rPr>
        <w:t xml:space="preserve"> V of TFEU;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Stockholm </w:t>
      </w:r>
      <w:proofErr w:type="spellStart"/>
      <w:r w:rsidRPr="000164D3">
        <w:rPr>
          <w:sz w:val="24"/>
          <w:szCs w:val="24"/>
        </w:rPr>
        <w:t>Programme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other</w:t>
      </w:r>
      <w:proofErr w:type="spellEnd"/>
      <w:r w:rsidRPr="000164D3">
        <w:rPr>
          <w:sz w:val="24"/>
          <w:szCs w:val="24"/>
        </w:rPr>
        <w:t xml:space="preserve"> policy </w:t>
      </w:r>
      <w:proofErr w:type="spellStart"/>
      <w:r w:rsidRPr="000164D3">
        <w:rPr>
          <w:sz w:val="24"/>
          <w:szCs w:val="24"/>
        </w:rPr>
        <w:t>documents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role</w:t>
      </w:r>
      <w:proofErr w:type="spellEnd"/>
      <w:r w:rsidRPr="000164D3">
        <w:rPr>
          <w:sz w:val="24"/>
          <w:szCs w:val="24"/>
        </w:rPr>
        <w:t xml:space="preserve"> of EU </w:t>
      </w:r>
      <w:proofErr w:type="spellStart"/>
      <w:r w:rsidRPr="000164D3">
        <w:rPr>
          <w:sz w:val="24"/>
          <w:szCs w:val="24"/>
        </w:rPr>
        <w:t>institutions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agencies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decision-making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procedures</w:t>
      </w:r>
      <w:proofErr w:type="spellEnd"/>
      <w:r w:rsidRPr="000164D3">
        <w:rPr>
          <w:sz w:val="24"/>
          <w:szCs w:val="24"/>
        </w:rPr>
        <w:t xml:space="preserve">; JHA </w:t>
      </w:r>
      <w:proofErr w:type="spellStart"/>
      <w:r w:rsidRPr="000164D3">
        <w:rPr>
          <w:sz w:val="24"/>
          <w:szCs w:val="24"/>
        </w:rPr>
        <w:t>Council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its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preparatory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bodies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r w:rsidRPr="000164D3">
        <w:rPr>
          <w:sz w:val="24"/>
          <w:szCs w:val="24"/>
        </w:rPr>
        <w:t xml:space="preserve">The </w:t>
      </w:r>
      <w:proofErr w:type="spellStart"/>
      <w:r w:rsidRPr="000164D3">
        <w:rPr>
          <w:sz w:val="24"/>
          <w:szCs w:val="24"/>
        </w:rPr>
        <w:t>Hungarian</w:t>
      </w:r>
      <w:proofErr w:type="spellEnd"/>
      <w:r w:rsidRPr="000164D3">
        <w:rPr>
          <w:sz w:val="24"/>
          <w:szCs w:val="24"/>
        </w:rPr>
        <w:t xml:space="preserve"> EU </w:t>
      </w:r>
      <w:proofErr w:type="spellStart"/>
      <w:r w:rsidRPr="000164D3">
        <w:rPr>
          <w:sz w:val="24"/>
          <w:szCs w:val="24"/>
        </w:rPr>
        <w:t>coordination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mechanism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our</w:t>
      </w:r>
      <w:proofErr w:type="spellEnd"/>
      <w:r w:rsidRPr="000164D3">
        <w:rPr>
          <w:sz w:val="24"/>
          <w:szCs w:val="24"/>
        </w:rPr>
        <w:t xml:space="preserve"> AFSJ </w:t>
      </w:r>
      <w:proofErr w:type="spellStart"/>
      <w:r w:rsidRPr="000164D3">
        <w:rPr>
          <w:sz w:val="24"/>
          <w:szCs w:val="24"/>
        </w:rPr>
        <w:t>Strategy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for</w:t>
      </w:r>
      <w:proofErr w:type="spellEnd"/>
      <w:r w:rsidRPr="000164D3">
        <w:rPr>
          <w:sz w:val="24"/>
          <w:szCs w:val="24"/>
        </w:rPr>
        <w:t xml:space="preserve"> 2009-2014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r w:rsidRPr="000164D3">
        <w:rPr>
          <w:sz w:val="24"/>
          <w:szCs w:val="24"/>
        </w:rPr>
        <w:t xml:space="preserve">Schengen and management of </w:t>
      </w:r>
      <w:proofErr w:type="spellStart"/>
      <w:r w:rsidRPr="000164D3">
        <w:rPr>
          <w:sz w:val="24"/>
          <w:szCs w:val="24"/>
        </w:rPr>
        <w:t>external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borders</w:t>
      </w:r>
      <w:proofErr w:type="spellEnd"/>
      <w:r w:rsidRPr="000164D3">
        <w:rPr>
          <w:sz w:val="24"/>
          <w:szCs w:val="24"/>
        </w:rPr>
        <w:t xml:space="preserve"> (Schengen </w:t>
      </w:r>
      <w:proofErr w:type="spellStart"/>
      <w:r w:rsidRPr="000164D3">
        <w:rPr>
          <w:sz w:val="24"/>
          <w:szCs w:val="24"/>
        </w:rPr>
        <w:t>acquis</w:t>
      </w:r>
      <w:proofErr w:type="spellEnd"/>
      <w:r w:rsidRPr="000164D3">
        <w:rPr>
          <w:sz w:val="24"/>
          <w:szCs w:val="24"/>
        </w:rPr>
        <w:t xml:space="preserve">, IBM, FRONTEX, SIS, „Schengen reform”: </w:t>
      </w:r>
      <w:proofErr w:type="spellStart"/>
      <w:r w:rsidRPr="000164D3">
        <w:rPr>
          <w:sz w:val="24"/>
          <w:szCs w:val="24"/>
        </w:rPr>
        <w:t>enhancing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Schengen </w:t>
      </w:r>
      <w:proofErr w:type="spellStart"/>
      <w:r w:rsidRPr="000164D3">
        <w:rPr>
          <w:sz w:val="24"/>
          <w:szCs w:val="24"/>
        </w:rPr>
        <w:t>governance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External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Borders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Fund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r w:rsidRPr="000164D3">
        <w:rPr>
          <w:sz w:val="24"/>
          <w:szCs w:val="24"/>
        </w:rPr>
        <w:t xml:space="preserve">Visa policy (EU </w:t>
      </w:r>
      <w:proofErr w:type="spellStart"/>
      <w:r w:rsidRPr="000164D3">
        <w:rPr>
          <w:sz w:val="24"/>
          <w:szCs w:val="24"/>
        </w:rPr>
        <w:t>Code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visas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visa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facilitation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agreements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visa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liberalisation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dialogues</w:t>
      </w:r>
      <w:proofErr w:type="spellEnd"/>
      <w:r w:rsidRPr="000164D3">
        <w:rPr>
          <w:sz w:val="24"/>
          <w:szCs w:val="24"/>
        </w:rPr>
        <w:t xml:space="preserve">; </w:t>
      </w:r>
      <w:proofErr w:type="spellStart"/>
      <w:r w:rsidRPr="000164D3">
        <w:rPr>
          <w:sz w:val="24"/>
          <w:szCs w:val="24"/>
        </w:rPr>
        <w:t>use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biometrics</w:t>
      </w:r>
      <w:proofErr w:type="spellEnd"/>
      <w:r w:rsidRPr="000164D3">
        <w:rPr>
          <w:sz w:val="24"/>
          <w:szCs w:val="24"/>
        </w:rPr>
        <w:t>, VIS)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Legal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migration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relevant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directives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Mobility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Partnerships</w:t>
      </w:r>
      <w:proofErr w:type="spellEnd"/>
      <w:r w:rsidRPr="000164D3">
        <w:rPr>
          <w:sz w:val="24"/>
          <w:szCs w:val="24"/>
        </w:rPr>
        <w:t xml:space="preserve">, EU </w:t>
      </w:r>
      <w:proofErr w:type="spellStart"/>
      <w:r w:rsidRPr="000164D3">
        <w:rPr>
          <w:sz w:val="24"/>
          <w:szCs w:val="24"/>
        </w:rPr>
        <w:t>Immigration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Portal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integration</w:t>
      </w:r>
      <w:proofErr w:type="spellEnd"/>
      <w:r w:rsidRPr="000164D3">
        <w:rPr>
          <w:sz w:val="24"/>
          <w:szCs w:val="24"/>
        </w:rPr>
        <w:t xml:space="preserve">, European </w:t>
      </w:r>
      <w:proofErr w:type="spellStart"/>
      <w:r w:rsidRPr="000164D3">
        <w:rPr>
          <w:sz w:val="24"/>
          <w:szCs w:val="24"/>
        </w:rPr>
        <w:t>Integration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Fund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Fight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against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illegal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migration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return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readmission</w:t>
      </w:r>
      <w:proofErr w:type="spellEnd"/>
      <w:r w:rsidRPr="000164D3">
        <w:rPr>
          <w:sz w:val="24"/>
          <w:szCs w:val="24"/>
        </w:rPr>
        <w:t xml:space="preserve">, EU </w:t>
      </w:r>
      <w:proofErr w:type="spellStart"/>
      <w:r w:rsidRPr="000164D3">
        <w:rPr>
          <w:sz w:val="24"/>
          <w:szCs w:val="24"/>
        </w:rPr>
        <w:t>readmission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agreements</w:t>
      </w:r>
      <w:proofErr w:type="spellEnd"/>
      <w:r w:rsidRPr="000164D3">
        <w:rPr>
          <w:sz w:val="24"/>
          <w:szCs w:val="24"/>
        </w:rPr>
        <w:t xml:space="preserve"> and policy, THB and </w:t>
      </w:r>
      <w:proofErr w:type="spellStart"/>
      <w:r w:rsidRPr="000164D3">
        <w:rPr>
          <w:sz w:val="24"/>
          <w:szCs w:val="24"/>
        </w:rPr>
        <w:t>smuggling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persons</w:t>
      </w:r>
      <w:proofErr w:type="spellEnd"/>
      <w:r w:rsidRPr="000164D3">
        <w:rPr>
          <w:sz w:val="24"/>
          <w:szCs w:val="24"/>
        </w:rPr>
        <w:t xml:space="preserve">; European </w:t>
      </w:r>
      <w:proofErr w:type="spellStart"/>
      <w:r w:rsidRPr="000164D3">
        <w:rPr>
          <w:sz w:val="24"/>
          <w:szCs w:val="24"/>
        </w:rPr>
        <w:t>Return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Fund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Asylum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Common</w:t>
      </w:r>
      <w:proofErr w:type="spellEnd"/>
      <w:r w:rsidRPr="000164D3">
        <w:rPr>
          <w:sz w:val="24"/>
          <w:szCs w:val="24"/>
        </w:rPr>
        <w:t xml:space="preserve"> European </w:t>
      </w:r>
      <w:proofErr w:type="spellStart"/>
      <w:r w:rsidRPr="000164D3">
        <w:rPr>
          <w:sz w:val="24"/>
          <w:szCs w:val="24"/>
        </w:rPr>
        <w:t>Asylum</w:t>
      </w:r>
      <w:proofErr w:type="spellEnd"/>
      <w:r w:rsidRPr="000164D3">
        <w:rPr>
          <w:sz w:val="24"/>
          <w:szCs w:val="24"/>
        </w:rPr>
        <w:t xml:space="preserve"> System – </w:t>
      </w:r>
      <w:proofErr w:type="spellStart"/>
      <w:r w:rsidRPr="000164D3">
        <w:rPr>
          <w:sz w:val="24"/>
          <w:szCs w:val="24"/>
        </w:rPr>
        <w:t>directives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regulations</w:t>
      </w:r>
      <w:proofErr w:type="spellEnd"/>
      <w:r w:rsidRPr="000164D3">
        <w:rPr>
          <w:sz w:val="24"/>
          <w:szCs w:val="24"/>
        </w:rPr>
        <w:t xml:space="preserve">; EASO, </w:t>
      </w:r>
      <w:proofErr w:type="spellStart"/>
      <w:r w:rsidRPr="000164D3">
        <w:rPr>
          <w:sz w:val="24"/>
          <w:szCs w:val="24"/>
        </w:rPr>
        <w:t>role</w:t>
      </w:r>
      <w:proofErr w:type="spellEnd"/>
      <w:r w:rsidRPr="000164D3">
        <w:rPr>
          <w:sz w:val="24"/>
          <w:szCs w:val="24"/>
        </w:rPr>
        <w:t xml:space="preserve"> of UNHCR)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Police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cooperation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operational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cooperation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between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national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authorities</w:t>
      </w:r>
      <w:proofErr w:type="spellEnd"/>
      <w:r w:rsidRPr="000164D3">
        <w:rPr>
          <w:sz w:val="24"/>
          <w:szCs w:val="24"/>
        </w:rPr>
        <w:t xml:space="preserve">; EU Policy </w:t>
      </w:r>
      <w:proofErr w:type="spellStart"/>
      <w:r w:rsidRPr="000164D3">
        <w:rPr>
          <w:sz w:val="24"/>
          <w:szCs w:val="24"/>
        </w:rPr>
        <w:t>Cycle</w:t>
      </w:r>
      <w:proofErr w:type="spellEnd"/>
      <w:r w:rsidRPr="000164D3">
        <w:rPr>
          <w:sz w:val="24"/>
          <w:szCs w:val="24"/>
        </w:rPr>
        <w:t>, EUROPOL, CEPOL)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0164D3">
        <w:rPr>
          <w:sz w:val="24"/>
          <w:szCs w:val="24"/>
        </w:rPr>
        <w:t>Civilian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crises</w:t>
      </w:r>
      <w:proofErr w:type="spellEnd"/>
      <w:r w:rsidRPr="000164D3">
        <w:rPr>
          <w:sz w:val="24"/>
          <w:szCs w:val="24"/>
        </w:rPr>
        <w:t xml:space="preserve"> management (</w:t>
      </w:r>
      <w:proofErr w:type="spellStart"/>
      <w:r w:rsidRPr="000164D3">
        <w:rPr>
          <w:sz w:val="24"/>
          <w:szCs w:val="24"/>
        </w:rPr>
        <w:t>strengthening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rule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, civil </w:t>
      </w:r>
      <w:proofErr w:type="spellStart"/>
      <w:r w:rsidRPr="000164D3">
        <w:rPr>
          <w:sz w:val="24"/>
          <w:szCs w:val="24"/>
        </w:rPr>
        <w:t>protection</w:t>
      </w:r>
      <w:proofErr w:type="spellEnd"/>
      <w:r w:rsidRPr="000164D3">
        <w:rPr>
          <w:sz w:val="24"/>
          <w:szCs w:val="24"/>
        </w:rPr>
        <w:t xml:space="preserve">, civil </w:t>
      </w:r>
      <w:proofErr w:type="spellStart"/>
      <w:r w:rsidRPr="000164D3">
        <w:rPr>
          <w:sz w:val="24"/>
          <w:szCs w:val="24"/>
        </w:rPr>
        <w:t>administration</w:t>
      </w:r>
      <w:proofErr w:type="spellEnd"/>
      <w:r w:rsidRPr="000164D3">
        <w:rPr>
          <w:bCs/>
          <w:lang w:val="en-GB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lastRenderedPageBreak/>
        <w:t>Cooperation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civil and </w:t>
      </w:r>
      <w:proofErr w:type="spellStart"/>
      <w:r w:rsidRPr="000164D3">
        <w:rPr>
          <w:sz w:val="24"/>
          <w:szCs w:val="24"/>
        </w:rPr>
        <w:t>criminal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matters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mutual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recognition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judgment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conflict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laws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jurisdiction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harmonisation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family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law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E-justice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rights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individuals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in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criminal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proceedings</w:t>
      </w:r>
      <w:proofErr w:type="spellEnd"/>
      <w:r w:rsidRPr="000164D3">
        <w:rPr>
          <w:sz w:val="24"/>
          <w:szCs w:val="24"/>
        </w:rPr>
        <w:t xml:space="preserve">, </w:t>
      </w:r>
      <w:proofErr w:type="spellStart"/>
      <w:r w:rsidRPr="000164D3">
        <w:rPr>
          <w:sz w:val="24"/>
          <w:szCs w:val="24"/>
        </w:rPr>
        <w:t>rights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victims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crimes</w:t>
      </w:r>
      <w:proofErr w:type="spellEnd"/>
      <w:r w:rsidRPr="000164D3">
        <w:rPr>
          <w:sz w:val="24"/>
          <w:szCs w:val="24"/>
        </w:rPr>
        <w:t>, EUROJUST)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External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dimension</w:t>
      </w:r>
      <w:proofErr w:type="spellEnd"/>
      <w:r w:rsidRPr="000164D3">
        <w:rPr>
          <w:sz w:val="24"/>
          <w:szCs w:val="24"/>
        </w:rPr>
        <w:t xml:space="preserve"> of AFSJ and main </w:t>
      </w:r>
      <w:proofErr w:type="spellStart"/>
      <w:r w:rsidRPr="000164D3">
        <w:rPr>
          <w:sz w:val="24"/>
          <w:szCs w:val="24"/>
        </w:rPr>
        <w:t>partners</w:t>
      </w:r>
      <w:proofErr w:type="spellEnd"/>
      <w:r w:rsidRPr="000164D3">
        <w:rPr>
          <w:sz w:val="24"/>
          <w:szCs w:val="24"/>
        </w:rPr>
        <w:t>/</w:t>
      </w:r>
      <w:proofErr w:type="spellStart"/>
      <w:r w:rsidRPr="000164D3">
        <w:rPr>
          <w:sz w:val="24"/>
          <w:szCs w:val="24"/>
        </w:rPr>
        <w:t>regions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including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links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to</w:t>
      </w:r>
      <w:proofErr w:type="spellEnd"/>
      <w:r w:rsidRPr="000164D3">
        <w:rPr>
          <w:sz w:val="24"/>
          <w:szCs w:val="24"/>
        </w:rPr>
        <w:t xml:space="preserve"> European </w:t>
      </w:r>
      <w:proofErr w:type="spellStart"/>
      <w:r w:rsidRPr="000164D3">
        <w:rPr>
          <w:sz w:val="24"/>
          <w:szCs w:val="24"/>
        </w:rPr>
        <w:t>Neighbourhood</w:t>
      </w:r>
      <w:proofErr w:type="spellEnd"/>
      <w:r w:rsidRPr="000164D3">
        <w:rPr>
          <w:sz w:val="24"/>
          <w:szCs w:val="24"/>
        </w:rPr>
        <w:t xml:space="preserve"> Policy and </w:t>
      </w:r>
      <w:proofErr w:type="spellStart"/>
      <w:r w:rsidRPr="000164D3">
        <w:rPr>
          <w:sz w:val="24"/>
          <w:szCs w:val="24"/>
        </w:rPr>
        <w:t>Eastern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Partnership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Financing</w:t>
      </w:r>
      <w:proofErr w:type="spellEnd"/>
      <w:r w:rsidRPr="000164D3">
        <w:rPr>
          <w:sz w:val="24"/>
          <w:szCs w:val="24"/>
        </w:rPr>
        <w:t xml:space="preserve"> AFSJ (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new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Multiannual</w:t>
      </w:r>
      <w:proofErr w:type="spellEnd"/>
      <w:r w:rsidRPr="000164D3">
        <w:rPr>
          <w:sz w:val="24"/>
          <w:szCs w:val="24"/>
        </w:rPr>
        <w:t xml:space="preserve"> Financial </w:t>
      </w:r>
      <w:proofErr w:type="spellStart"/>
      <w:r w:rsidRPr="000164D3">
        <w:rPr>
          <w:sz w:val="24"/>
          <w:szCs w:val="24"/>
        </w:rPr>
        <w:t>framework</w:t>
      </w:r>
      <w:proofErr w:type="spellEnd"/>
      <w:r w:rsidRPr="000164D3">
        <w:rPr>
          <w:sz w:val="24"/>
          <w:szCs w:val="24"/>
        </w:rPr>
        <w:t xml:space="preserve"> 2014 – 2020 and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new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funds</w:t>
      </w:r>
      <w:proofErr w:type="spellEnd"/>
      <w:r w:rsidRPr="000164D3">
        <w:rPr>
          <w:sz w:val="24"/>
          <w:szCs w:val="24"/>
        </w:rPr>
        <w:t>)</w:t>
      </w:r>
    </w:p>
    <w:p w:rsidR="00B40EBC" w:rsidRPr="000164D3" w:rsidRDefault="00B40EBC" w:rsidP="00B40EBC">
      <w:pPr>
        <w:numPr>
          <w:ilvl w:val="0"/>
          <w:numId w:val="1"/>
        </w:numPr>
        <w:jc w:val="both"/>
        <w:rPr>
          <w:sz w:val="24"/>
          <w:szCs w:val="24"/>
        </w:rPr>
      </w:pPr>
      <w:r w:rsidRPr="000164D3">
        <w:rPr>
          <w:sz w:val="24"/>
          <w:szCs w:val="24"/>
        </w:rPr>
        <w:t xml:space="preserve">Quo vadis AFSJ: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contours</w:t>
      </w:r>
      <w:proofErr w:type="spellEnd"/>
      <w:r w:rsidRPr="000164D3">
        <w:rPr>
          <w:sz w:val="24"/>
          <w:szCs w:val="24"/>
        </w:rPr>
        <w:t xml:space="preserve"> of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next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five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years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programme</w:t>
      </w:r>
      <w:proofErr w:type="spellEnd"/>
      <w:r w:rsidRPr="000164D3">
        <w:rPr>
          <w:sz w:val="24"/>
          <w:szCs w:val="24"/>
        </w:rPr>
        <w:t xml:space="preserve"> („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Vilnius </w:t>
      </w:r>
      <w:proofErr w:type="spellStart"/>
      <w:r w:rsidRPr="000164D3">
        <w:rPr>
          <w:sz w:val="24"/>
          <w:szCs w:val="24"/>
        </w:rPr>
        <w:t>Programme</w:t>
      </w:r>
      <w:proofErr w:type="spellEnd"/>
      <w:r w:rsidRPr="000164D3">
        <w:rPr>
          <w:sz w:val="24"/>
          <w:szCs w:val="24"/>
        </w:rPr>
        <w:t>”)</w:t>
      </w:r>
    </w:p>
    <w:p w:rsidR="00B40EBC" w:rsidRPr="000164D3" w:rsidRDefault="00B40EBC" w:rsidP="00B40EBC">
      <w:pPr>
        <w:ind w:left="1065"/>
        <w:jc w:val="both"/>
        <w:rPr>
          <w:sz w:val="24"/>
          <w:szCs w:val="24"/>
        </w:rPr>
      </w:pPr>
    </w:p>
    <w:p w:rsidR="00B40EBC" w:rsidRPr="000164D3" w:rsidRDefault="00B40EBC" w:rsidP="00B40EBC">
      <w:pPr>
        <w:ind w:left="705"/>
        <w:jc w:val="both"/>
        <w:rPr>
          <w:b/>
          <w:sz w:val="24"/>
          <w:szCs w:val="24"/>
        </w:rPr>
      </w:pPr>
      <w:proofErr w:type="spellStart"/>
      <w:r w:rsidRPr="000164D3">
        <w:rPr>
          <w:b/>
          <w:sz w:val="24"/>
          <w:szCs w:val="24"/>
        </w:rPr>
        <w:t>Reading</w:t>
      </w:r>
      <w:proofErr w:type="spellEnd"/>
      <w:r w:rsidRPr="000164D3">
        <w:rPr>
          <w:b/>
          <w:sz w:val="24"/>
          <w:szCs w:val="24"/>
        </w:rPr>
        <w:t>:</w:t>
      </w:r>
    </w:p>
    <w:p w:rsidR="00B40EBC" w:rsidRPr="000164D3" w:rsidRDefault="00B40EBC" w:rsidP="00B40EBC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lectures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given</w:t>
      </w:r>
      <w:proofErr w:type="spellEnd"/>
      <w:r w:rsidRPr="000164D3">
        <w:rPr>
          <w:sz w:val="24"/>
          <w:szCs w:val="24"/>
        </w:rPr>
        <w:t xml:space="preserve"> and </w:t>
      </w:r>
      <w:proofErr w:type="spellStart"/>
      <w:r w:rsidRPr="000164D3">
        <w:rPr>
          <w:sz w:val="24"/>
          <w:szCs w:val="24"/>
        </w:rPr>
        <w:t>the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ppt-presentations</w:t>
      </w:r>
      <w:proofErr w:type="spellEnd"/>
    </w:p>
    <w:p w:rsidR="00651B6C" w:rsidRDefault="00B40EBC" w:rsidP="00B40EBC">
      <w:proofErr w:type="spellStart"/>
      <w:r w:rsidRPr="000164D3">
        <w:rPr>
          <w:sz w:val="24"/>
          <w:szCs w:val="24"/>
        </w:rPr>
        <w:t>Peers</w:t>
      </w:r>
      <w:proofErr w:type="spellEnd"/>
      <w:r w:rsidRPr="000164D3">
        <w:rPr>
          <w:sz w:val="24"/>
          <w:szCs w:val="24"/>
        </w:rPr>
        <w:t xml:space="preserve">, Steve: EU </w:t>
      </w:r>
      <w:proofErr w:type="spellStart"/>
      <w:r w:rsidRPr="000164D3">
        <w:rPr>
          <w:sz w:val="24"/>
          <w:szCs w:val="24"/>
        </w:rPr>
        <w:t>Justice</w:t>
      </w:r>
      <w:proofErr w:type="spellEnd"/>
      <w:r w:rsidRPr="000164D3">
        <w:rPr>
          <w:sz w:val="24"/>
          <w:szCs w:val="24"/>
        </w:rPr>
        <w:t xml:space="preserve"> and Home </w:t>
      </w:r>
      <w:proofErr w:type="spellStart"/>
      <w:r w:rsidRPr="000164D3">
        <w:rPr>
          <w:sz w:val="24"/>
          <w:szCs w:val="24"/>
        </w:rPr>
        <w:t>Affairs</w:t>
      </w:r>
      <w:proofErr w:type="spellEnd"/>
      <w:r w:rsidRPr="000164D3">
        <w:rPr>
          <w:sz w:val="24"/>
          <w:szCs w:val="24"/>
        </w:rPr>
        <w:t xml:space="preserve"> Law. Oxford, OUP, 2010, 3rd </w:t>
      </w:r>
      <w:proofErr w:type="spellStart"/>
      <w:r w:rsidRPr="000164D3">
        <w:rPr>
          <w:sz w:val="24"/>
          <w:szCs w:val="24"/>
        </w:rPr>
        <w:t>edition</w:t>
      </w:r>
      <w:proofErr w:type="spellEnd"/>
      <w:r w:rsidRPr="000164D3">
        <w:rPr>
          <w:sz w:val="24"/>
          <w:szCs w:val="24"/>
        </w:rPr>
        <w:t xml:space="preserve">, 1100 </w:t>
      </w:r>
      <w:proofErr w:type="spellStart"/>
      <w:r w:rsidRPr="000164D3">
        <w:rPr>
          <w:sz w:val="24"/>
          <w:szCs w:val="24"/>
        </w:rPr>
        <w:t>pages</w:t>
      </w:r>
      <w:proofErr w:type="spellEnd"/>
      <w:r w:rsidRPr="000164D3">
        <w:rPr>
          <w:sz w:val="24"/>
          <w:szCs w:val="24"/>
        </w:rPr>
        <w:t xml:space="preserve"> (</w:t>
      </w:r>
      <w:proofErr w:type="spellStart"/>
      <w:r w:rsidRPr="000164D3">
        <w:rPr>
          <w:sz w:val="24"/>
          <w:szCs w:val="24"/>
        </w:rPr>
        <w:t>designated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chapters</w:t>
      </w:r>
      <w:proofErr w:type="spellEnd"/>
      <w:r w:rsidRPr="000164D3">
        <w:rPr>
          <w:sz w:val="24"/>
          <w:szCs w:val="24"/>
        </w:rPr>
        <w:t xml:space="preserve"> – </w:t>
      </w:r>
      <w:proofErr w:type="spellStart"/>
      <w:r w:rsidRPr="000164D3">
        <w:rPr>
          <w:sz w:val="24"/>
          <w:szCs w:val="24"/>
        </w:rPr>
        <w:t>scanned</w:t>
      </w:r>
      <w:proofErr w:type="spellEnd"/>
      <w:r w:rsidRPr="000164D3">
        <w:rPr>
          <w:sz w:val="24"/>
          <w:szCs w:val="24"/>
        </w:rPr>
        <w:t>)</w:t>
      </w:r>
    </w:p>
    <w:sectPr w:rsidR="00651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BC" w:rsidRDefault="00B40EBC" w:rsidP="00B40EBC">
      <w:r>
        <w:separator/>
      </w:r>
    </w:p>
  </w:endnote>
  <w:endnote w:type="continuationSeparator" w:id="0">
    <w:p w:rsidR="00B40EBC" w:rsidRDefault="00B40EBC" w:rsidP="00B4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BC" w:rsidRDefault="00B40EBC" w:rsidP="00B40EBC">
      <w:r>
        <w:separator/>
      </w:r>
    </w:p>
  </w:footnote>
  <w:footnote w:type="continuationSeparator" w:id="0">
    <w:p w:rsidR="00B40EBC" w:rsidRDefault="00B40EBC" w:rsidP="00B4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C" w:rsidRPr="00505E11" w:rsidRDefault="00B40EBC" w:rsidP="00B40EBC">
    <w:pPr>
      <w:pStyle w:val="lfej"/>
      <w:ind w:right="360"/>
      <w:jc w:val="center"/>
      <w:rPr>
        <w:color w:val="999999"/>
        <w:sz w:val="28"/>
        <w:szCs w:val="28"/>
      </w:rPr>
    </w:pPr>
    <w:r>
      <w:rPr>
        <w:color w:val="999999"/>
        <w:sz w:val="28"/>
        <w:szCs w:val="28"/>
      </w:rPr>
      <w:t>Európa-jogi</w:t>
    </w:r>
    <w:r w:rsidRPr="00505E11">
      <w:rPr>
        <w:color w:val="999999"/>
        <w:sz w:val="28"/>
        <w:szCs w:val="28"/>
      </w:rPr>
      <w:t xml:space="preserve"> szakjogász</w:t>
    </w:r>
    <w:r>
      <w:rPr>
        <w:color w:val="999999"/>
        <w:sz w:val="28"/>
        <w:szCs w:val="28"/>
      </w:rPr>
      <w:t xml:space="preserve"> (angol nyelven)</w:t>
    </w:r>
  </w:p>
  <w:p w:rsidR="00B40EBC" w:rsidRPr="00505E11" w:rsidRDefault="00B40EBC" w:rsidP="00B40EBC">
    <w:pPr>
      <w:pStyle w:val="lfej"/>
      <w:jc w:val="center"/>
      <w:rPr>
        <w:color w:val="999999"/>
        <w:sz w:val="24"/>
        <w:szCs w:val="24"/>
      </w:rPr>
    </w:pPr>
    <w:proofErr w:type="gramStart"/>
    <w:r w:rsidRPr="00505E11">
      <w:rPr>
        <w:color w:val="999999"/>
        <w:sz w:val="24"/>
        <w:szCs w:val="24"/>
      </w:rPr>
      <w:t>felsőfokú</w:t>
    </w:r>
    <w:proofErr w:type="gramEnd"/>
    <w:r w:rsidRPr="00505E11">
      <w:rPr>
        <w:color w:val="999999"/>
        <w:sz w:val="24"/>
        <w:szCs w:val="24"/>
      </w:rPr>
      <w:t xml:space="preserve"> szakirányú továbbképzési szak</w:t>
    </w:r>
  </w:p>
  <w:p w:rsidR="00B40EBC" w:rsidRDefault="00B40E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58AC"/>
    <w:multiLevelType w:val="hybridMultilevel"/>
    <w:tmpl w:val="D0F01214"/>
    <w:lvl w:ilvl="0" w:tplc="02CC8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43B09"/>
    <w:multiLevelType w:val="hybridMultilevel"/>
    <w:tmpl w:val="A4C6E914"/>
    <w:lvl w:ilvl="0" w:tplc="CC7424F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BC"/>
    <w:rsid w:val="00222C8B"/>
    <w:rsid w:val="006A3650"/>
    <w:rsid w:val="007B5231"/>
    <w:rsid w:val="00B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0972-BBD9-4F4A-8DF0-8CB1A772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0E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0E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0E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2</cp:revision>
  <dcterms:created xsi:type="dcterms:W3CDTF">2015-06-18T16:39:00Z</dcterms:created>
  <dcterms:modified xsi:type="dcterms:W3CDTF">2015-06-18T16:41:00Z</dcterms:modified>
</cp:coreProperties>
</file>