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59" w:rsidRDefault="00495CFD" w:rsidP="00040C59">
      <w:pPr>
        <w:spacing w:line="360" w:lineRule="auto"/>
        <w:jc w:val="center"/>
        <w:rPr>
          <w:rFonts w:asciiTheme="majorHAnsi" w:hAnsiTheme="majorHAnsi"/>
          <w:sz w:val="24"/>
          <w:szCs w:val="24"/>
          <w:lang w:val="en-GB"/>
        </w:rPr>
      </w:pPr>
      <w:r>
        <w:rPr>
          <w:rFonts w:asciiTheme="majorHAnsi" w:hAnsiTheme="majorHAnsi"/>
          <w:noProof/>
          <w:sz w:val="24"/>
          <w:szCs w:val="24"/>
        </w:rPr>
        <w:drawing>
          <wp:inline distT="0" distB="0" distL="0" distR="0">
            <wp:extent cx="4952543" cy="2181225"/>
            <wp:effectExtent l="381000" t="476250" r="438785" b="485775"/>
            <wp:docPr id="2" name="Kép 1" descr="erasmus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másolata.JPG"/>
                    <pic:cNvPicPr/>
                  </pic:nvPicPr>
                  <pic:blipFill>
                    <a:blip r:embed="rId7" cstate="print"/>
                    <a:stretch>
                      <a:fillRect/>
                    </a:stretch>
                  </pic:blipFill>
                  <pic:spPr>
                    <a:xfrm>
                      <a:off x="0" y="0"/>
                      <a:ext cx="4965821" cy="2187073"/>
                    </a:xfrm>
                    <a:prstGeom prst="rect">
                      <a:avLst/>
                    </a:prstGeom>
                    <a:solidFill>
                      <a:srgbClr val="FFFFFF">
                        <a:shade val="85000"/>
                      </a:srgbClr>
                    </a:solidFill>
                    <a:ln w="3175" cap="sq">
                      <a:solidFill>
                        <a:srgbClr val="FFFFFF"/>
                      </a:solidFill>
                      <a:miter lim="800000"/>
                    </a:ln>
                    <a:effectLst>
                      <a:glow rad="228600">
                        <a:schemeClr val="accent1">
                          <a:satMod val="175000"/>
                          <a:alpha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D801F6" w:rsidRPr="00D801F6" w:rsidRDefault="00040C59" w:rsidP="00D801F6">
      <w:pPr>
        <w:spacing w:line="240" w:lineRule="auto"/>
        <w:jc w:val="center"/>
        <w:rPr>
          <w:rFonts w:asciiTheme="majorHAnsi" w:hAnsiTheme="majorHAnsi"/>
          <w:sz w:val="24"/>
          <w:szCs w:val="24"/>
          <w:lang w:val="en-GB"/>
        </w:rPr>
      </w:pPr>
      <w:r w:rsidRPr="00D801F6">
        <w:rPr>
          <w:rFonts w:asciiTheme="majorHAnsi" w:hAnsiTheme="majorHAnsi"/>
          <w:sz w:val="24"/>
          <w:szCs w:val="24"/>
          <w:lang w:val="en-GB"/>
        </w:rPr>
        <w:t>The Erasmus Office cordi</w:t>
      </w:r>
      <w:r w:rsidR="00AD2BA6" w:rsidRPr="00D801F6">
        <w:rPr>
          <w:rFonts w:asciiTheme="majorHAnsi" w:hAnsiTheme="majorHAnsi"/>
          <w:sz w:val="24"/>
          <w:szCs w:val="24"/>
          <w:lang w:val="en-GB"/>
        </w:rPr>
        <w:t>ally invites you to the lecture</w:t>
      </w:r>
      <w:r w:rsidR="00411EB8">
        <w:rPr>
          <w:rFonts w:asciiTheme="majorHAnsi" w:hAnsiTheme="majorHAnsi"/>
          <w:sz w:val="24"/>
          <w:szCs w:val="24"/>
          <w:lang w:val="en-GB"/>
        </w:rPr>
        <w:t>s</w:t>
      </w:r>
      <w:r w:rsidR="00952FBC" w:rsidRPr="00D801F6">
        <w:rPr>
          <w:rFonts w:asciiTheme="majorHAnsi" w:hAnsiTheme="majorHAnsi"/>
          <w:sz w:val="24"/>
          <w:szCs w:val="24"/>
          <w:lang w:val="en-GB"/>
        </w:rPr>
        <w:t>:</w:t>
      </w:r>
    </w:p>
    <w:p w:rsidR="00266564" w:rsidRDefault="00CD1D14" w:rsidP="00266564">
      <w:pPr>
        <w:spacing w:after="0" w:line="240" w:lineRule="auto"/>
        <w:rPr>
          <w:rFonts w:asciiTheme="majorHAnsi" w:eastAsia="Times New Roman" w:hAnsiTheme="majorHAnsi" w:cs="Times New Roman"/>
          <w:b/>
          <w:color w:val="003399"/>
        </w:rPr>
      </w:pPr>
      <w:r w:rsidRPr="00D801F6">
        <w:rPr>
          <w:rFonts w:asciiTheme="majorHAnsi" w:hAnsiTheme="majorHAnsi"/>
          <w:b/>
          <w:iCs/>
          <w:sz w:val="28"/>
          <w:szCs w:val="28"/>
        </w:rPr>
        <w:t>Administrative Procedure in Poland</w:t>
      </w:r>
      <w:r w:rsidR="00D801F6">
        <w:rPr>
          <w:rFonts w:asciiTheme="majorHAnsi" w:hAnsiTheme="majorHAnsi"/>
          <w:sz w:val="28"/>
          <w:szCs w:val="28"/>
          <w:lang w:val="en-GB"/>
        </w:rPr>
        <w:t xml:space="preserve"> </w:t>
      </w:r>
      <w:r w:rsidR="006B7439" w:rsidRPr="00D801F6">
        <w:rPr>
          <w:rFonts w:asciiTheme="majorHAnsi" w:eastAsia="Times New Roman" w:hAnsiTheme="majorHAnsi" w:cs="Times New Roman"/>
          <w:b/>
          <w:color w:val="003399"/>
        </w:rPr>
        <w:t xml:space="preserve">April </w:t>
      </w:r>
      <w:r w:rsidRPr="00D801F6">
        <w:rPr>
          <w:rFonts w:asciiTheme="majorHAnsi" w:eastAsia="Times New Roman" w:hAnsiTheme="majorHAnsi" w:cs="Times New Roman"/>
          <w:b/>
          <w:color w:val="003399"/>
        </w:rPr>
        <w:t>20</w:t>
      </w:r>
      <w:r w:rsidR="00D801F6">
        <w:rPr>
          <w:rFonts w:asciiTheme="majorHAnsi" w:eastAsia="Times New Roman" w:hAnsiTheme="majorHAnsi" w:cs="Times New Roman"/>
          <w:b/>
          <w:color w:val="003399"/>
        </w:rPr>
        <w:t>. Mon</w:t>
      </w:r>
      <w:r w:rsidR="006B7439" w:rsidRPr="00D801F6">
        <w:rPr>
          <w:rFonts w:asciiTheme="majorHAnsi" w:eastAsia="Times New Roman" w:hAnsiTheme="majorHAnsi" w:cs="Times New Roman"/>
          <w:b/>
          <w:color w:val="003399"/>
        </w:rPr>
        <w:t xml:space="preserve"> 1</w:t>
      </w:r>
      <w:r w:rsidRPr="00D801F6">
        <w:rPr>
          <w:rFonts w:asciiTheme="majorHAnsi" w:eastAsia="Times New Roman" w:hAnsiTheme="majorHAnsi" w:cs="Times New Roman"/>
          <w:b/>
          <w:color w:val="003399"/>
        </w:rPr>
        <w:t>5</w:t>
      </w:r>
      <w:r w:rsidR="006B7439" w:rsidRPr="00D801F6">
        <w:rPr>
          <w:rFonts w:asciiTheme="majorHAnsi" w:eastAsia="Times New Roman" w:hAnsiTheme="majorHAnsi" w:cs="Times New Roman"/>
          <w:b/>
          <w:color w:val="003399"/>
        </w:rPr>
        <w:t>-</w:t>
      </w:r>
      <w:r w:rsidRPr="00D801F6">
        <w:rPr>
          <w:rFonts w:asciiTheme="majorHAnsi" w:eastAsia="Times New Roman" w:hAnsiTheme="majorHAnsi" w:cs="Times New Roman"/>
          <w:b/>
          <w:color w:val="003399"/>
        </w:rPr>
        <w:t xml:space="preserve">18 </w:t>
      </w:r>
      <w:r w:rsidR="006B7439" w:rsidRPr="00D801F6">
        <w:rPr>
          <w:rFonts w:asciiTheme="majorHAnsi" w:eastAsia="Times New Roman" w:hAnsiTheme="majorHAnsi" w:cs="Times New Roman"/>
          <w:b/>
          <w:color w:val="003399"/>
        </w:rPr>
        <w:t xml:space="preserve"> </w:t>
      </w:r>
      <w:r w:rsidRPr="00D801F6">
        <w:rPr>
          <w:rFonts w:asciiTheme="majorHAnsi" w:eastAsia="Times New Roman" w:hAnsiTheme="majorHAnsi" w:cs="Times New Roman"/>
          <w:b/>
          <w:color w:val="003399"/>
        </w:rPr>
        <w:t>Tanári klub</w:t>
      </w:r>
      <w:r w:rsidR="00D801F6">
        <w:rPr>
          <w:rFonts w:asciiTheme="majorHAnsi" w:eastAsia="Times New Roman" w:hAnsiTheme="majorHAnsi" w:cs="Times New Roman"/>
          <w:b/>
          <w:color w:val="003399"/>
        </w:rPr>
        <w:t xml:space="preserve"> (bldg</w:t>
      </w:r>
      <w:r w:rsidR="006B7439" w:rsidRPr="00D801F6">
        <w:rPr>
          <w:rFonts w:asciiTheme="majorHAnsi" w:eastAsia="Times New Roman" w:hAnsiTheme="majorHAnsi" w:cs="Times New Roman"/>
          <w:b/>
          <w:color w:val="003399"/>
        </w:rPr>
        <w:t xml:space="preserve"> A)</w:t>
      </w:r>
      <w:r w:rsidR="00D801F6">
        <w:rPr>
          <w:rFonts w:asciiTheme="majorHAnsi" w:eastAsia="Times New Roman" w:hAnsiTheme="majorHAnsi" w:cs="Times New Roman"/>
          <w:b/>
          <w:color w:val="003399"/>
        </w:rPr>
        <w:t xml:space="preserve"> </w:t>
      </w:r>
    </w:p>
    <w:p w:rsidR="00266564" w:rsidRDefault="00266564" w:rsidP="00266564">
      <w:pPr>
        <w:spacing w:after="0" w:line="240" w:lineRule="auto"/>
        <w:rPr>
          <w:rFonts w:asciiTheme="majorHAnsi" w:eastAsia="Times New Roman" w:hAnsiTheme="majorHAnsi" w:cs="Times New Roman"/>
          <w:b/>
          <w:color w:val="003399"/>
        </w:rPr>
      </w:pPr>
    </w:p>
    <w:p w:rsidR="008901CE" w:rsidRPr="00CC0EE9" w:rsidRDefault="008901CE" w:rsidP="00266564">
      <w:pPr>
        <w:spacing w:after="0" w:line="240" w:lineRule="auto"/>
        <w:rPr>
          <w:rFonts w:asciiTheme="majorHAnsi" w:hAnsiTheme="majorHAnsi"/>
          <w:sz w:val="16"/>
          <w:szCs w:val="16"/>
          <w:lang w:val="en-US"/>
        </w:rPr>
      </w:pPr>
      <w:r w:rsidRPr="00CC0EE9">
        <w:rPr>
          <w:rFonts w:asciiTheme="majorHAnsi" w:hAnsiTheme="majorHAnsi"/>
          <w:sz w:val="16"/>
          <w:szCs w:val="16"/>
          <w:lang w:val="en-US"/>
        </w:rPr>
        <w:t>Lecture concerning administrative procedure in Poland will present basic aspects of administrative procedure, especially regulated in the Code of Administrative Proceedings. This Code is one of the key legal acts in the Polish legal system due to its vast scope of application and the importance of issues governed thereby. The lecture will focus on fundamental problems including history of administrative proceedings, relation between general administrative proceedings and administrative judicial proceedings, chosen aspects of decision making process and appellate proceedings.</w:t>
      </w:r>
    </w:p>
    <w:p w:rsidR="008901CE" w:rsidRPr="00CC0EE9" w:rsidRDefault="008901CE" w:rsidP="00266564">
      <w:pPr>
        <w:spacing w:after="0" w:line="240" w:lineRule="auto"/>
        <w:rPr>
          <w:rFonts w:asciiTheme="majorHAnsi" w:hAnsiTheme="majorHAnsi"/>
          <w:sz w:val="16"/>
          <w:szCs w:val="16"/>
          <w:u w:val="single"/>
          <w:lang w:val="en-US"/>
        </w:rPr>
      </w:pPr>
      <w:r w:rsidRPr="00CC0EE9">
        <w:rPr>
          <w:rFonts w:asciiTheme="majorHAnsi" w:hAnsiTheme="majorHAnsi"/>
          <w:sz w:val="16"/>
          <w:szCs w:val="16"/>
          <w:u w:val="single"/>
          <w:lang w:val="en-US"/>
        </w:rPr>
        <w:t>Lecture schedule:</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Short history of administrative proceedings in Poland</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Administrative procedural law in the legal system</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Principles of administrative proceedings</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Parties to the proceedings</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The authorities conducting the proceedings</w:t>
      </w:r>
      <w:r w:rsidR="008C2A30">
        <w:rPr>
          <w:rFonts w:asciiTheme="majorHAnsi" w:hAnsiTheme="majorHAnsi"/>
          <w:sz w:val="16"/>
          <w:szCs w:val="16"/>
          <w:lang w:val="en-US"/>
        </w:rPr>
        <w:t xml:space="preserve"> </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Fundamental aspects of the proceedings</w:t>
      </w:r>
    </w:p>
    <w:p w:rsidR="008901CE" w:rsidRPr="00CC0EE9" w:rsidRDefault="008901CE" w:rsidP="008901CE">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 xml:space="preserve">Decisions, settlements and orders, </w:t>
      </w:r>
    </w:p>
    <w:p w:rsidR="006B7439" w:rsidRPr="00CC0EE9" w:rsidRDefault="008901CE" w:rsidP="00D801F6">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 xml:space="preserve">Appeal and appellate proceedings </w:t>
      </w:r>
    </w:p>
    <w:p w:rsidR="00266564" w:rsidRPr="00266564" w:rsidRDefault="00266564" w:rsidP="00266564">
      <w:pPr>
        <w:spacing w:after="0" w:line="240" w:lineRule="auto"/>
        <w:ind w:left="720"/>
        <w:rPr>
          <w:sz w:val="16"/>
          <w:szCs w:val="16"/>
          <w:lang w:val="en-US"/>
        </w:rPr>
      </w:pPr>
    </w:p>
    <w:p w:rsidR="00266564" w:rsidRDefault="005E22D5" w:rsidP="00266564">
      <w:pPr>
        <w:spacing w:after="0" w:line="240" w:lineRule="auto"/>
        <w:rPr>
          <w:rFonts w:asciiTheme="majorHAnsi" w:eastAsia="Times New Roman" w:hAnsiTheme="majorHAnsi" w:cs="Times New Roman"/>
          <w:b/>
          <w:color w:val="003399"/>
        </w:rPr>
      </w:pPr>
      <w:r w:rsidRPr="00D801F6">
        <w:rPr>
          <w:rFonts w:asciiTheme="majorHAnsi" w:hAnsiTheme="majorHAnsi"/>
          <w:b/>
          <w:iCs/>
          <w:sz w:val="28"/>
          <w:szCs w:val="28"/>
        </w:rPr>
        <w:t>Principles of Good Administration</w:t>
      </w:r>
      <w:r w:rsidR="00495F36">
        <w:rPr>
          <w:rFonts w:asciiTheme="majorHAnsi" w:hAnsiTheme="majorHAnsi"/>
          <w:b/>
          <w:iCs/>
          <w:sz w:val="24"/>
          <w:szCs w:val="24"/>
        </w:rPr>
        <w:t xml:space="preserve">   </w:t>
      </w:r>
      <w:r w:rsidR="008615E2" w:rsidRPr="004F726F">
        <w:rPr>
          <w:rFonts w:asciiTheme="majorHAnsi" w:eastAsia="Times New Roman" w:hAnsiTheme="majorHAnsi" w:cs="Times New Roman"/>
          <w:b/>
          <w:color w:val="003399"/>
        </w:rPr>
        <w:t xml:space="preserve">April </w:t>
      </w:r>
      <w:r w:rsidR="00CD1D14">
        <w:rPr>
          <w:rFonts w:asciiTheme="majorHAnsi" w:eastAsia="Times New Roman" w:hAnsiTheme="majorHAnsi" w:cs="Times New Roman"/>
          <w:b/>
          <w:color w:val="003399"/>
        </w:rPr>
        <w:t>21</w:t>
      </w:r>
      <w:r w:rsidR="00266564">
        <w:rPr>
          <w:rFonts w:asciiTheme="majorHAnsi" w:eastAsia="Times New Roman" w:hAnsiTheme="majorHAnsi" w:cs="Times New Roman"/>
          <w:b/>
          <w:color w:val="003399"/>
        </w:rPr>
        <w:t xml:space="preserve">. Tuesday </w:t>
      </w:r>
      <w:r w:rsidR="00CD1D14" w:rsidRPr="006B7439">
        <w:rPr>
          <w:rFonts w:asciiTheme="majorHAnsi" w:eastAsia="Times New Roman" w:hAnsiTheme="majorHAnsi" w:cs="Times New Roman"/>
          <w:b/>
          <w:color w:val="003399"/>
        </w:rPr>
        <w:t>1</w:t>
      </w:r>
      <w:r w:rsidR="00CD1D14">
        <w:rPr>
          <w:rFonts w:asciiTheme="majorHAnsi" w:eastAsia="Times New Roman" w:hAnsiTheme="majorHAnsi" w:cs="Times New Roman"/>
          <w:b/>
          <w:color w:val="003399"/>
        </w:rPr>
        <w:t>5</w:t>
      </w:r>
      <w:r w:rsidR="00CD1D14" w:rsidRPr="006B7439">
        <w:rPr>
          <w:rFonts w:asciiTheme="majorHAnsi" w:eastAsia="Times New Roman" w:hAnsiTheme="majorHAnsi" w:cs="Times New Roman"/>
          <w:b/>
          <w:color w:val="003399"/>
        </w:rPr>
        <w:t>-</w:t>
      </w:r>
      <w:r w:rsidR="00CD1D14">
        <w:rPr>
          <w:rFonts w:asciiTheme="majorHAnsi" w:eastAsia="Times New Roman" w:hAnsiTheme="majorHAnsi" w:cs="Times New Roman"/>
          <w:b/>
          <w:color w:val="003399"/>
        </w:rPr>
        <w:t xml:space="preserve">18 </w:t>
      </w:r>
      <w:r w:rsidR="00CD1D14" w:rsidRPr="006B7439">
        <w:rPr>
          <w:rFonts w:asciiTheme="majorHAnsi" w:eastAsia="Times New Roman" w:hAnsiTheme="majorHAnsi" w:cs="Times New Roman"/>
          <w:b/>
          <w:color w:val="003399"/>
        </w:rPr>
        <w:t xml:space="preserve"> </w:t>
      </w:r>
      <w:r w:rsidR="008615E2" w:rsidRPr="004F726F">
        <w:rPr>
          <w:rFonts w:asciiTheme="majorHAnsi" w:eastAsia="Times New Roman" w:hAnsiTheme="majorHAnsi" w:cs="Times New Roman"/>
          <w:b/>
          <w:color w:val="003399"/>
        </w:rPr>
        <w:t xml:space="preserve">Gy </w:t>
      </w:r>
      <w:r w:rsidR="00CD1D14">
        <w:rPr>
          <w:rFonts w:asciiTheme="majorHAnsi" w:eastAsia="Times New Roman" w:hAnsiTheme="majorHAnsi" w:cs="Times New Roman"/>
          <w:b/>
          <w:color w:val="003399"/>
        </w:rPr>
        <w:t>208</w:t>
      </w:r>
      <w:r w:rsidR="008615E2" w:rsidRPr="004F726F">
        <w:rPr>
          <w:rFonts w:asciiTheme="majorHAnsi" w:eastAsia="Times New Roman" w:hAnsiTheme="majorHAnsi" w:cs="Times New Roman"/>
          <w:b/>
          <w:color w:val="003399"/>
        </w:rPr>
        <w:t xml:space="preserve"> (building </w:t>
      </w:r>
      <w:r w:rsidR="00CD1D14">
        <w:rPr>
          <w:rFonts w:asciiTheme="majorHAnsi" w:eastAsia="Times New Roman" w:hAnsiTheme="majorHAnsi" w:cs="Times New Roman"/>
          <w:b/>
          <w:color w:val="003399"/>
        </w:rPr>
        <w:t>C</w:t>
      </w:r>
      <w:r w:rsidR="008615E2" w:rsidRPr="004F726F">
        <w:rPr>
          <w:rFonts w:asciiTheme="majorHAnsi" w:eastAsia="Times New Roman" w:hAnsiTheme="majorHAnsi" w:cs="Times New Roman"/>
          <w:b/>
          <w:color w:val="003399"/>
        </w:rPr>
        <w:t>)</w:t>
      </w:r>
    </w:p>
    <w:p w:rsidR="00266564" w:rsidRPr="00CC0EE9" w:rsidRDefault="00266564" w:rsidP="00266564">
      <w:pPr>
        <w:spacing w:after="0" w:line="240" w:lineRule="auto"/>
        <w:rPr>
          <w:rFonts w:asciiTheme="majorHAnsi" w:hAnsiTheme="majorHAnsi"/>
          <w:sz w:val="16"/>
          <w:szCs w:val="16"/>
          <w:lang w:val="en-US"/>
        </w:rPr>
      </w:pPr>
      <w:r>
        <w:rPr>
          <w:rFonts w:asciiTheme="majorHAnsi" w:eastAsia="Times New Roman" w:hAnsiTheme="majorHAnsi" w:cs="Times New Roman"/>
          <w:b/>
          <w:color w:val="003399"/>
        </w:rPr>
        <w:br/>
      </w:r>
      <w:r w:rsidRPr="00CC0EE9">
        <w:rPr>
          <w:rFonts w:asciiTheme="majorHAnsi" w:hAnsiTheme="majorHAnsi"/>
          <w:sz w:val="16"/>
          <w:szCs w:val="16"/>
          <w:lang w:val="en-US"/>
        </w:rPr>
        <w:t xml:space="preserve">Lecture will present modern standards of functioning administrative authorities in democratic countries in the prospect of European Code of Good Administrative Behavior. </w:t>
      </w:r>
    </w:p>
    <w:p w:rsidR="00266564" w:rsidRPr="00CC0EE9" w:rsidRDefault="00266564" w:rsidP="00266564">
      <w:pPr>
        <w:spacing w:after="0" w:line="240" w:lineRule="auto"/>
        <w:rPr>
          <w:rFonts w:asciiTheme="majorHAnsi" w:hAnsiTheme="majorHAnsi"/>
          <w:sz w:val="16"/>
          <w:szCs w:val="16"/>
          <w:u w:val="single"/>
          <w:lang w:val="en-US"/>
        </w:rPr>
      </w:pPr>
      <w:r w:rsidRPr="00CC0EE9">
        <w:rPr>
          <w:rFonts w:asciiTheme="majorHAnsi" w:hAnsiTheme="majorHAnsi"/>
          <w:sz w:val="16"/>
          <w:szCs w:val="16"/>
          <w:u w:val="single"/>
          <w:lang w:val="en-US"/>
        </w:rPr>
        <w:t>Lecture schedule:</w:t>
      </w:r>
    </w:p>
    <w:p w:rsidR="00266564" w:rsidRPr="00CC0EE9" w:rsidRDefault="00266564" w:rsidP="00266564">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The right to good administration</w:t>
      </w:r>
    </w:p>
    <w:p w:rsidR="00266564" w:rsidRPr="00CC0EE9" w:rsidRDefault="00266564" w:rsidP="00266564">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European Code of Good Administrative Behavior</w:t>
      </w:r>
    </w:p>
    <w:p w:rsidR="00266564" w:rsidRPr="00CC0EE9" w:rsidRDefault="00266564" w:rsidP="00266564">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The public service principles in EU</w:t>
      </w:r>
    </w:p>
    <w:p w:rsidR="00266564" w:rsidRPr="00CC0EE9" w:rsidRDefault="00266564" w:rsidP="00266564">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The fundamental principles of good administration</w:t>
      </w:r>
    </w:p>
    <w:p w:rsidR="00266564" w:rsidRPr="00CC0EE9" w:rsidRDefault="00266564" w:rsidP="00266564">
      <w:pPr>
        <w:numPr>
          <w:ilvl w:val="0"/>
          <w:numId w:val="4"/>
        </w:numPr>
        <w:spacing w:after="0" w:line="240" w:lineRule="auto"/>
        <w:rPr>
          <w:rFonts w:asciiTheme="majorHAnsi" w:hAnsiTheme="majorHAnsi"/>
          <w:sz w:val="16"/>
          <w:szCs w:val="16"/>
          <w:lang w:val="en-US"/>
        </w:rPr>
      </w:pPr>
      <w:r w:rsidRPr="00CC0EE9">
        <w:rPr>
          <w:rFonts w:asciiTheme="majorHAnsi" w:hAnsiTheme="majorHAnsi"/>
          <w:sz w:val="16"/>
          <w:szCs w:val="16"/>
          <w:lang w:val="en-US"/>
        </w:rPr>
        <w:t xml:space="preserve">Procedural aspects of good administration principles </w:t>
      </w:r>
    </w:p>
    <w:p w:rsidR="00266564" w:rsidRPr="00266564" w:rsidRDefault="00266564" w:rsidP="00266564">
      <w:pPr>
        <w:spacing w:after="0" w:line="240" w:lineRule="auto"/>
        <w:ind w:left="720"/>
        <w:rPr>
          <w:sz w:val="16"/>
          <w:szCs w:val="16"/>
          <w:lang w:val="en-US"/>
        </w:rPr>
      </w:pPr>
    </w:p>
    <w:p w:rsidR="00995606" w:rsidRPr="00D801F6" w:rsidRDefault="00D801F6" w:rsidP="00D801F6">
      <w:pPr>
        <w:spacing w:after="0" w:line="240" w:lineRule="auto"/>
        <w:jc w:val="center"/>
        <w:rPr>
          <w:rFonts w:asciiTheme="majorHAnsi" w:hAnsiTheme="majorHAnsi"/>
          <w:sz w:val="24"/>
          <w:szCs w:val="24"/>
          <w:lang w:val="en-GB"/>
        </w:rPr>
      </w:pPr>
      <w:r w:rsidRPr="00D801F6">
        <w:rPr>
          <w:rFonts w:asciiTheme="majorHAnsi" w:hAnsiTheme="majorHAnsi"/>
          <w:sz w:val="24"/>
          <w:szCs w:val="24"/>
          <w:lang w:val="en-GB"/>
        </w:rPr>
        <w:t>by</w:t>
      </w:r>
      <w:r>
        <w:rPr>
          <w:rFonts w:asciiTheme="majorHAnsi" w:hAnsiTheme="majorHAnsi"/>
          <w:b/>
          <w:sz w:val="32"/>
          <w:szCs w:val="32"/>
          <w:lang w:val="en-GB"/>
        </w:rPr>
        <w:t xml:space="preserve"> </w:t>
      </w:r>
      <w:r w:rsidR="00CD1D14" w:rsidRPr="00495F36">
        <w:rPr>
          <w:rFonts w:asciiTheme="majorHAnsi" w:hAnsiTheme="majorHAnsi"/>
          <w:b/>
          <w:sz w:val="28"/>
          <w:szCs w:val="28"/>
          <w:lang w:val="en-GB"/>
        </w:rPr>
        <w:t>Dr Maciej GAPSKI</w:t>
      </w:r>
      <w:r w:rsidR="00232A48">
        <w:rPr>
          <w:rFonts w:asciiTheme="majorHAnsi" w:hAnsiTheme="majorHAnsi"/>
          <w:b/>
          <w:sz w:val="28"/>
          <w:szCs w:val="28"/>
          <w:lang w:val="en-GB"/>
        </w:rPr>
        <w:t xml:space="preserve"> </w:t>
      </w:r>
      <w:r w:rsidR="000A2E28">
        <w:rPr>
          <w:rFonts w:asciiTheme="majorHAnsi" w:hAnsiTheme="majorHAnsi"/>
          <w:b/>
          <w:sz w:val="36"/>
          <w:szCs w:val="32"/>
          <w:lang w:val="en-GB"/>
        </w:rPr>
        <w:br/>
      </w:r>
      <w:r w:rsidR="00040C59" w:rsidRPr="000A2E28">
        <w:rPr>
          <w:rFonts w:asciiTheme="majorHAnsi" w:hAnsiTheme="majorHAnsi"/>
          <w:b/>
          <w:sz w:val="40"/>
          <w:szCs w:val="32"/>
          <w:lang w:val="en-GB"/>
        </w:rPr>
        <w:t xml:space="preserve"> </w:t>
      </w:r>
      <w:r w:rsidR="00952FBC" w:rsidRPr="00D801F6">
        <w:rPr>
          <w:rFonts w:asciiTheme="majorHAnsi" w:hAnsiTheme="majorHAnsi"/>
          <w:sz w:val="24"/>
          <w:szCs w:val="24"/>
          <w:lang w:val="en-GB"/>
        </w:rPr>
        <w:t>visiting p</w:t>
      </w:r>
      <w:r w:rsidR="00040C59" w:rsidRPr="00D801F6">
        <w:rPr>
          <w:rFonts w:asciiTheme="majorHAnsi" w:hAnsiTheme="majorHAnsi"/>
          <w:sz w:val="24"/>
          <w:szCs w:val="24"/>
          <w:lang w:val="en-GB"/>
        </w:rPr>
        <w:t>rofessor of</w:t>
      </w:r>
    </w:p>
    <w:p w:rsidR="0088117A" w:rsidRDefault="0088117A" w:rsidP="00D801F6">
      <w:pPr>
        <w:spacing w:after="0" w:line="240" w:lineRule="auto"/>
        <w:jc w:val="center"/>
        <w:rPr>
          <w:rFonts w:asciiTheme="majorHAnsi" w:hAnsiTheme="majorHAnsi"/>
          <w:b/>
          <w:sz w:val="24"/>
          <w:szCs w:val="24"/>
          <w:lang w:val="en-GB"/>
        </w:rPr>
      </w:pPr>
      <w:r w:rsidRPr="0088117A">
        <w:rPr>
          <w:rFonts w:asciiTheme="majorHAnsi" w:hAnsiTheme="majorHAnsi"/>
          <w:b/>
          <w:sz w:val="24"/>
          <w:szCs w:val="24"/>
          <w:lang w:val="en-GB"/>
        </w:rPr>
        <w:t>John Paul II Catholic University of Lublin</w:t>
      </w:r>
    </w:p>
    <w:p w:rsidR="00CD1D14" w:rsidRPr="00495CFD" w:rsidRDefault="00CA26B5" w:rsidP="00495CFD">
      <w:pPr>
        <w:tabs>
          <w:tab w:val="left" w:pos="6521"/>
        </w:tabs>
        <w:spacing w:line="360" w:lineRule="auto"/>
        <w:rPr>
          <w:rFonts w:asciiTheme="majorHAnsi" w:hAnsiTheme="majorHAnsi"/>
          <w:sz w:val="28"/>
          <w:szCs w:val="24"/>
          <w:lang w:val="en-GB"/>
        </w:rPr>
      </w:pPr>
      <w:bookmarkStart w:id="0" w:name="_GoBack"/>
      <w:bookmarkEnd w:id="0"/>
      <w:r>
        <w:rPr>
          <w:noProof/>
        </w:rPr>
        <w:drawing>
          <wp:inline distT="0" distB="0" distL="0" distR="0" wp14:anchorId="2D205AA7" wp14:editId="4D428A57">
            <wp:extent cx="1283080" cy="723900"/>
            <wp:effectExtent l="0" t="0" r="0" b="0"/>
            <wp:docPr id="5" name="Kép 5" descr="Képtalálat a következőre: „erasmu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erasmu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846" cy="779623"/>
                    </a:xfrm>
                    <a:prstGeom prst="rect">
                      <a:avLst/>
                    </a:prstGeom>
                    <a:noFill/>
                    <a:ln>
                      <a:noFill/>
                    </a:ln>
                  </pic:spPr>
                </pic:pic>
              </a:graphicData>
            </a:graphic>
          </wp:inline>
        </w:drawing>
      </w:r>
      <w:r w:rsidR="00495CFD">
        <w:rPr>
          <w:rFonts w:asciiTheme="majorHAnsi" w:hAnsiTheme="majorHAnsi"/>
          <w:sz w:val="28"/>
          <w:szCs w:val="24"/>
          <w:lang w:val="en-GB"/>
        </w:rPr>
        <w:tab/>
        <w:t xml:space="preserve">                </w:t>
      </w:r>
      <w:r w:rsidR="00B82237">
        <w:rPr>
          <w:rFonts w:asciiTheme="majorHAnsi" w:hAnsiTheme="majorHAnsi"/>
          <w:noProof/>
          <w:sz w:val="28"/>
          <w:szCs w:val="24"/>
        </w:rPr>
        <w:drawing>
          <wp:inline distT="0" distB="0" distL="0" distR="0" wp14:anchorId="0A4678DE" wp14:editId="4C97820A">
            <wp:extent cx="560705" cy="8597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859790"/>
                    </a:xfrm>
                    <a:prstGeom prst="rect">
                      <a:avLst/>
                    </a:prstGeom>
                    <a:noFill/>
                  </pic:spPr>
                </pic:pic>
              </a:graphicData>
            </a:graphic>
          </wp:inline>
        </w:drawing>
      </w:r>
      <w:r w:rsidR="00CD1D14">
        <w:rPr>
          <w:rFonts w:asciiTheme="majorHAnsi" w:hAnsiTheme="majorHAnsi"/>
          <w:sz w:val="28"/>
          <w:szCs w:val="24"/>
          <w:lang w:val="en-GB"/>
        </w:rPr>
        <w:tab/>
      </w:r>
      <w:r w:rsidR="00CD1D14">
        <w:rPr>
          <w:rFonts w:asciiTheme="majorHAnsi" w:hAnsiTheme="majorHAnsi"/>
          <w:sz w:val="28"/>
          <w:szCs w:val="24"/>
          <w:lang w:val="en-GB"/>
        </w:rPr>
        <w:tab/>
      </w:r>
      <w:r w:rsidR="00CD1D14">
        <w:rPr>
          <w:rFonts w:asciiTheme="majorHAnsi" w:hAnsiTheme="majorHAnsi"/>
          <w:sz w:val="28"/>
          <w:szCs w:val="24"/>
          <w:lang w:val="en-GB"/>
        </w:rPr>
        <w:tab/>
        <w:t xml:space="preserve">     </w:t>
      </w:r>
      <w:r w:rsidR="00CD1D14">
        <w:rPr>
          <w:rFonts w:ascii="Times New Roman" w:hAnsi="Times New Roman" w:cs="Times New Roman"/>
          <w:noProof/>
          <w:sz w:val="24"/>
          <w:szCs w:val="24"/>
        </w:rPr>
        <w:drawing>
          <wp:inline distT="0" distB="0" distL="0" distR="0" wp14:anchorId="49701BFD" wp14:editId="6CEE91D9">
            <wp:extent cx="657225" cy="400050"/>
            <wp:effectExtent l="0" t="0" r="9525" b="0"/>
            <wp:docPr id="4" name="Kép 4" descr="PAZMANY_1635_logo_csakevszam_eng_szi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ZMANY_1635_logo_csakevszam_eng_szin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00050"/>
                    </a:xfrm>
                    <a:prstGeom prst="rect">
                      <a:avLst/>
                    </a:prstGeom>
                    <a:noFill/>
                    <a:ln>
                      <a:noFill/>
                    </a:ln>
                  </pic:spPr>
                </pic:pic>
              </a:graphicData>
            </a:graphic>
          </wp:inline>
        </w:drawing>
      </w:r>
    </w:p>
    <w:sectPr w:rsidR="00CD1D14" w:rsidRPr="00495CFD" w:rsidSect="000A2E2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46" w:rsidRDefault="00665746" w:rsidP="00040C59">
      <w:pPr>
        <w:spacing w:after="0" w:line="240" w:lineRule="auto"/>
      </w:pPr>
      <w:r>
        <w:separator/>
      </w:r>
    </w:p>
  </w:endnote>
  <w:endnote w:type="continuationSeparator" w:id="0">
    <w:p w:rsidR="00665746" w:rsidRDefault="00665746" w:rsidP="0004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46" w:rsidRDefault="00665746" w:rsidP="00040C59">
      <w:pPr>
        <w:spacing w:after="0" w:line="240" w:lineRule="auto"/>
      </w:pPr>
      <w:r>
        <w:separator/>
      </w:r>
    </w:p>
  </w:footnote>
  <w:footnote w:type="continuationSeparator" w:id="0">
    <w:p w:rsidR="00665746" w:rsidRDefault="00665746" w:rsidP="0004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2F77"/>
    <w:multiLevelType w:val="hybridMultilevel"/>
    <w:tmpl w:val="D9F64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1C0409"/>
    <w:multiLevelType w:val="hybridMultilevel"/>
    <w:tmpl w:val="B6545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A6DEA"/>
    <w:multiLevelType w:val="hybridMultilevel"/>
    <w:tmpl w:val="0BD2B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25A5BF9"/>
    <w:multiLevelType w:val="hybridMultilevel"/>
    <w:tmpl w:val="3B188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20454BA"/>
    <w:multiLevelType w:val="hybridMultilevel"/>
    <w:tmpl w:val="687E4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59"/>
    <w:rsid w:val="00040C59"/>
    <w:rsid w:val="000A2E28"/>
    <w:rsid w:val="001058F1"/>
    <w:rsid w:val="00122CD7"/>
    <w:rsid w:val="00192A82"/>
    <w:rsid w:val="00232A48"/>
    <w:rsid w:val="00266564"/>
    <w:rsid w:val="002A1776"/>
    <w:rsid w:val="002D3EAD"/>
    <w:rsid w:val="00314496"/>
    <w:rsid w:val="00365C18"/>
    <w:rsid w:val="00411EB8"/>
    <w:rsid w:val="00495CFD"/>
    <w:rsid w:val="00495F36"/>
    <w:rsid w:val="004F726F"/>
    <w:rsid w:val="00556A2E"/>
    <w:rsid w:val="005C7782"/>
    <w:rsid w:val="005E22D5"/>
    <w:rsid w:val="00621988"/>
    <w:rsid w:val="0065291C"/>
    <w:rsid w:val="00665746"/>
    <w:rsid w:val="006B7439"/>
    <w:rsid w:val="00770CD8"/>
    <w:rsid w:val="007C29B1"/>
    <w:rsid w:val="007F38FC"/>
    <w:rsid w:val="008615E2"/>
    <w:rsid w:val="0088117A"/>
    <w:rsid w:val="008901CE"/>
    <w:rsid w:val="008C2A30"/>
    <w:rsid w:val="009339DD"/>
    <w:rsid w:val="00952FBC"/>
    <w:rsid w:val="00995606"/>
    <w:rsid w:val="00AD2BA6"/>
    <w:rsid w:val="00B060E4"/>
    <w:rsid w:val="00B66024"/>
    <w:rsid w:val="00B82237"/>
    <w:rsid w:val="00B82256"/>
    <w:rsid w:val="00BC34DC"/>
    <w:rsid w:val="00CA26B5"/>
    <w:rsid w:val="00CC0EE9"/>
    <w:rsid w:val="00CD1D14"/>
    <w:rsid w:val="00CD56F3"/>
    <w:rsid w:val="00D30CFF"/>
    <w:rsid w:val="00D40CFC"/>
    <w:rsid w:val="00D801F6"/>
    <w:rsid w:val="00DC3D94"/>
    <w:rsid w:val="00DE6C46"/>
    <w:rsid w:val="00E170B9"/>
    <w:rsid w:val="00E408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846E-5065-4A8D-8E50-5099081E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040C5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40C59"/>
  </w:style>
  <w:style w:type="paragraph" w:styleId="llb">
    <w:name w:val="footer"/>
    <w:basedOn w:val="Norml"/>
    <w:link w:val="llbChar"/>
    <w:uiPriority w:val="99"/>
    <w:semiHidden/>
    <w:unhideWhenUsed/>
    <w:rsid w:val="00040C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40C59"/>
  </w:style>
  <w:style w:type="paragraph" w:styleId="Buborkszveg">
    <w:name w:val="Balloon Text"/>
    <w:basedOn w:val="Norml"/>
    <w:link w:val="BuborkszvegChar"/>
    <w:uiPriority w:val="99"/>
    <w:semiHidden/>
    <w:unhideWhenUsed/>
    <w:rsid w:val="00040C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0C59"/>
    <w:rPr>
      <w:rFonts w:ascii="Tahoma" w:hAnsi="Tahoma" w:cs="Tahoma"/>
      <w:sz w:val="16"/>
      <w:szCs w:val="16"/>
    </w:rPr>
  </w:style>
  <w:style w:type="paragraph" w:styleId="Listaszerbekezds">
    <w:name w:val="List Paragraph"/>
    <w:basedOn w:val="Norml"/>
    <w:uiPriority w:val="34"/>
    <w:qFormat/>
    <w:rsid w:val="0066574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211</Words>
  <Characters>1461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Zse</dc:creator>
  <cp:lastModifiedBy>Pollák Zsuzsanna</cp:lastModifiedBy>
  <cp:revision>14</cp:revision>
  <cp:lastPrinted>2015-04-07T14:52:00Z</cp:lastPrinted>
  <dcterms:created xsi:type="dcterms:W3CDTF">2015-04-07T13:58:00Z</dcterms:created>
  <dcterms:modified xsi:type="dcterms:W3CDTF">2015-04-08T09:51:00Z</dcterms:modified>
</cp:coreProperties>
</file>