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13CA2" w14:textId="77777777" w:rsidR="00A54624" w:rsidRPr="005A2376" w:rsidRDefault="00A54624" w:rsidP="00A546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hu-HU"/>
        </w:rPr>
      </w:pPr>
      <w:bookmarkStart w:id="0" w:name="_GoBack"/>
      <w:r w:rsidRPr="005A23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hu-HU"/>
        </w:rPr>
        <w:t>II. RÉSZ</w:t>
      </w:r>
    </w:p>
    <w:p w14:paraId="04EFD35E" w14:textId="77777777" w:rsidR="00A54624" w:rsidRPr="005A2376" w:rsidRDefault="00A54624" w:rsidP="00A5462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hu-HU"/>
        </w:rPr>
      </w:pPr>
      <w:r w:rsidRPr="005A23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hu-HU"/>
        </w:rPr>
        <w:t>A kollektív szerződéskötési jog</w:t>
      </w:r>
    </w:p>
    <w:p w14:paraId="7F8C7FAE" w14:textId="77777777" w:rsidR="00A54624" w:rsidRDefault="00A54624" w:rsidP="00A54624">
      <w:pPr>
        <w:pStyle w:val="Listaszerbekezds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</w:p>
    <w:p w14:paraId="4C0B41CD" w14:textId="4F916B81" w:rsidR="00A54624" w:rsidRDefault="00A54624" w:rsidP="00A54624">
      <w:pPr>
        <w:pStyle w:val="Listaszerbekezds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Gyulavári Tamás</w:t>
      </w:r>
      <w:r w:rsidR="00D026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– Kártyás Gábor</w:t>
      </w:r>
    </w:p>
    <w:p w14:paraId="66E83E98" w14:textId="77777777" w:rsidR="00A54624" w:rsidRDefault="00A54624" w:rsidP="00A54624">
      <w:pPr>
        <w:pStyle w:val="Listaszerbekezds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</w:p>
    <w:p w14:paraId="76B64759" w14:textId="77777777" w:rsidR="00A54624" w:rsidRDefault="00A54624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49DC2462" w14:textId="083FA01B" w:rsidR="00A54624" w:rsidRDefault="002F5D35" w:rsidP="008E11F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Ebben a részben a kollektív szerződéskötési jog szabályait és azok </w:t>
      </w:r>
      <w:r w:rsidR="008E11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fejlesztésének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lehetőségeit tekintjük át. Elsőként a reprezentativitási szabályt, </w:t>
      </w:r>
      <w:r w:rsidR="008E11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ezt követően a normatív üzemi megállapodást, a koalíciós kényszert,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8E11F4" w:rsidRPr="008E11F4">
        <w:rPr>
          <w:rFonts w:ascii="Times New Roman" w:hAnsi="Times New Roman" w:cs="Times New Roman"/>
          <w:sz w:val="24"/>
          <w:szCs w:val="24"/>
          <w:lang w:eastAsia="hu-HU"/>
        </w:rPr>
        <w:t>az utóbb megszerzett reprezentativitás</w:t>
      </w:r>
      <w:r w:rsidR="008E11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t, és végül a kollektív szerződés szabályozó szerepét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vizsgáljuk. </w:t>
      </w:r>
    </w:p>
    <w:p w14:paraId="3D323CDF" w14:textId="77777777" w:rsidR="00A54624" w:rsidRDefault="00A54624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4B5616C5" w14:textId="77777777" w:rsidR="00A54624" w:rsidRPr="001116B4" w:rsidRDefault="00A54624" w:rsidP="00A54624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1" w:name="_Toc137653761"/>
      <w:r w:rsidRPr="001116B4">
        <w:rPr>
          <w:rFonts w:ascii="Times New Roman" w:hAnsi="Times New Roman" w:cs="Times New Roman"/>
          <w:b/>
          <w:sz w:val="24"/>
          <w:szCs w:val="24"/>
          <w:lang w:eastAsia="hu-HU"/>
        </w:rPr>
        <w:t>1. A 10%-os reprezentativitási szabály megfelelősége</w:t>
      </w:r>
      <w:bookmarkEnd w:id="1"/>
    </w:p>
    <w:p w14:paraId="40B462A7" w14:textId="77777777" w:rsidR="00A54624" w:rsidRPr="007868A2" w:rsidRDefault="00A54624" w:rsidP="00A5462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3396766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szakszervezet nem alanyi jogon jogosult kollektív szerződést kötni. Tekintettel a kollektív szerződés szabályozási szerepére – az egyéni munkaviszony tartalmát alakító hatására –, csak az a szakszervezet jogosult a megállapodást megkötni, amely kellő felhatalmazottsággal bír a leendő megállapodás hatálya alá tartozó munkavállalók részéről. Ennek jogi meghatározása igen érzékeny kérdés, a szerződéskötő felek milyensége ugyanis meghatározza a kollektív szerződés minőségét is.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 kell kerülni, hogy a szakszervezet már egy szűk munkavállalói csoport képviseletében is jogosult legyen kollektív szerződést kötni, amely viszont a nem szervezett, vagy más szakszervezetben tag munkavállalókra is alkalmazandó lesz.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2"/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Másfelől, a túl magasra állított követelmény mellett a munkahelyek/munkavállalók többsége kimaradhat a kollektív alku lehetőségéből, a szerződés megkötésére képes szakszervezet hiányában.</w:t>
      </w:r>
    </w:p>
    <w:p w14:paraId="2C409FE1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423CD3" w14:textId="2526286C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Pr="007868A2">
        <w:rPr>
          <w:rFonts w:ascii="Times New Roman" w:hAnsi="Times New Roman" w:cs="Times New Roman"/>
          <w:sz w:val="24"/>
          <w:szCs w:val="24"/>
        </w:rPr>
        <w:t xml:space="preserve">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1992. évi Mt. a kollektív szerződéskötéshez való jogosultságot az üzemi tanácsi választásokon elért szavazatszámhoz kötötte, az alábbi – viszonylag összetett – rendszert írva elő. A szakszervezet akkor köthetett kollektív szerződést, ha jelöltjei az üzemi tanács választáson a leadott szavazatok több mint felét megszerezték. Több</w:t>
      </w:r>
      <w:r w:rsidR="000F08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képviselettel rendelkező</w:t>
      </w:r>
      <w:r w:rsidR="000F08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szakszervezet esetén a limitet együttesen kellett teljesíteni. Ha a szakszervezeteknek nem sikerült megállapodni a kollektív szerződésről, akkor a legalább 10%-os szavazatarányt szerzett (reprezentatív) szakszervezetek köthették meg a megállapodást, feltéve, ha e szakszervezetek jelöltjei összesen megszerezték a szavazatok több mint felét. Ilyenkor a nem reprezentatív szakszervezetek támogatása már nem volt szükséges a megállapodáshoz. Végül, ha a reprezentatív szakszervezetek sem értettek egyet a megállapodás támogatásáról, úgy a 65%-ot meghaladó szavazatarányt szerzett szakszervezet egyedül is megköthette a kollektív szerződést.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3"/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E0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Itt meg kell jegyezni, hogy az Mt. jelenleg nem használja a reprezentativitás </w:t>
      </w:r>
      <w:r w:rsidR="008E09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kifejezést, de ebben a tanulmányban mi a kollektív szerződéskötési jog feltételéül használt kritériumra értjük, és ekként használjuk ezt a kifejezést.</w:t>
      </w:r>
    </w:p>
    <w:p w14:paraId="76244C6E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9519BC" w14:textId="51E8127F" w:rsidR="00A54624" w:rsidRPr="007868A2" w:rsidRDefault="008E0952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A54624"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2012 előtt hatályos lépcsőzetes rendszer igyekezett feloldani a több szakszervezet jelenlétéből eredő patthelyzeteket.</w:t>
      </w:r>
      <w:r w:rsidR="00A54624"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4"/>
      </w:r>
      <w:r w:rsidR="00A54624"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Ez </w:t>
      </w:r>
      <w:r w:rsidR="0035167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módszer azonban csak részben tükrözte </w:t>
      </w:r>
      <w:r w:rsidR="00A54624"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szakszervezet támogatását, másrészt oda vezetett, hogy a szavazatszám optimalizálása érdekében az üzemi tanácsi választásokon a szakszervezetek saját vezetőiket indították, ezzel sajátos perszonáluniót hozva létre a két eltérő funkciójú érdekképviseleti szerv között. További probléma volt, hogy lehetetlenné tette a kollektív szerződés megkötését olyan – elsősorban kis- és középvállalkozás méretű munkáltatóknál –, ahol üzemi tanács választására nem került sor.</w:t>
      </w:r>
      <w:r w:rsidR="00A54624"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5"/>
      </w:r>
    </w:p>
    <w:p w14:paraId="18093237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D8378E" w14:textId="734113C4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2012-es reform alapvető változást hozott a szakszervezetek reprezentativitási kritériumában, amely ma már az érintett munkáltató munkavállalói körében legalább 10%-os tagságot kíván meg.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6"/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Probléma ugyanakkor, hogy az országos adatok alapján a teljes szakszervezeti tagság már nem éri el a munkavállalók 10%-át, és folyamatosan, erőteljesen csökken. A KSH bevezetőben idézett, 2020-as felmérésén a munkavállalók mindössze 7,4%-a nyilatkozott úgy, hogy tagja valamely szakszervezetnek, ami még a 2015-ös adathoz (9,0%) képest is jelentős visszaesés. </w:t>
      </w:r>
      <w:r w:rsidR="003471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persze az átlagos, teljes tagságot jelenti, amely önmagában nem tükrözi a bizonyos típusú munkahelyekre koncentrált szervezettséget. De u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gyanezen adatfelvétel alapján</w:t>
      </w:r>
      <w:r w:rsidR="003471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is látszik, hogy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 ma is lehetetlen kollektív szerződést kötni a munkahelyek mintegy kétharmadában, ahol egyáltalán nincs szakszervezet. Ha tehát tovább zuhan a tagság, akkor automatikusan csökken a reprezentatív munkahelyi szakszervezetek, és ezzel együtt természetesen a kollektív szerződések száma is. Ha marad a jelenlegi szabály, akkor a kollektív szerződéses lefedettség a tagsággal együtt – nagyjából arányosan –, folyamatosan és automatikusan csökken</w:t>
      </w:r>
      <w:r w:rsidR="003471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het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majd.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Ezt a folyamatot erősíti a rendszernek az a sajátossága, hogy kollektív szerződések Magyarországon ma alapvetően csak munkahelyi szinten léteznek. </w:t>
      </w:r>
    </w:p>
    <w:p w14:paraId="08D818AF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3799BC" w14:textId="68DD10D3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egyik kézenfekvő megoldás természetesen a 10%-os küszöb csökkentése. A szakszervezeti tagság csökkenése miatt azonban </w:t>
      </w:r>
      <w:r w:rsidR="003471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lefelé irányuló spirál lenne,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egyre lejjebb és lejjebb vinnén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a kritériumot, amivel az lassan elvesztené eredeti funkcióját: a reprezentativitás garantálását. Ez tehát nem megoldaná, csak elodázná a problémát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kétségessé tenné a megállapodást kötő szakszervezetek felhatalmazottságát (legitimitását), ezért ezt nem javasoljuk.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Emellett feltételezhetően a küszöb leszállítása (például 5, vagy éppen 3%-ra) a többi itt tárgyalt, korlátozó tényező miatt nem eredményezne több kollektív szerződést.</w:t>
      </w:r>
    </w:p>
    <w:p w14:paraId="2111A8ED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8A4797" w14:textId="60704220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Régi tétel a munkajogban az, hogy a munkahelyi szintű kollektív szerződéssel jellemzett országokban igen alacsony azok lefedettsége, hiszen az nagyjából arányos a tagsággal (például USA, Kanada, Japán).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7"/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 ellenpélda viszont Franciaország, ahol mindössze 8% szakszervezeti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tag mellett 98%-os a kollektív szerződéses lefedettség, ez a magas arány azonban a kollektív szerződés hatálya kiterjesztésének köszönhető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8"/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ágazati kollektív szerződés tehát alacsonyabb szakszervezeti tagság mellett is tudja biztosítani a magas kollektív szerződéses lefedettséget, amennyiben a törvényi feltételek annak kedveznek. Ennek a titoknak a nyitja tehát az ágazati kollektív szerződések alkalmazása (kiterjesztése) lehet, hiszen így lényegesen nagyobb lefedettség érhető el. Az egyik kézenfekvő megoldás így az ágazati párbeszéd felélesztése (ennek esélyeiről lásd </w:t>
      </w:r>
      <w:r w:rsidR="000230B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erről szóló részben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 Az alacsony lefedettség strukturális oka ugyanis a munkahelyi szintű párbeszéd egyeduralma.</w:t>
      </w:r>
    </w:p>
    <w:p w14:paraId="7CE94E3C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D6B4098" w14:textId="37DD63FA" w:rsidR="00271C74" w:rsidRPr="009862D5" w:rsidRDefault="00A54624" w:rsidP="009862D5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2D5">
        <w:rPr>
          <w:rFonts w:ascii="Times New Roman" w:hAnsi="Times New Roman" w:cs="Times New Roman"/>
          <w:sz w:val="24"/>
          <w:szCs w:val="24"/>
          <w:lang w:eastAsia="hu-HU"/>
        </w:rPr>
        <w:t xml:space="preserve">Az ágazati párbeszéd ösztönzésével párhuzamosan a harmadik lehetséges megoldás az, hogy a reprezentativitást a tagok száma mellett más módon is lehessen bizonyítani. </w:t>
      </w:r>
      <w:r w:rsidR="00271C74" w:rsidRPr="009862D5">
        <w:rPr>
          <w:rFonts w:ascii="Times New Roman" w:hAnsi="Times New Roman" w:cs="Times New Roman"/>
          <w:sz w:val="24"/>
          <w:szCs w:val="24"/>
          <w:lang w:eastAsia="hu-HU"/>
        </w:rPr>
        <w:t xml:space="preserve">Ezt a megoldást az ágazati párbeszéd támogatásával párhuzamosan lehet megvalósítani. </w:t>
      </w:r>
      <w:r w:rsidRPr="009862D5">
        <w:rPr>
          <w:rFonts w:ascii="Times New Roman" w:hAnsi="Times New Roman" w:cs="Times New Roman"/>
          <w:sz w:val="24"/>
          <w:szCs w:val="24"/>
          <w:lang w:eastAsia="hu-HU"/>
        </w:rPr>
        <w:t xml:space="preserve">A kollektív szerződést a nem reprezentatív szakszervezet és a munkavállalók választott képviselői egyaránt </w:t>
      </w:r>
      <w:r w:rsidR="009862D5" w:rsidRPr="009862D5">
        <w:rPr>
          <w:rFonts w:ascii="Times New Roman" w:hAnsi="Times New Roman" w:cs="Times New Roman"/>
          <w:sz w:val="24"/>
          <w:szCs w:val="24"/>
          <w:lang w:eastAsia="hu-HU"/>
        </w:rPr>
        <w:t xml:space="preserve">tárgyalhatnák és </w:t>
      </w:r>
      <w:r w:rsidRPr="009862D5">
        <w:rPr>
          <w:rFonts w:ascii="Times New Roman" w:hAnsi="Times New Roman" w:cs="Times New Roman"/>
          <w:sz w:val="24"/>
          <w:szCs w:val="24"/>
          <w:lang w:eastAsia="hu-HU"/>
        </w:rPr>
        <w:t xml:space="preserve">aláírhatnák, függetlenül attól, hogy a szakszervezet reprezentatív-e a 10%-os szabály alapján. Eszerint, ha nincs reprezentatív szakszervezet, akkor a megállapodást a munkavállalók szavazás útján erősíthetnék meg. Ha a munkavállalók megfelelő arányban jóváhagyják a kialkudott kollektív szerződést, akkor nem sérül sem a reprezentativitási elv, sem a kollektív szerződéskötési jog egy aránytalan (túl szigorú) követelménnyel. </w:t>
      </w:r>
      <w:r w:rsidR="009862D5" w:rsidRPr="009862D5">
        <w:rPr>
          <w:rFonts w:ascii="Times New Roman" w:hAnsi="Times New Roman" w:cs="Times New Roman"/>
          <w:sz w:val="24"/>
          <w:szCs w:val="24"/>
          <w:lang w:eastAsia="hu-HU"/>
        </w:rPr>
        <w:t>Ezen</w:t>
      </w:r>
      <w:r w:rsidR="009862D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862D5" w:rsidRPr="009862D5">
        <w:rPr>
          <w:rFonts w:ascii="Times New Roman" w:hAnsi="Times New Roman" w:cs="Times New Roman"/>
          <w:sz w:val="24"/>
          <w:szCs w:val="24"/>
          <w:lang w:eastAsia="hu-HU"/>
        </w:rPr>
        <w:t>túlmenően a reprezentatív szakszervezettel folytatott k</w:t>
      </w:r>
      <w:r w:rsidR="009862D5" w:rsidRPr="009862D5">
        <w:rPr>
          <w:rFonts w:ascii="Times New Roman" w:hAnsi="Times New Roman" w:cs="Times New Roman"/>
          <w:sz w:val="24"/>
          <w:szCs w:val="24"/>
        </w:rPr>
        <w:t>ollektív szerződéses tárgyaláson a nem reprezentatív szakszervezet is részt vehetne.</w:t>
      </w:r>
    </w:p>
    <w:p w14:paraId="3699D72B" w14:textId="77777777" w:rsidR="00271C74" w:rsidRDefault="00271C7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E05F31" w14:textId="24CEFC8C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megoldás nem lenne idegen a magyar munkajogtól</w:t>
      </w:r>
      <w:r w:rsidR="004615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hiszen tételes jogilag van előzménye, bár komoly kialakult gyakorlatról nem beszélhetünk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Az 1992. évi Mt. is úgy rendelkezett, hogy ha a szakszervezet(ek) jelöltjei az üzemi tanács választáson a szavazatok több mint felét nem szerezték meg, a kollektív szerződés megkötésére irányuló tárgyalást le lehetett folytatni, de a kollektív szerződés megkötéséhez szükséges volt a munkavállalók jóváhagyása. A munkavállalóknak erről szavazni kellett. A szavazás akkor volt érvényes, ha azon az üzemi tanács választására jogosult munkavállalók több mint fele részt vett.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9"/>
      </w:r>
    </w:p>
    <w:p w14:paraId="28B0BB16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05FE21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Hátránya ugyanakkor ennek a megoldásnak, hogy a nem szervezett munkavállalók többségi támogatásának megkövetelése sem jelenthet azzal azonos súlyú garanciát, mintha a megállapodáshoz egy kellő reprezentativitást élvező, önálló jogi személy szakszervezet beleegyezése lenne szükséges. Szakszervezeti közvetítés hiányában ugyanis csak jóval kevésbé valósulhat meg a munkáltató és a munkavállalók közötti alkuerő különbség kiegyenlítése. Az is kérdéses, hogy mennyire lenne népszerű a munkavállalók körében egy ilyen megoldás.</w:t>
      </w:r>
    </w:p>
    <w:p w14:paraId="43F3083D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8FD43D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munkavállalói megerősítésre építő megoldás ugyanakkor működhetne az ágazati párbeszéd mellett, azt kiegészítve. Amennyiben a fenti (régi-új) koncepció támogatást kapna, meg lehetne állapodni a szociális partnerekkel a lényeges részletekről, különösen a szavazásnál szükséges részvételi és szavazati arányokról. Természetesen tisztában vagyunk azzal, hogy ez csak akkor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működhet, ha a munkáltatók is érdekeltek a kollektív szerződéskötésben, ezért ezzel a problémával alább részletesen foglalkozunk majd. </w:t>
      </w:r>
    </w:p>
    <w:p w14:paraId="71CE1E52" w14:textId="77777777" w:rsidR="00271C74" w:rsidRDefault="00271C7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6E1ACA" w14:textId="226473C9" w:rsidR="00271C74" w:rsidRPr="007868A2" w:rsidRDefault="00271C7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munkavállalói szavazásra épülő megoldásnál tehát a tárgyalást a nem reprezentatív szakszervezet, és a munkavállalók képviselői is lefolytathatnák. </w:t>
      </w:r>
      <w:r w:rsidR="00986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munkavállalók a letárgyalt kollektív szerződésről szavaznának. Az így kötendő kollektív szerződésre az általános munkajogi szabályokat kellene alkalmazni.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kulcskérdés a megkívánt részvételi és szavazati arány. Ha azok túl magasak, akkor ez megakadályozhatja az ilyen kezdeményezéseket, és az egész alternatív szerződéskötési megoldás sikerét. Mivel a 10%-os szervezettség a reprezentativitási alternatíva, ezért a részvételi arányt a korábbinál alacsonyabban (például 25% körül) lehetne megállapítani. A szavazásra pedig a többségi jóváhagyást (50%+1 szavazat megkövetelését) tartjuk megfelelőnek.</w:t>
      </w:r>
    </w:p>
    <w:p w14:paraId="1A06798C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71B240" w14:textId="4DA5B7AA" w:rsidR="002C224A" w:rsidRDefault="002C224A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Felmerülhet még a visszatérés az üzemi tanácsi választáson elért eredményhez. Ugyanakkor a statisztikák azt mutatják, hogy 2020-ban kevesebb munkahelyen volt üzemi tanács (16,4%), mint szakszervezet (23,4%).</w:t>
      </w:r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régi szabály tehát még rosszabb lefedettséget eredményezne. Mindezek alapján a munkavállalói szavazás intézményének szabályozását javasoljuk a fent leírt szavazati szabályokkal. Nem gondoljuk, hogy ennek azonnal érzékelhető hatása lenne a lefedettségre, d</w:t>
      </w:r>
      <w:r w:rsidR="00396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erősít</w:t>
      </w:r>
      <w:r w:rsidR="00AE65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="00396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részvétel, kollektív alku kult</w:t>
      </w:r>
      <w:r w:rsidR="00396B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ráját, és alternatív utat teremtene a reprezentatív szakszervezet nélküli munkahelyeken.</w:t>
      </w:r>
    </w:p>
    <w:p w14:paraId="75CFF22D" w14:textId="77777777" w:rsidR="002C224A" w:rsidRDefault="002C224A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8A99A4" w14:textId="079197AD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is felvethető, hogy a kollektív szerződés hatálya csak a szakszervezeti tagokra terjedjen ki, szemben az 1992 óta követett szabállyal</w:t>
      </w:r>
      <w:r w:rsidR="00271C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7868A2">
        <w:rPr>
          <w:rFonts w:ascii="Times New Roman" w:hAnsi="Times New Roman" w:cs="Times New Roman"/>
          <w:sz w:val="24"/>
          <w:szCs w:val="24"/>
        </w:rPr>
        <w:t>Ez a megoldás nyilván ösztönözné a munkavállalókat a szakszervezeti tagságra, de azonnal és érzékelhetően csökkentené a kollektív szerződési lefedettséget.</w:t>
      </w:r>
      <w:r>
        <w:rPr>
          <w:rFonts w:ascii="Times New Roman" w:hAnsi="Times New Roman" w:cs="Times New Roman"/>
          <w:sz w:val="24"/>
          <w:szCs w:val="24"/>
        </w:rPr>
        <w:t xml:space="preserve"> Ebben a tekintetben megosztott az európai munkajogi szabályozás, hiszen sok országban létezik, m</w:t>
      </w:r>
      <w:r w:rsidR="00396B0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g az országok másik nagy csoportjában nincs a kollektív szerződésnek erga omnes hatása. Mindezek alapján ezt a változtatást nem javasoljuk, mert csak tovább rontana a helyzeten a kollektív szerződés hatálya alá tartozó munkavállalók számának drasztikus csökkentésével. </w:t>
      </w:r>
    </w:p>
    <w:p w14:paraId="7134F4A1" w14:textId="77777777" w:rsidR="00A54624" w:rsidRPr="007C3410" w:rsidRDefault="00A54624" w:rsidP="00A546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799AC57" w14:textId="77777777" w:rsidR="00A54624" w:rsidRDefault="00A54624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7D755626" w14:textId="77777777" w:rsidR="00A54624" w:rsidRPr="00271C74" w:rsidRDefault="00A54624" w:rsidP="00A54624">
      <w:pPr>
        <w:pStyle w:val="Cmsor3"/>
        <w:spacing w:line="276" w:lineRule="auto"/>
        <w:rPr>
          <w:rFonts w:ascii="Times New Roman" w:eastAsia="Times New Roman" w:hAnsi="Times New Roman" w:cs="Times New Roman"/>
          <w:b/>
          <w:color w:val="auto"/>
          <w:lang w:eastAsia="hu-HU"/>
        </w:rPr>
      </w:pPr>
      <w:bookmarkStart w:id="2" w:name="_Toc137653762"/>
      <w:r w:rsidRPr="00271C74">
        <w:rPr>
          <w:rFonts w:ascii="Times New Roman" w:hAnsi="Times New Roman" w:cs="Times New Roman"/>
          <w:b/>
          <w:color w:val="auto"/>
        </w:rPr>
        <w:t>2. Normatív üzemi megállapodás: szükséges vagy szükségtelen rossz?</w:t>
      </w:r>
      <w:bookmarkEnd w:id="2"/>
    </w:p>
    <w:p w14:paraId="1976FA20" w14:textId="77777777" w:rsidR="00A54624" w:rsidRPr="007868A2" w:rsidRDefault="00A54624" w:rsidP="00A546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665D18" w14:textId="6F709936" w:rsidR="002C224A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A normatív üzemi megállapodás jogintézményének felélesztésével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Pr="007868A2">
        <w:rPr>
          <w:rFonts w:ascii="Times New Roman" w:hAnsi="Times New Roman" w:cs="Times New Roman"/>
          <w:sz w:val="24"/>
          <w:szCs w:val="24"/>
        </w:rPr>
        <w:t xml:space="preserve"> nyilvánvalóan az volt a jogalkotó szándéka, hogy olyan munkáltatók is köthessenek munkahelyi szintű kollektív szerződést, ahol nincs reprezentatív szakszervezet.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Pr="007868A2">
        <w:rPr>
          <w:rFonts w:ascii="Times New Roman" w:hAnsi="Times New Roman" w:cs="Times New Roman"/>
          <w:sz w:val="24"/>
          <w:szCs w:val="24"/>
        </w:rPr>
        <w:t xml:space="preserve"> Ez a munkahelyi szintű kollektív szerződéseket, párbeszédet kívánta előnybe hozni az egyébként is tetszhalott ágazati szintű párbeszéddel szemben. Ugyanakkor ez a megoldás dogmatikailag nem illik a magyar </w:t>
      </w:r>
      <w:r w:rsidRPr="007868A2">
        <w:rPr>
          <w:rFonts w:ascii="Times New Roman" w:hAnsi="Times New Roman" w:cs="Times New Roman"/>
          <w:sz w:val="24"/>
          <w:szCs w:val="24"/>
        </w:rPr>
        <w:lastRenderedPageBreak/>
        <w:t>munkajogi jogforrási és kollektív munkajogi rendszerbe. Így különösen az azt megkötő üzemi tanács tagjai nem élveznek védettséget, a választóktól nem kaptak szabályozási felhatalmazást, nem sztrájkolhatnak, és e megállapodásban nem szabályozhatják a munkabért.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  <w:r w:rsidRPr="007868A2">
        <w:rPr>
          <w:rFonts w:ascii="Times New Roman" w:hAnsi="Times New Roman" w:cs="Times New Roman"/>
          <w:sz w:val="24"/>
          <w:szCs w:val="24"/>
        </w:rPr>
        <w:t xml:space="preserve"> </w:t>
      </w:r>
      <w:r w:rsidR="002C224A">
        <w:rPr>
          <w:rFonts w:ascii="Times New Roman" w:hAnsi="Times New Roman" w:cs="Times New Roman"/>
          <w:sz w:val="24"/>
          <w:szCs w:val="24"/>
        </w:rPr>
        <w:t>Az utóbbi megoldás a német munkajogból ered, de ott az üzemi megállapodás az ágazati szintű kollektív szerződéseket egészíti ki, és ebből ered a bér szabályozásának kizárása (kivételekkel).</w:t>
      </w:r>
      <w:r w:rsidR="00536E4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="002C224A">
        <w:rPr>
          <w:rFonts w:ascii="Times New Roman" w:hAnsi="Times New Roman" w:cs="Times New Roman"/>
          <w:sz w:val="24"/>
          <w:szCs w:val="24"/>
        </w:rPr>
        <w:t xml:space="preserve"> Ugyanakkor a magyar rendszer ettől teljesen eltérő, ezért az ágazati szint hiányában teljesen értelmetlen a bér kizárása a tárgykörökből, és egyben értelmetlenné is teszi a jogintézményt. </w:t>
      </w:r>
    </w:p>
    <w:p w14:paraId="660E0F6C" w14:textId="77777777" w:rsidR="002C224A" w:rsidRDefault="002C224A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29ACB" w14:textId="77777777" w:rsidR="00A54624" w:rsidRPr="007868A2" w:rsidRDefault="002C224A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s</w:t>
      </w:r>
      <w:r w:rsidR="00A54624" w:rsidRPr="007868A2">
        <w:rPr>
          <w:rFonts w:ascii="Times New Roman" w:hAnsi="Times New Roman" w:cs="Times New Roman"/>
          <w:sz w:val="24"/>
          <w:szCs w:val="24"/>
        </w:rPr>
        <w:t xml:space="preserve">em tudjuk, hogy hány ilyen normatív üzemi megállapodás született 2012 óta, és milyen tartalommal. A kérdés pontosabb megítéléséhez elengedhetetlen lenne ezek folyamatos állami statisztikai (KSH) mérése és kutatása. </w:t>
      </w:r>
      <w:r>
        <w:rPr>
          <w:rFonts w:ascii="Times New Roman" w:hAnsi="Times New Roman" w:cs="Times New Roman"/>
          <w:sz w:val="24"/>
          <w:szCs w:val="24"/>
        </w:rPr>
        <w:t>A gyakorlati szakemberek tapasztalatai szerint csak elvétve lehet néhány ilyen megállapodás.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</w:p>
    <w:p w14:paraId="7BA9418C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495F7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 lehetséges megoldás kínálkozik. Az egyik az üzemi megállapodás szabályainak és jogi környezetének módosítása a fenti problémák kezelése érdekében. A problémák egy része kezelhető módosításokkal, így az üzemi tanács (elnökön túli) tagjainak védettsége megadható, a munkabér szabályozása is engedélyezhető. Ugyanakkor a sztrájkjog biztosítása és a szabályozási felhatalmazás strukturális, dogmatikai zavarokat okozna. Továbbá a munkahelyi szintű </w:t>
      </w:r>
      <w:r w:rsidR="002A36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üzemi megállapodások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ösztönzése sem kívánatos az ágazati </w:t>
      </w:r>
      <w:r w:rsidR="002A36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kollektív szerződések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rovására. A szabályozási céllal tehát részben egyetértünk (kivéve a munkahelyi szint erősítését), de a választott megoldást nem tartjuk megfelelőnek.</w:t>
      </w:r>
    </w:p>
    <w:p w14:paraId="0D39F32F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3330C5F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másik megoldás a normatív üzemi megállapodás jogintézményének hatályon kívül helyezése. Mivel az ágazati szintű párbeszéd ösztönzése és a kollektív szerződéskötési képesség fentiekben javasolt bővítése alkalmasabb a normatív üzemi megállapodás eredeti szerepének betöltésére, ezért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– álláspontunk szerint –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jogintézmény nem szükséges. Szerepét más módon is be lehet tölteni, ennek a megoldásnak a negatív hatásai nélkül. Mind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ezek alapján javasoljuk a normatív hatályú üzemi megállapodás szabályainak törlését az Mt.-ből. Amint az </w:t>
      </w:r>
      <w:r w:rsidR="002A36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gyakorlati tapasztalatokból kitűnik,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okozna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hiányt </w:t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jogintézmény kiiktatása.</w:t>
      </w:r>
    </w:p>
    <w:p w14:paraId="586E5820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37A5A3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üzemi megállapodásnak így csak az aláíró felek kapcsolatrendszerét érintően maradna szabályozási szerepe. E tekintetben viszont megőrzendőnek tartjuk azt a rugalmas megoldást, hogy az üzemi megállapodás – hasonlóan a kollektív szerződéshez – eltérhet az Mt. üzemi tanácsra vonatkozó rendelkezéseinek többségétől.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6"/>
      </w:r>
    </w:p>
    <w:p w14:paraId="1DDA18D0" w14:textId="77777777" w:rsidR="00A54624" w:rsidRDefault="00A54624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52F698B0" w14:textId="77777777" w:rsidR="00A54624" w:rsidRDefault="002A369B" w:rsidP="002A369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369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54624" w:rsidRPr="002A369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Koalíciós kényszer és az utóbb megszerzett reprezentativitás: patthelyzetek a munkavállalói oldalon </w:t>
      </w:r>
    </w:p>
    <w:p w14:paraId="594C6975" w14:textId="77777777" w:rsidR="004F6AB7" w:rsidRDefault="004F6AB7" w:rsidP="002A369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3769F51" w14:textId="77777777" w:rsidR="004F6AB7" w:rsidRPr="002A369B" w:rsidRDefault="004F6AB7" w:rsidP="002A369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3.1 A koalíciós kényszer feloldása</w:t>
      </w:r>
    </w:p>
    <w:p w14:paraId="58CAE341" w14:textId="77777777" w:rsidR="00A54624" w:rsidRPr="007868A2" w:rsidRDefault="00A54624" w:rsidP="00A546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A7D25FA" w14:textId="77777777" w:rsidR="00A54624" w:rsidRPr="007868A2" w:rsidRDefault="00A54624" w:rsidP="004F6AB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Ha a megállapodás megkötésére több szakszervezet is jogosult, akkor köthető kollektív szerződés, ha azzal valamennyien egyetértenek.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 w:rsidRPr="007868A2">
        <w:rPr>
          <w:rFonts w:ascii="Times New Roman" w:hAnsi="Times New Roman" w:cs="Times New Roman"/>
          <w:sz w:val="24"/>
          <w:szCs w:val="24"/>
        </w:rPr>
        <w:t xml:space="preserve"> Így olyan patthelyzet is kialakulhat, hogy egy 80%-os szervezettségű szakszervezet nem tud megállapodást kötni a munkáltatóval, ha annak tervezett szövegével – akár egyetlen ponton is – egy 10%-os tagságú másik szakszervezet nem ért egyet. Ez a szabály a kollektív szerződéskötés jogának aránytalan és szükségtelen korlátozása. Ez azt a csökkenő számú munkahelyet érinti, ahol jelentős, de széttagolt a szakszervezetek tagsága.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6E135" w14:textId="77777777" w:rsidR="00A54624" w:rsidRDefault="00A54624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249A6B9F" w14:textId="43E976D9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Álláspontunk szerint ugyanakkor az erőforrások pazarlása, ha a kollektív alku során a munkavállalói oldalnak az egymás közötti és nem a munkáltatóval kötendő kompromisszumra kell koncentrálnia, akkor is, ha egyébként nagy a támogatottságukban mutatkozó különbség. Ezért</w:t>
      </w:r>
      <w:r w:rsidRPr="007868A2">
        <w:rPr>
          <w:rFonts w:ascii="Times New Roman" w:hAnsi="Times New Roman" w:cs="Times New Roman"/>
          <w:sz w:val="24"/>
          <w:szCs w:val="24"/>
        </w:rPr>
        <w:t xml:space="preserve"> célszerű lenne visszatérni az 1992. évi Mt. megoldásához. Így főszabály szerint a reprezentatív szakszervezetek közösen jogosultak megállapodást kötni, ám megegyezés hiányában a megállapodásból kihagyhatóak egy bizonyos arányú tagság alatt álló szakszervezetek. A pontos arányokat a szociális partnerekkel való egyeztetés útján kellene meghatározni.</w:t>
      </w:r>
      <w:r w:rsidR="004F6AB7">
        <w:rPr>
          <w:rFonts w:ascii="Times New Roman" w:hAnsi="Times New Roman" w:cs="Times New Roman"/>
          <w:sz w:val="24"/>
          <w:szCs w:val="24"/>
        </w:rPr>
        <w:t xml:space="preserve"> Ugyanakkor egy túl magas arány meghatározása lehetetlenné tenné az új megoldási mód alkalmazását.</w:t>
      </w:r>
    </w:p>
    <w:p w14:paraId="531F8389" w14:textId="77777777" w:rsidR="004F6AB7" w:rsidRDefault="004F6AB7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5F143" w14:textId="77777777" w:rsidR="004F6AB7" w:rsidRPr="004F6AB7" w:rsidRDefault="004F6AB7" w:rsidP="00A5462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B7">
        <w:rPr>
          <w:rFonts w:ascii="Times New Roman" w:hAnsi="Times New Roman" w:cs="Times New Roman"/>
          <w:b/>
          <w:sz w:val="24"/>
          <w:szCs w:val="24"/>
        </w:rPr>
        <w:t>3.2 Az utólag megszerzett reprezentativitás problémája</w:t>
      </w:r>
    </w:p>
    <w:p w14:paraId="2E059705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F6213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A koalíció</w:t>
      </w:r>
      <w:r w:rsidR="004F6AB7">
        <w:rPr>
          <w:rFonts w:ascii="Times New Roman" w:hAnsi="Times New Roman" w:cs="Times New Roman"/>
          <w:sz w:val="24"/>
          <w:szCs w:val="24"/>
        </w:rPr>
        <w:t>s</w:t>
      </w:r>
      <w:r w:rsidRPr="007868A2">
        <w:rPr>
          <w:rFonts w:ascii="Times New Roman" w:hAnsi="Times New Roman" w:cs="Times New Roman"/>
          <w:sz w:val="24"/>
          <w:szCs w:val="24"/>
        </w:rPr>
        <w:t xml:space="preserve"> kényszernél is súlyosabb torzulásokat okozhat a kollektív szerződéskötési jogosultság és a szakszervezetek valós támogatottsága között az utólag megszerzett reprezentativitás problémája. Még az 1992. évi Mt. hatálya alatt alakult ki a bírói gyakorlatban az a dogma, amely szerint a kollektív szerződést csak azok a felek módosíthatják, amelyek azt megkötötték.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  <w:r w:rsidRPr="007868A2">
        <w:rPr>
          <w:rFonts w:ascii="Times New Roman" w:hAnsi="Times New Roman" w:cs="Times New Roman"/>
          <w:sz w:val="24"/>
          <w:szCs w:val="24"/>
        </w:rPr>
        <w:t xml:space="preserve"> Ezt a jogtételt az Mt. kifejezetten beépítette szabályai közé, csak tanácskozási jogot adva a kollektív szerződés módosításáról szóló tárgyalásokon a 10%-os limitet a megállapodás megkötését követően elérő szakszervezetnek.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9"/>
      </w:r>
      <w:r w:rsidRPr="00786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242C6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97E5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Ez a rendelkezés nem veszi figyelembe, hogy a szakszervezetek támogatottsága idővel jelentősen változhat. Például, a szerződés megkötéskor 20%-os szervezettségű szakszervezet még abban az esetben is jogosult az általa kötött kollektív szerződés módosítására, ha időközben taglétszáma jelentősen esett, és alig haladja meg a minimális 10%-ot. Megfordítva: hiába lesz akár 60% feletti tagsága egy szakszervezetnek a munkáltatónál, ha az éppen hatályos kollektív szerződés megkötésében nem vett részt félként, úgy azt nem módosíthatja és nem is mondhatja fel.</w:t>
      </w:r>
      <w:r w:rsidRPr="007868A2">
        <w:rPr>
          <w:rFonts w:ascii="Times New Roman" w:hAnsi="Times New Roman" w:cs="Times New Roman"/>
        </w:rPr>
        <w:t xml:space="preserve"> </w:t>
      </w:r>
      <w:r w:rsidRPr="007868A2">
        <w:rPr>
          <w:rFonts w:ascii="Times New Roman" w:hAnsi="Times New Roman" w:cs="Times New Roman"/>
          <w:sz w:val="24"/>
          <w:szCs w:val="24"/>
        </w:rPr>
        <w:t xml:space="preserve">Törvényes lehetőségeit és eszköztárát pedig tovább nehezíti, hogy az utóbb támogatottságot szerzett szakszervezet a munkaharc legális eszközével sem élhet, mivel a sztrájktörvény szerint </w:t>
      </w:r>
      <w:r w:rsidRPr="007868A2">
        <w:rPr>
          <w:rFonts w:ascii="Times New Roman" w:hAnsi="Times New Roman" w:cs="Times New Roman"/>
          <w:sz w:val="24"/>
          <w:szCs w:val="24"/>
        </w:rPr>
        <w:lastRenderedPageBreak/>
        <w:t>jogellenes a sztrájk kollektív szerződésben rögzített megállapodás megváltoztatása érdekében a kollektív szerződés hatályának ideje alatt.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</w:p>
    <w:p w14:paraId="03581099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18057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A törvényi szabályozás ellentmondásait ráadásul tovább fokozza az – álláspontunk szerint téves – bírói gyakorlat. A Kúria ugyanis egy ügyben úgy foglalt állást, hogy az Mt. kizárólag a kollektív szerződés megkötése tekintetében tartalmaz olyan rendelkezést, amely a 10%-os létszámhoz köti az aláírási jogosultságot. Ebből viszont nem következik, hogy a kollektív szerződés megkötésre jogosult fél annak módosításából kizárható lenne. Azaz, a Kúria értelmezése szerint a kollektív szerződést megkötő szakszervezet – taglétszámától függetlenül – mindaddig jogosult a megállapodás módosítására, illetve felmondására, amíg az hatályban van.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1"/>
      </w:r>
      <w:r w:rsidRPr="007868A2">
        <w:rPr>
          <w:rFonts w:ascii="Times New Roman" w:hAnsi="Times New Roman" w:cs="Times New Roman"/>
          <w:sz w:val="24"/>
          <w:szCs w:val="24"/>
        </w:rPr>
        <w:t xml:space="preserve"> Több tanulmány rámutatott már, hogy mennyire viszonylagos a szerződésekre vonatkozó polgári jogi dogmatika alapján megoldani ezt az esetet, ugyanakkor milyen kezelhetetlen helyzeteket szül ez az értelmezés.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2"/>
      </w:r>
    </w:p>
    <w:p w14:paraId="572583BD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C658" w14:textId="77777777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A probléma alapja a kollektív szerződés kettős természetében ragadható meg, miszerint a munkavállalók egyéni munkaviszonyát érdemben alakító kollektív szerződés nem tekinthető magánjogi szerződésnek, hiszen kvázi jogforrási szerepe van.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3"/>
      </w:r>
      <w:r w:rsidRPr="007868A2">
        <w:rPr>
          <w:rFonts w:ascii="Times New Roman" w:hAnsi="Times New Roman" w:cs="Times New Roman"/>
          <w:sz w:val="24"/>
          <w:szCs w:val="24"/>
        </w:rPr>
        <w:t xml:space="preserve"> Álláspontunk szerint a kollektív szerződéskötési képesség valójában szabályozási képességet jelent, és így tévedés erre a (magánjogi) szerződések módosítására és felmondására vonatkozó dogmatikát alkalmazni. </w:t>
      </w:r>
    </w:p>
    <w:p w14:paraId="71351241" w14:textId="77777777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A4439" w14:textId="77777777" w:rsidR="0046061D" w:rsidRDefault="00A54624" w:rsidP="004606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Ehely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68A2">
        <w:rPr>
          <w:rFonts w:ascii="Times New Roman" w:hAnsi="Times New Roman" w:cs="Times New Roman"/>
          <w:sz w:val="24"/>
          <w:szCs w:val="24"/>
        </w:rPr>
        <w:t>tt azt a megoldást javasoljuk, hogy ha egy szakszervezet a kollektív szerződés megkötését követően felel meg a szakszervezet kollektív szerződéskötési jogosultságához előírt feltételnek, úgy a kollektív szerződésben részes félnek kell tekinteni, amint a feltétel teljesítését a többi fél felé igazolja. Ezt követően a többi aláíró szakszervezettel egyező feltételekkel jogosult azt módosítani, illetve felmondani.</w:t>
      </w:r>
      <w:r>
        <w:rPr>
          <w:rFonts w:ascii="Times New Roman" w:hAnsi="Times New Roman" w:cs="Times New Roman"/>
          <w:sz w:val="24"/>
          <w:szCs w:val="24"/>
        </w:rPr>
        <w:t xml:space="preserve"> Ahogy arra több interjú partnerünk rámutatott, ettől a szabálytól önmagában nem születne több kollektív szerződés, ám mindenképpen szükséges az érdemi, a valós szakszervezeti támogatottságon alapuló kollektív alkuhoz.</w:t>
      </w:r>
    </w:p>
    <w:p w14:paraId="50E7F4E1" w14:textId="77777777" w:rsidR="0046061D" w:rsidRDefault="0046061D" w:rsidP="004606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A4216" w14:textId="1D6D0FCD" w:rsidR="00010276" w:rsidRDefault="004D57F7" w:rsidP="004606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legújabb fejlemény az Alkotmánybíróság 2023. szeptemberi határozata</w:t>
      </w:r>
      <w:r w:rsidR="009862D5">
        <w:rPr>
          <w:rStyle w:val="Lbjegyzet-hivatkozs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footnoteReference w:id="24"/>
      </w:r>
      <w:r w:rsidRPr="004606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amely azon az alapon semmisítette meg az érintett szabályt, hogy </w:t>
      </w:r>
      <w:r w:rsidR="0046061D" w:rsidRPr="0046061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ésszerűtlen különbségtétel</w:t>
      </w:r>
      <w:r w:rsidR="00010276">
        <w:rPr>
          <w:rFonts w:ascii="Times New Roman" w:eastAsia="Times New Roman" w:hAnsi="Times New Roman" w:cs="Times New Roman"/>
          <w:sz w:val="24"/>
          <w:szCs w:val="24"/>
          <w:lang w:eastAsia="hu-HU"/>
        </w:rPr>
        <w:t>t jelent</w:t>
      </w:r>
      <w:r w:rsidR="0046061D" w:rsidRPr="00460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kollektív szerződéskötési képességgel rendelkező </w:t>
      </w:r>
      <w:r w:rsidR="000102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reprezentatív </w:t>
      </w:r>
      <w:r w:rsidR="0046061D" w:rsidRPr="00460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szakszervezetek között. </w:t>
      </w:r>
      <w:r w:rsidRPr="00460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megsemmisítést követően a munka törvénykönyvéről szóló </w:t>
      </w:r>
      <w:hyperlink r:id="rId8" w:history="1">
        <w:r w:rsidRPr="0046061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Mt. 276. § (8) bekezdés</w:t>
        </w:r>
      </w:hyperlink>
      <w:r w:rsidRPr="004606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következő szöveggel marad hatályban: „Az a szakszervezet (szakszervezeti szövetség), amely a kollektív szerződés megkötését követően felel meg a (2) bekezdésben meghatározott </w:t>
      </w:r>
      <w:r w:rsidRPr="0046061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feltételnek, jogosult a kollektív szerződés módosítását kezdeményezni, és a módosítással kapcsolatos tárgyaláson részt venni.”</w:t>
      </w:r>
    </w:p>
    <w:p w14:paraId="37B64AD7" w14:textId="77777777" w:rsidR="00010276" w:rsidRDefault="00010276" w:rsidP="004606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1F5E4" w14:textId="77777777" w:rsidR="00010276" w:rsidRDefault="0046061D" w:rsidP="004606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Bár az alkotmánybírósági határozat részben kezelte a </w:t>
      </w:r>
      <w:r w:rsidR="00DE7FA6">
        <w:rPr>
          <w:rFonts w:ascii="Times New Roman" w:hAnsi="Times New Roman" w:cs="Times New Roman"/>
          <w:sz w:val="24"/>
          <w:szCs w:val="24"/>
        </w:rPr>
        <w:t>kérdést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ugyanakkor két probléma megmaradt</w:t>
      </w:r>
      <w:r w:rsidR="004D57F7" w:rsidRPr="008046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Egyrészt, a bírói gyakorlat továbbra is kritizálható azon az alapon, hogy nem értelmezi dinamikus módon a reprezentativitást. </w:t>
      </w:r>
      <w:r w:rsidR="00010276">
        <w:rPr>
          <w:rFonts w:ascii="Times New Roman" w:hAnsi="Times New Roman" w:cs="Times New Roman"/>
          <w:sz w:val="24"/>
          <w:szCs w:val="24"/>
          <w:lang w:val="en-GB"/>
        </w:rPr>
        <w:t>Ezzel szemben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zt javasoljuk, hogy ha egy szakszervezet elveszíti a reprezentativitását, akkor ne legyen jogosult a hatályban lévő kollektív szerződést módosítani, vagy felmondani. Másrészt, az alkotmánybírósági határozatból kitűnik, hogy </w:t>
      </w:r>
      <w:r w:rsidR="00010276">
        <w:rPr>
          <w:rFonts w:ascii="Times New Roman" w:hAnsi="Times New Roman" w:cs="Times New Roman"/>
          <w:sz w:val="24"/>
          <w:szCs w:val="24"/>
          <w:lang w:val="en-GB"/>
        </w:rPr>
        <w:t xml:space="preserve">alkotmányellenes a </w:t>
      </w:r>
      <w:r>
        <w:rPr>
          <w:rFonts w:ascii="Times New Roman" w:hAnsi="Times New Roman" w:cs="Times New Roman"/>
          <w:sz w:val="24"/>
          <w:szCs w:val="24"/>
          <w:lang w:val="en-GB"/>
        </w:rPr>
        <w:t>különbségtétel a reprezentatív szakszervezetek között a kollektív szerződéskötés terén, függetlenül attól, hogy mikor szerezték meg a reprezentativitást (a hatályban lévő kollektív szerződés megkötése előtt, vagy után). Ugyanakkor</w:t>
      </w:r>
      <w:r w:rsidR="004D57F7" w:rsidRPr="008046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az Mt. </w:t>
      </w:r>
      <w:r w:rsidR="00010276">
        <w:rPr>
          <w:rFonts w:ascii="Times New Roman" w:hAnsi="Times New Roman" w:cs="Times New Roman"/>
          <w:sz w:val="24"/>
          <w:szCs w:val="24"/>
          <w:lang w:val="en-GB"/>
        </w:rPr>
        <w:t xml:space="preserve">276. § (8) bekezdése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még </w:t>
      </w:r>
      <w:r w:rsidR="00010276">
        <w:rPr>
          <w:rFonts w:ascii="Times New Roman" w:hAnsi="Times New Roman" w:cs="Times New Roman"/>
          <w:sz w:val="24"/>
          <w:szCs w:val="24"/>
          <w:lang w:val="en-GB"/>
        </w:rPr>
        <w:t xml:space="preserve">mindig azt írja elő, hogy a kollektív szerződés megkötését követően reprezentatívvá váló szakszervezet csak módosíthatja a hatályban lévő kollektív szerződést, de a felmondás joga nincs biztosítva számára </w:t>
      </w:r>
      <w:r w:rsidR="00771B8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10276">
        <w:rPr>
          <w:rFonts w:ascii="Times New Roman" w:hAnsi="Times New Roman" w:cs="Times New Roman"/>
          <w:sz w:val="24"/>
          <w:szCs w:val="24"/>
          <w:lang w:val="en-GB"/>
        </w:rPr>
        <w:t xml:space="preserve"> normaszövegben. </w:t>
      </w:r>
      <w:r w:rsidR="00771B8B">
        <w:rPr>
          <w:rFonts w:ascii="Times New Roman" w:hAnsi="Times New Roman" w:cs="Times New Roman"/>
          <w:sz w:val="24"/>
          <w:szCs w:val="24"/>
          <w:lang w:val="en-GB"/>
        </w:rPr>
        <w:t>Álláspontunk szerint a</w:t>
      </w:r>
      <w:r w:rsidR="00010276">
        <w:rPr>
          <w:rFonts w:ascii="Times New Roman" w:hAnsi="Times New Roman" w:cs="Times New Roman"/>
          <w:sz w:val="24"/>
          <w:szCs w:val="24"/>
          <w:lang w:val="en-GB"/>
        </w:rPr>
        <w:t xml:space="preserve"> jogbiztonság elve megkívánja ennek </w:t>
      </w:r>
      <w:r w:rsidR="00771B8B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010276">
        <w:rPr>
          <w:rFonts w:ascii="Times New Roman" w:hAnsi="Times New Roman" w:cs="Times New Roman"/>
          <w:sz w:val="24"/>
          <w:szCs w:val="24"/>
          <w:lang w:val="en-GB"/>
        </w:rPr>
        <w:t xml:space="preserve">tételes jogi rögzítését. </w:t>
      </w:r>
    </w:p>
    <w:p w14:paraId="34231939" w14:textId="77777777" w:rsidR="004D57F7" w:rsidRDefault="004D57F7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418B810A" w14:textId="77777777" w:rsidR="00A54624" w:rsidRPr="00010276" w:rsidRDefault="00771B8B" w:rsidP="00010276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A54624" w:rsidRPr="0001027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Egy lehetséges megoldás: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a k</w:t>
      </w:r>
      <w:r w:rsidR="00A54624" w:rsidRPr="00010276">
        <w:rPr>
          <w:rFonts w:ascii="Times New Roman" w:hAnsi="Times New Roman" w:cs="Times New Roman"/>
          <w:b/>
          <w:sz w:val="24"/>
          <w:szCs w:val="24"/>
          <w:lang w:eastAsia="hu-HU"/>
        </w:rPr>
        <w:t>ötelező kollektív szerződés?</w:t>
      </w:r>
    </w:p>
    <w:p w14:paraId="1FE2349A" w14:textId="77777777" w:rsidR="00A54624" w:rsidRPr="007868A2" w:rsidRDefault="00A54624" w:rsidP="00A546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08B4DD" w14:textId="77777777" w:rsidR="00A54624" w:rsidRDefault="00771B8B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2023-ban felvett</w:t>
      </w:r>
      <w:r w:rsidR="00A54624"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546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="00A54624"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nline kérdőívünk</w:t>
      </w:r>
      <w:r w:rsidR="00A546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kitöltői közül </w:t>
      </w:r>
      <w:r w:rsidR="00A54624"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</w:t>
      </w:r>
      <w:r w:rsidR="00A54624" w:rsidRPr="007868A2">
        <w:rPr>
          <w:rFonts w:ascii="Times New Roman" w:eastAsia="Times New Roman" w:hAnsi="Times New Roman" w:cs="Times New Roman"/>
          <w:sz w:val="24"/>
          <w:szCs w:val="24"/>
          <w:lang w:eastAsia="hu-HU"/>
        </w:rPr>
        <w:t>yolc válaszadó fogalmazott meg olyan véleményt, hogy a kollektív szerződést kötelezővé kellene tenni. Néhányan ezt úgy finomították, hogy csak egy bizonyos munkavállalói létszám felett</w:t>
      </w:r>
      <w:r w:rsidR="00A5462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54624" w:rsidRPr="007868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csak a szakszervezet tárgyalási kezdeményezésére lenne kötelező a megállapodás.</w:t>
      </w:r>
      <w:r w:rsidR="00A546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Mások pozitív irányból tennék</w:t>
      </w:r>
      <w:r w:rsidR="00A54624" w:rsidRPr="007868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kötelezővé a kollektív szerződést, azaz bizonyos állami pályázatok, támogatások esetén feltétel lenne a munkáltatónál hatályos kollektív szerződés. Ugyanakkor az egyik válaszadó kifejezetten a kötelezővé tétel ellen foglalt állást, utalva arra, hogy ez csak növelné a kollektív alkuval, illetve a szakszervezetekkel szembeni ellenérzéseket, illetve a „muszáj-szerződések” tartalma bizonyára silány lenne.</w:t>
      </w:r>
    </w:p>
    <w:p w14:paraId="1D0F4F9D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6DFEE4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8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Noha kétségkívül a lefedettségi mutató gyors és látványos javulását remélhetnénk egy ilyen megoldástól, álláspontunk szerint ez tévút lenne. A kollektív szerződés jogintézményének lényegi eleme a kollektív alku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önkéntessége</w:t>
      </w:r>
      <w:r w:rsidRPr="00ED2818">
        <w:rPr>
          <w:rFonts w:ascii="Times New Roman" w:eastAsia="Times New Roman" w:hAnsi="Times New Roman" w:cs="Times New Roman"/>
          <w:sz w:val="24"/>
          <w:szCs w:val="24"/>
          <w:lang w:eastAsia="hu-HU"/>
        </w:rPr>
        <w:t>. Ezt jelentősen csorbítaná, ha a feleket nem a megegyezési készség, hanem jogi kötelezettség ültetné tárgyalóasztalhoz. Nyilván más tartalmú megállapodások születnek akkor, ha valamelyik félnek (akár mindkettőnek) jogi szankciókkal kellene számolnia a tárgyalások eredménytelensége esetén.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9D86E42" w14:textId="77777777" w:rsidR="00A54624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0AB684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Ráadásul meglátásunk szerint a kötelezés bármilyen (akár közvetett) formája </w:t>
      </w:r>
      <w:r w:rsidR="00771B8B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 oldaná meg azt az alapvető strukturális problémát, hogy számos esetben hiányzik a kollektív szerződéshez szükséges tárgyalópartner. A szakszervezeti oldalon nyilvánvaló ez a kis- és középvállalkozások esetén, de munkáltatói oldalon is aggályos a helyzet ágazati szinten. Erősen kétségessé tenné a felek függetlenségét – ami az érdemi kollektív alku elvi előfeltétele –, ha a munkáltatói oldal abban lenne érdekelt, hogy maga ösztönözze a munkavállalókat a szakszervezet alapítására és/vagy a szerződéskötési jog megszerzéséhez szükséges taglétszám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elérésére. Ezért összességében nem támogatjuk a kollektív szerződés megkötésére kötelező megoldásokat.</w:t>
      </w:r>
    </w:p>
    <w:p w14:paraId="4908A5F1" w14:textId="77777777" w:rsidR="00A54624" w:rsidRDefault="00A54624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6BD2ED08" w14:textId="77777777" w:rsidR="00A54624" w:rsidRPr="007868A2" w:rsidRDefault="00771B8B" w:rsidP="00A54624">
      <w:pPr>
        <w:pStyle w:val="Cmsor2"/>
        <w:spacing w:line="276" w:lineRule="auto"/>
      </w:pPr>
      <w:r>
        <w:t xml:space="preserve">5. </w:t>
      </w:r>
      <w:r w:rsidR="00A54624" w:rsidRPr="007868A2">
        <w:t>A kollektív szerződés szabályozó szerepe: újratervezés</w:t>
      </w:r>
    </w:p>
    <w:p w14:paraId="15DC4DFC" w14:textId="77777777" w:rsidR="00A54624" w:rsidRPr="007868A2" w:rsidRDefault="00A54624" w:rsidP="00A546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A87C9C" w14:textId="4DB9CDA6" w:rsidR="00344FB0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2012 óta hatályos rendelkezés szerint a kollektív szerződés főszabály szerint az Mt. II. és III. részétől – akár a munkavállaló javára, akár hátrányára – eltérhet.</w:t>
      </w:r>
      <w:r w:rsidRPr="007868A2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25"/>
      </w:r>
      <w:r w:rsidRPr="0078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868A2">
        <w:rPr>
          <w:rFonts w:ascii="Times New Roman" w:hAnsi="Times New Roman" w:cs="Times New Roman"/>
          <w:sz w:val="24"/>
          <w:szCs w:val="24"/>
        </w:rPr>
        <w:t>Ezzel az Mt. a kollektív autonómiának, a felek kollektív szerződéses szabadságának rendkívül széles, a magyar munkajogban eddig soha nem alkalmazott kereteit hozta létre.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6"/>
      </w:r>
      <w:r w:rsidR="00771B8B">
        <w:rPr>
          <w:rFonts w:ascii="Times New Roman" w:hAnsi="Times New Roman" w:cs="Times New Roman"/>
          <w:sz w:val="24"/>
          <w:szCs w:val="24"/>
        </w:rPr>
        <w:t xml:space="preserve"> Meg kell jegyezzük hogy ez elvi alapon eltér a kontinentális jogrendszerekben, és általában a világon követett megoldástól, amely a kollektív szerződésnek csak a munkavállaló javára engedi meg az eltérést az Mt.-től. Kétségtelenül egyre több európai jogrendszerben születtek ez alól kivételek, különösen a munkaidő szabályozása terén. Ugyanakkor egyetlen uniós tagállamban sem érvényesül a magyar Mt.-hez hasonló általános, szabad eltérés.</w:t>
      </w:r>
      <w:r w:rsidR="00771B8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7"/>
      </w:r>
      <w:r w:rsidR="00344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15220" w14:textId="77777777" w:rsidR="00344FB0" w:rsidRDefault="00344FB0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6D37" w14:textId="77777777" w:rsidR="00A54624" w:rsidRPr="007868A2" w:rsidRDefault="00344FB0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ennek az újításnak az volt a célja, hogy növelje a munkáltatói érdekeltséget, és ezen keresztül a kollektív szerződések számát, de a statisztikai részből kitűnik ennek a próbálkozásnak a sikertelensége. A kollektív szerződések számának csökkenő tendenciája nyilván nem ennek a megoldásnak köszönhető, de sikeresnek sem tűnik az érdekeltség megteremtésében. A továbbra is tapasztalható munkáltatói érdekeltséget véleményünk szerint azért nem teremtette meg a szabad elérési rendszer, mert az alacsony törvényi minimumok, a növekvő számú egyoldalú szabályozási lehetőségek, és munkaszerződéses eltérési lehetőségek megfelelőek a munkáltatóknak a kellően rugalmas foglalkoztatáshoz. Ehhez képest már nem tűnnek érdekeltnek további eltérésekben. </w:t>
      </w:r>
      <w:r w:rsidR="00A54624" w:rsidRPr="007868A2">
        <w:rPr>
          <w:rFonts w:ascii="Times New Roman" w:hAnsi="Times New Roman" w:cs="Times New Roman"/>
          <w:sz w:val="24"/>
          <w:szCs w:val="24"/>
        </w:rPr>
        <w:t xml:space="preserve">A szabad eltérés akkor teremt valódi érdekeltséget a munkáltatói oldalon, ha a munkáltató számára megéri az Mt.-hez képest plusz juttatásokat, jogokat (különösen magasabb bért, bérelemeket) adni a munkavállalóknak egyes törvényi szabályok lerontásáért, vagyis a munkavállalók hátrányára való eltérésért. </w:t>
      </w:r>
    </w:p>
    <w:p w14:paraId="7302BDC7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8396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Ugyanakkor az Mt. alapvető jellemzője, hogy számos, ebből a szempontból alapvető fontosságú kérdésben egyoldalú rendelkezési jogot ad a munkáltatónak. Például, a munkáltató speciális munkarendekben akár hathavi munkaidőkeretet alkalmazhat,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8"/>
      </w:r>
      <w:r w:rsidRPr="007868A2">
        <w:rPr>
          <w:rFonts w:ascii="Times New Roman" w:hAnsi="Times New Roman" w:cs="Times New Roman"/>
          <w:sz w:val="24"/>
          <w:szCs w:val="24"/>
        </w:rPr>
        <w:t xml:space="preserve"> a már közölt munkaidő-beosztást – előre nem látható okokból – 96 órával korábban még módosíthatja,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9"/>
      </w:r>
      <w:r w:rsidRPr="007868A2">
        <w:rPr>
          <w:rFonts w:ascii="Times New Roman" w:hAnsi="Times New Roman" w:cs="Times New Roman"/>
          <w:sz w:val="24"/>
          <w:szCs w:val="24"/>
        </w:rPr>
        <w:t xml:space="preserve"> speciális munkarendekben beoszthat 11 óránál rövidebb napi pihenőidőt,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0"/>
      </w:r>
      <w:r w:rsidRPr="007868A2">
        <w:rPr>
          <w:rFonts w:ascii="Times New Roman" w:hAnsi="Times New Roman" w:cs="Times New Roman"/>
          <w:sz w:val="24"/>
          <w:szCs w:val="24"/>
        </w:rPr>
        <w:t xml:space="preserve"> egyenlőtlen munkaidő-beosztásban dönthet a pihenőnapok összevont kiadásáról, illetve speciális munkarendekben mellőzheti hat munkanap után egy pihenőnap beosztását,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1"/>
      </w:r>
      <w:r w:rsidRPr="007868A2">
        <w:rPr>
          <w:rFonts w:ascii="Times New Roman" w:hAnsi="Times New Roman" w:cs="Times New Roman"/>
          <w:sz w:val="24"/>
          <w:szCs w:val="24"/>
        </w:rPr>
        <w:t xml:space="preserve"> évente 250 óra rendkívüli munkaidőt rendelhet el, ami a munkavállalóval kötött egyéni megállapodással 400 </w:t>
      </w:r>
      <w:r w:rsidRPr="007868A2">
        <w:rPr>
          <w:rFonts w:ascii="Times New Roman" w:hAnsi="Times New Roman" w:cs="Times New Roman"/>
          <w:sz w:val="24"/>
          <w:szCs w:val="24"/>
        </w:rPr>
        <w:lastRenderedPageBreak/>
        <w:t>órára emelhető.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2"/>
      </w:r>
      <w:r w:rsidRPr="007868A2">
        <w:rPr>
          <w:rFonts w:ascii="Times New Roman" w:hAnsi="Times New Roman" w:cs="Times New Roman"/>
          <w:sz w:val="24"/>
          <w:szCs w:val="24"/>
        </w:rPr>
        <w:t xml:space="preserve"> Ha a munkavállaló enyhe gondatlansággal okoz kárt, a munkáltató négyhavi távolléti díjig érvényesíthet igényt, a minimálbér háromszorosa erejéig akár fizetési felszólítással is, kollektív szerződés hiányában pedig egyéni megállapodással is szabályozható a fegyelmi felelősség.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3"/>
      </w:r>
      <w:r w:rsidRPr="007868A2">
        <w:rPr>
          <w:rFonts w:ascii="Times New Roman" w:hAnsi="Times New Roman" w:cs="Times New Roman"/>
          <w:sz w:val="24"/>
          <w:szCs w:val="24"/>
        </w:rPr>
        <w:t xml:space="preserve"> Ezek a lehetőségek az 1992. évi Mt.-ben a kollektív szerződés rendelkezéséhez voltak kötve. </w:t>
      </w:r>
    </w:p>
    <w:p w14:paraId="2BBFFAEB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9D2A6" w14:textId="77777777" w:rsidR="00A54624" w:rsidRPr="007868A2" w:rsidRDefault="00344FB0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Reálisan értékelve, é</w:t>
      </w:r>
      <w:r w:rsidR="00A54624" w:rsidRPr="007868A2">
        <w:rPr>
          <w:rFonts w:ascii="Times New Roman" w:hAnsi="Times New Roman" w:cs="Times New Roman"/>
          <w:sz w:val="24"/>
          <w:szCs w:val="24"/>
        </w:rPr>
        <w:t xml:space="preserve">rdemes abból kiindulni, hogy a jogalkotó nem fog szakítani az abszolút diszpozitív kapcsolattal a kollektív szerződés és az Mt. viszonyában (ez a fentiekben hivatkozott szabad eltérés). Abban a tekintetben viszont van mozgástér, hogy a törvény mely kérdés eltérő szabályozását engedi meg az adott törvényi rendelkezéstől: </w:t>
      </w:r>
    </w:p>
    <w:p w14:paraId="36E31CDF" w14:textId="77777777" w:rsidR="00A54624" w:rsidRPr="008541AB" w:rsidRDefault="00A54624" w:rsidP="00A54624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AB">
        <w:rPr>
          <w:rFonts w:ascii="Times New Roman" w:hAnsi="Times New Roman" w:cs="Times New Roman"/>
          <w:sz w:val="24"/>
          <w:szCs w:val="24"/>
        </w:rPr>
        <w:t xml:space="preserve">egyoldalúan a munkáltatónak, </w:t>
      </w:r>
    </w:p>
    <w:p w14:paraId="41D76683" w14:textId="77777777" w:rsidR="00A54624" w:rsidRPr="008541AB" w:rsidRDefault="00A54624" w:rsidP="00A54624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AB">
        <w:rPr>
          <w:rFonts w:ascii="Times New Roman" w:hAnsi="Times New Roman" w:cs="Times New Roman"/>
          <w:sz w:val="24"/>
          <w:szCs w:val="24"/>
        </w:rPr>
        <w:t xml:space="preserve">a felek megállapodásának, </w:t>
      </w:r>
    </w:p>
    <w:p w14:paraId="7F847EB6" w14:textId="77777777" w:rsidR="00A54624" w:rsidRPr="008541AB" w:rsidRDefault="00A54624" w:rsidP="00A54624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AB">
        <w:rPr>
          <w:rFonts w:ascii="Times New Roman" w:hAnsi="Times New Roman" w:cs="Times New Roman"/>
          <w:sz w:val="24"/>
          <w:szCs w:val="24"/>
        </w:rPr>
        <w:t xml:space="preserve">az alacsonyabb (jellemzően munkahelyi szintű) kollektív szerződésnek, vagy </w:t>
      </w:r>
    </w:p>
    <w:p w14:paraId="18FE0521" w14:textId="77777777" w:rsidR="00A54624" w:rsidRPr="008541AB" w:rsidRDefault="00A54624" w:rsidP="00A54624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AB">
        <w:rPr>
          <w:rFonts w:ascii="Times New Roman" w:hAnsi="Times New Roman" w:cs="Times New Roman"/>
          <w:sz w:val="24"/>
          <w:szCs w:val="24"/>
        </w:rPr>
        <w:t xml:space="preserve">a magasabb (lehetőleg ágazati szintű) kollektív szerződésnek. </w:t>
      </w:r>
    </w:p>
    <w:p w14:paraId="641783F3" w14:textId="77777777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DED9F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 xml:space="preserve">Javaslatunk lényegében a szabályozási hatásköröket érinti,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7868A2">
        <w:rPr>
          <w:rFonts w:ascii="Times New Roman" w:hAnsi="Times New Roman" w:cs="Times New Roman"/>
          <w:sz w:val="24"/>
          <w:szCs w:val="24"/>
        </w:rPr>
        <w:t>azok jelentős átrendezésére irányul</w:t>
      </w:r>
      <w:r w:rsidR="00F45E6A">
        <w:rPr>
          <w:rFonts w:ascii="Times New Roman" w:hAnsi="Times New Roman" w:cs="Times New Roman"/>
          <w:sz w:val="24"/>
          <w:szCs w:val="24"/>
        </w:rPr>
        <w:t xml:space="preserve"> a kollektív szerződések javára</w:t>
      </w:r>
      <w:r w:rsidRPr="007868A2">
        <w:rPr>
          <w:rFonts w:ascii="Times New Roman" w:hAnsi="Times New Roman" w:cs="Times New Roman"/>
          <w:sz w:val="24"/>
          <w:szCs w:val="24"/>
        </w:rPr>
        <w:t>. Ez valójában olyan reformot jelentene, amely növelné a különböző (munkahelyi és ágazati) kollektív szerződések szerepét a munkaviszony szabályozásában, különösen a munkáltató egyoldalú rendelkezésének, és lényegesen kisebb részben a felek megállapodásának kárára. Ezzel csökkenteni lehetne az Mt. által előidézett, a korábbi szabályozáshoz képest növekvő egyensúlytalanságot az individuális és kollektív munkajogi szereplők (munkáltatói és munkavállalói oldal) között, a munkaviszonyból származó jogok és kötelezettségek tekintetében. A szabályozási hatáskörök átrendezése anélkül javítaná a munkavállalók jogait, munkajogi státuszát, hogy érdemben át kellene írni a törvényi garanciális szabályokat.</w:t>
      </w:r>
    </w:p>
    <w:p w14:paraId="7E01DFA0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CE880" w14:textId="6983E021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Abból indulunk tehát ki, hogy az Mt. jelenleg rendkívül tág, önálló utasítási jogkört ad a munkáltatónak számos alapvető fontosságú, gazdasági szempontból érzékeny kérdésben, de különösen a munkaidő szervezésében. Álláspontunk szerint a törvényi minimum is a legtöbb kérdésben inkább a munkáltatónak kedvez, különösen a korábbi szabályozáshoz képest. Nem véletlen, hogy a magyar munkajogi szabályozás nemzetközi összehasonlításban „rugalmasnak” minősül, ami azt jelenti, hogy számos más európai munkajoghoz képest kevésbé védi a munkavállalókat.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4"/>
      </w:r>
      <w:r w:rsidRPr="007868A2">
        <w:rPr>
          <w:rFonts w:ascii="Times New Roman" w:hAnsi="Times New Roman" w:cs="Times New Roman"/>
          <w:sz w:val="24"/>
          <w:szCs w:val="24"/>
        </w:rPr>
        <w:t xml:space="preserve"> A 2012-es reform – a két korábbi reformmal, vagyis az 1992. évi Mt.-vel és a 2002. évi jogharmonizációs módosító csomaggal szemben –</w:t>
      </w:r>
      <w:r w:rsidR="005157B2">
        <w:rPr>
          <w:rFonts w:ascii="Times New Roman" w:hAnsi="Times New Roman" w:cs="Times New Roman"/>
          <w:sz w:val="24"/>
          <w:szCs w:val="24"/>
        </w:rPr>
        <w:t xml:space="preserve"> </w:t>
      </w:r>
      <w:r w:rsidRPr="007868A2">
        <w:rPr>
          <w:rFonts w:ascii="Times New Roman" w:hAnsi="Times New Roman" w:cs="Times New Roman"/>
          <w:sz w:val="24"/>
          <w:szCs w:val="24"/>
        </w:rPr>
        <w:t>visszalépést jelent</w:t>
      </w:r>
      <w:r w:rsidR="006D501F">
        <w:rPr>
          <w:rFonts w:ascii="Times New Roman" w:hAnsi="Times New Roman" w:cs="Times New Roman"/>
          <w:sz w:val="24"/>
          <w:szCs w:val="24"/>
        </w:rPr>
        <w:t>ett</w:t>
      </w:r>
      <w:r w:rsidRPr="007868A2">
        <w:rPr>
          <w:rFonts w:ascii="Times New Roman" w:hAnsi="Times New Roman" w:cs="Times New Roman"/>
          <w:sz w:val="24"/>
          <w:szCs w:val="24"/>
        </w:rPr>
        <w:t xml:space="preserve"> a munkavállalói jogok tekintetében, hiszen a szabályozás érzékelhetően „rugalmasabbá” vált.</w:t>
      </w:r>
      <w:r w:rsidR="005157B2">
        <w:rPr>
          <w:rFonts w:ascii="Times New Roman" w:hAnsi="Times New Roman" w:cs="Times New Roman"/>
          <w:sz w:val="24"/>
          <w:szCs w:val="24"/>
        </w:rPr>
        <w:t xml:space="preserve"> Ugyanakkor a rugalmasság szintjét nehéz mérni, különösen nemzetközi összevetésben, és az </w:t>
      </w:r>
      <w:r w:rsidR="005157B2">
        <w:rPr>
          <w:rFonts w:ascii="Times New Roman" w:hAnsi="Times New Roman" w:cs="Times New Roman"/>
          <w:sz w:val="24"/>
          <w:szCs w:val="24"/>
        </w:rPr>
        <w:lastRenderedPageBreak/>
        <w:t>ilyen típusú mérésekkel kapcsolatosan sokan fogalmaznak meg jogos fenntartásokat, mivel  a mérések csak bizonyos tényezőket, kiválasztott szabálycsoportot vesznek figyelembe.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5"/>
      </w:r>
    </w:p>
    <w:p w14:paraId="23A03538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5A18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Úgy látjuk, h</w:t>
      </w:r>
      <w:r>
        <w:rPr>
          <w:rFonts w:ascii="Times New Roman" w:hAnsi="Times New Roman" w:cs="Times New Roman"/>
          <w:sz w:val="24"/>
          <w:szCs w:val="24"/>
        </w:rPr>
        <w:t>ogy a munkavállalói oldalon meg</w:t>
      </w:r>
      <w:r w:rsidRPr="007868A2">
        <w:rPr>
          <w:rFonts w:ascii="Times New Roman" w:hAnsi="Times New Roman" w:cs="Times New Roman"/>
          <w:sz w:val="24"/>
          <w:szCs w:val="24"/>
        </w:rPr>
        <w:t xml:space="preserve">van az érdekeltség a kollektív szerződéskötésre, </w:t>
      </w:r>
      <w:r w:rsidR="006D501F">
        <w:rPr>
          <w:rFonts w:ascii="Times New Roman" w:hAnsi="Times New Roman" w:cs="Times New Roman"/>
          <w:sz w:val="24"/>
          <w:szCs w:val="24"/>
        </w:rPr>
        <w:t xml:space="preserve">még ha elsődlegesen munkahelyi szinten szervezettek is, </w:t>
      </w:r>
      <w:r w:rsidRPr="007868A2">
        <w:rPr>
          <w:rFonts w:ascii="Times New Roman" w:hAnsi="Times New Roman" w:cs="Times New Roman"/>
          <w:sz w:val="24"/>
          <w:szCs w:val="24"/>
        </w:rPr>
        <w:t>hiszen a szakszervezetek alapvető érdeke részesedni a béremelésekből, vagy általában a munkafeltételek javulásából eredő legitimációs hatásból. Így hiába csökkentenék a munkavállalók, vagy a munkavállalói érdekképviseletek jogaira vonatkozó törvényi garanciális szabályok szintjét, az nem eredményezne több kollektív szerződést. A munkavállalói érdekképviseletek ugyanis érdekeltek ugyan a kollektív szerződéskötésben, mégsem tudják arra rászorítani a munkáltatókat. Minél gyengébbek a szakszervezeti és munkavállalói jogok, annál kevésbé alkalmasak a szakszervezetek a hatékony érdekképviseletre. Ezzel azt az esetleges érvet szeretnénk cáfolni, hogy azért nem születnek kollektív szerződések, mert a szakszervezeti és munkavállalói jogok még mindig túl nagyvonalúak, ezért a munkavállalói oldal nem érdekelt a kollektív alkuban.</w:t>
      </w:r>
    </w:p>
    <w:p w14:paraId="5E5B1FC3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E5BE5" w14:textId="53ABB61E" w:rsidR="00B8641B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 xml:space="preserve">A kollektív szerződéskötésre irányuló munkáltatói érdekeltséget azzal lehetne megteremteni, ha a munkáltatók számára értékes jogosultságokhoz csak kollektív szerződés megkötésével juthatnának hozzá. Ilyen lehet számos munkaidős </w:t>
      </w:r>
      <w:r w:rsidR="00B8641B">
        <w:rPr>
          <w:rFonts w:ascii="Times New Roman" w:hAnsi="Times New Roman" w:cs="Times New Roman"/>
          <w:sz w:val="24"/>
          <w:szCs w:val="24"/>
        </w:rPr>
        <w:t xml:space="preserve">és más </w:t>
      </w:r>
      <w:r w:rsidRPr="007868A2">
        <w:rPr>
          <w:rFonts w:ascii="Times New Roman" w:hAnsi="Times New Roman" w:cs="Times New Roman"/>
          <w:sz w:val="24"/>
          <w:szCs w:val="24"/>
        </w:rPr>
        <w:t xml:space="preserve">szabály kollektív szerződéshez kötése, </w:t>
      </w:r>
      <w:r w:rsidR="00EE6125">
        <w:rPr>
          <w:rFonts w:ascii="Times New Roman" w:hAnsi="Times New Roman" w:cs="Times New Roman"/>
          <w:sz w:val="24"/>
          <w:szCs w:val="24"/>
        </w:rPr>
        <w:t xml:space="preserve">így </w:t>
      </w:r>
      <w:r w:rsidRPr="007868A2">
        <w:rPr>
          <w:rFonts w:ascii="Times New Roman" w:hAnsi="Times New Roman" w:cs="Times New Roman"/>
          <w:sz w:val="24"/>
          <w:szCs w:val="24"/>
        </w:rPr>
        <w:t>például</w:t>
      </w:r>
      <w:r w:rsidR="00B8641B">
        <w:rPr>
          <w:rFonts w:ascii="Times New Roman" w:hAnsi="Times New Roman" w:cs="Times New Roman"/>
          <w:sz w:val="24"/>
          <w:szCs w:val="24"/>
        </w:rPr>
        <w:t>:</w:t>
      </w:r>
      <w:r w:rsidRPr="00786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85B26" w14:textId="06454F49" w:rsidR="00B8641B" w:rsidRDefault="00A54624" w:rsidP="00B8641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1B">
        <w:rPr>
          <w:rFonts w:ascii="Times New Roman" w:hAnsi="Times New Roman" w:cs="Times New Roman"/>
          <w:sz w:val="24"/>
          <w:szCs w:val="24"/>
        </w:rPr>
        <w:t xml:space="preserve">a </w:t>
      </w:r>
      <w:r w:rsidR="00830C95">
        <w:rPr>
          <w:rFonts w:ascii="Times New Roman" w:hAnsi="Times New Roman" w:cs="Times New Roman"/>
          <w:sz w:val="24"/>
          <w:szCs w:val="24"/>
        </w:rPr>
        <w:t>kettő (</w:t>
      </w:r>
      <w:r w:rsidR="00B8641B" w:rsidRPr="00B8641B">
        <w:rPr>
          <w:rFonts w:ascii="Times New Roman" w:hAnsi="Times New Roman" w:cs="Times New Roman"/>
          <w:sz w:val="24"/>
          <w:szCs w:val="24"/>
        </w:rPr>
        <w:t xml:space="preserve">vagy </w:t>
      </w:r>
      <w:r w:rsidRPr="00B8641B">
        <w:rPr>
          <w:rFonts w:ascii="Times New Roman" w:hAnsi="Times New Roman" w:cs="Times New Roman"/>
          <w:sz w:val="24"/>
          <w:szCs w:val="24"/>
        </w:rPr>
        <w:t>négy</w:t>
      </w:r>
      <w:r w:rsidR="00830C95">
        <w:rPr>
          <w:rFonts w:ascii="Times New Roman" w:hAnsi="Times New Roman" w:cs="Times New Roman"/>
          <w:sz w:val="24"/>
          <w:szCs w:val="24"/>
        </w:rPr>
        <w:t>, szakpolitikai döntés függően)</w:t>
      </w:r>
      <w:r w:rsidRPr="00B8641B">
        <w:rPr>
          <w:rFonts w:ascii="Times New Roman" w:hAnsi="Times New Roman" w:cs="Times New Roman"/>
          <w:sz w:val="24"/>
          <w:szCs w:val="24"/>
        </w:rPr>
        <w:t xml:space="preserve"> hónapnál hos</w:t>
      </w:r>
      <w:r w:rsidR="00830C95">
        <w:rPr>
          <w:rFonts w:ascii="Times New Roman" w:hAnsi="Times New Roman" w:cs="Times New Roman"/>
          <w:sz w:val="24"/>
          <w:szCs w:val="24"/>
        </w:rPr>
        <w:t>szabb munkaidőkeret elrendelése;</w:t>
      </w:r>
      <w:r w:rsidRPr="00B8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D9D6A" w14:textId="01096B48" w:rsidR="00B8641B" w:rsidRDefault="00A54624" w:rsidP="00B8641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1B">
        <w:rPr>
          <w:rFonts w:ascii="Times New Roman" w:hAnsi="Times New Roman" w:cs="Times New Roman"/>
          <w:sz w:val="24"/>
          <w:szCs w:val="24"/>
        </w:rPr>
        <w:t>a munkaidő-beosztás egy hétn</w:t>
      </w:r>
      <w:r w:rsidR="00830C95">
        <w:rPr>
          <w:rFonts w:ascii="Times New Roman" w:hAnsi="Times New Roman" w:cs="Times New Roman"/>
          <w:sz w:val="24"/>
          <w:szCs w:val="24"/>
        </w:rPr>
        <w:t>él rövidebb közlése, módosítása;</w:t>
      </w:r>
      <w:r w:rsidRPr="00B8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CD8D3" w14:textId="387D47DD" w:rsidR="00B8641B" w:rsidRDefault="00A54624" w:rsidP="00B8641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1B">
        <w:rPr>
          <w:rFonts w:ascii="Times New Roman" w:hAnsi="Times New Roman" w:cs="Times New Roman"/>
          <w:sz w:val="24"/>
          <w:szCs w:val="24"/>
        </w:rPr>
        <w:t xml:space="preserve">a heti pihenőnapok összevonása </w:t>
      </w:r>
      <w:r w:rsidR="005157B2">
        <w:rPr>
          <w:rFonts w:ascii="Times New Roman" w:hAnsi="Times New Roman" w:cs="Times New Roman"/>
          <w:sz w:val="24"/>
          <w:szCs w:val="24"/>
        </w:rPr>
        <w:t xml:space="preserve">például </w:t>
      </w:r>
      <w:r w:rsidRPr="00B8641B">
        <w:rPr>
          <w:rFonts w:ascii="Times New Roman" w:hAnsi="Times New Roman" w:cs="Times New Roman"/>
          <w:sz w:val="24"/>
          <w:szCs w:val="24"/>
        </w:rPr>
        <w:t>két hetet meghaladó időszakot érintően</w:t>
      </w:r>
      <w:r w:rsidR="005157B2">
        <w:rPr>
          <w:rFonts w:ascii="Times New Roman" w:hAnsi="Times New Roman" w:cs="Times New Roman"/>
          <w:sz w:val="24"/>
          <w:szCs w:val="24"/>
        </w:rPr>
        <w:t xml:space="preserve"> (a hetek száma jogpolitikai döntés és párbeszéd kérdése)</w:t>
      </w:r>
      <w:r w:rsidR="00830C95">
        <w:rPr>
          <w:rFonts w:ascii="Times New Roman" w:hAnsi="Times New Roman" w:cs="Times New Roman"/>
          <w:sz w:val="24"/>
          <w:szCs w:val="24"/>
        </w:rPr>
        <w:t>;</w:t>
      </w:r>
    </w:p>
    <w:p w14:paraId="35371761" w14:textId="27F188AF" w:rsidR="00B8641B" w:rsidRDefault="00B8641B" w:rsidP="00B8641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1B">
        <w:rPr>
          <w:rFonts w:ascii="Times New Roman" w:hAnsi="Times New Roman" w:cs="Times New Roman"/>
          <w:sz w:val="24"/>
          <w:szCs w:val="24"/>
        </w:rPr>
        <w:t>11 óránál rövid</w:t>
      </w:r>
      <w:r w:rsidR="00830C95">
        <w:rPr>
          <w:rFonts w:ascii="Times New Roman" w:hAnsi="Times New Roman" w:cs="Times New Roman"/>
          <w:sz w:val="24"/>
          <w:szCs w:val="24"/>
        </w:rPr>
        <w:t>ebb napi pihenőidő alkalmazása;</w:t>
      </w:r>
    </w:p>
    <w:p w14:paraId="1D88C07A" w14:textId="2329F090" w:rsidR="00B8641B" w:rsidRDefault="00B8641B" w:rsidP="00B8641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1B">
        <w:rPr>
          <w:rFonts w:ascii="Times New Roman" w:hAnsi="Times New Roman" w:cs="Times New Roman"/>
          <w:sz w:val="24"/>
          <w:szCs w:val="24"/>
        </w:rPr>
        <w:t>az éves rendkívüli munkaidő maximális</w:t>
      </w:r>
      <w:r w:rsidR="00830C95">
        <w:rPr>
          <w:rFonts w:ascii="Times New Roman" w:hAnsi="Times New Roman" w:cs="Times New Roman"/>
          <w:sz w:val="24"/>
          <w:szCs w:val="24"/>
        </w:rPr>
        <w:t xml:space="preserve"> mértékének kizárólagos emelése;</w:t>
      </w:r>
      <w:r w:rsidRPr="00B8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E2B18" w14:textId="27B5D038" w:rsidR="00BC5B72" w:rsidRDefault="00B8641B" w:rsidP="00B8641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1B">
        <w:rPr>
          <w:rFonts w:ascii="Times New Roman" w:hAnsi="Times New Roman" w:cs="Times New Roman"/>
          <w:sz w:val="24"/>
          <w:szCs w:val="24"/>
        </w:rPr>
        <w:t>a szabadság egy részének tárgyévet követő kiadása</w:t>
      </w:r>
      <w:r w:rsidR="00830C95">
        <w:rPr>
          <w:rFonts w:ascii="Times New Roman" w:hAnsi="Times New Roman" w:cs="Times New Roman"/>
          <w:sz w:val="24"/>
          <w:szCs w:val="24"/>
        </w:rPr>
        <w:t>;</w:t>
      </w:r>
    </w:p>
    <w:p w14:paraId="224CD2CD" w14:textId="0EABE6F9" w:rsidR="00B8641B" w:rsidRPr="00EE6125" w:rsidRDefault="00BC5B72" w:rsidP="00EE6125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munkavégzéshez szükséges feltételek megosztása a munk</w:t>
      </w:r>
      <w:r w:rsidR="00830C95">
        <w:rPr>
          <w:rFonts w:ascii="Times New Roman" w:hAnsi="Times New Roman" w:cs="Times New Roman"/>
          <w:sz w:val="24"/>
          <w:szCs w:val="24"/>
        </w:rPr>
        <w:t>áltató és a munkaválla</w:t>
      </w:r>
      <w:r w:rsidR="00EE6125">
        <w:rPr>
          <w:rFonts w:ascii="Times New Roman" w:hAnsi="Times New Roman" w:cs="Times New Roman"/>
          <w:sz w:val="24"/>
          <w:szCs w:val="24"/>
        </w:rPr>
        <w:t>ló között.</w:t>
      </w:r>
    </w:p>
    <w:p w14:paraId="783FCB13" w14:textId="77777777" w:rsidR="00B8641B" w:rsidRDefault="00B8641B" w:rsidP="00B86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E987B" w14:textId="77777777" w:rsidR="00A54624" w:rsidRPr="00B8641B" w:rsidRDefault="00B8641B" w:rsidP="00B864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1B">
        <w:rPr>
          <w:rFonts w:ascii="Times New Roman" w:hAnsi="Times New Roman" w:cs="Times New Roman"/>
          <w:sz w:val="24"/>
          <w:szCs w:val="24"/>
        </w:rPr>
        <w:t xml:space="preserve">Ezek a tárgykörök ma nagyobb részben a munkáltató egyoldalú hatalmába tartoznak, kisebb részben pedig a munkaszerződésben szabadon szabályozhatók (a munkavállaló hátrányára is). </w:t>
      </w:r>
      <w:r w:rsidR="00A54624" w:rsidRPr="00B8641B">
        <w:rPr>
          <w:rFonts w:ascii="Times New Roman" w:hAnsi="Times New Roman" w:cs="Times New Roman"/>
          <w:sz w:val="24"/>
          <w:szCs w:val="24"/>
        </w:rPr>
        <w:t xml:space="preserve">Ha ebben az </w:t>
      </w:r>
      <w:r>
        <w:rPr>
          <w:rFonts w:ascii="Times New Roman" w:hAnsi="Times New Roman" w:cs="Times New Roman"/>
          <w:sz w:val="24"/>
          <w:szCs w:val="24"/>
        </w:rPr>
        <w:t xml:space="preserve">átrendezési </w:t>
      </w:r>
      <w:r w:rsidR="00A54624" w:rsidRPr="00B8641B">
        <w:rPr>
          <w:rFonts w:ascii="Times New Roman" w:hAnsi="Times New Roman" w:cs="Times New Roman"/>
          <w:sz w:val="24"/>
          <w:szCs w:val="24"/>
        </w:rPr>
        <w:t xml:space="preserve">elvben konszenzus van, akkor érdemes volna átvilágítani az Mt.-t azzal a szemmel, hogy mely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="00A54624" w:rsidRPr="00B8641B">
        <w:rPr>
          <w:rFonts w:ascii="Times New Roman" w:hAnsi="Times New Roman" w:cs="Times New Roman"/>
          <w:sz w:val="24"/>
          <w:szCs w:val="24"/>
        </w:rPr>
        <w:t xml:space="preserve">szabályok alkalmazását indokolt kollektív szerződéses felhatalmazáshoz kötni. Minél több törvényi rendelkezés kívánja meg kollektív szerződés rendelkezését, annál inkább érdekeltek lesznek a munkáltatók annak megkötésében. </w:t>
      </w:r>
      <w:r>
        <w:rPr>
          <w:rFonts w:ascii="Times New Roman" w:hAnsi="Times New Roman" w:cs="Times New Roman"/>
          <w:sz w:val="24"/>
          <w:szCs w:val="24"/>
        </w:rPr>
        <w:t>Jó példa erre a két hónapnál hosszabb munkaidő-keret elrendelése, amely kifejezetten megnövelné a munkáltatók kollektív szerződéskötési hajlandóságát és érdekeltségét. Tehát a lényeg nem a teljesen szabad eltérési lehetőség, hanem a valóban fontos szabályozási tárgykörök kizárólagos kollektív szerződési tárgykörként kezelése.</w:t>
      </w:r>
    </w:p>
    <w:p w14:paraId="420C74D6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AFA86" w14:textId="20BEC570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Fontos koncepcionális kérdés ebben a tekintetben az is, hogy mely kérdések szabályozását milyen szintű (különösen munkahelyi, vagy ágazati szintű) kollektív szerződésnek tartjuk fenn az Mt.-ben. Ha valóban meg akarjuk teremteni az ágazati szintet, akkor minél több lényeges kérdés szabályozását érdemes kizárólagosan ágazati kollektív szerződésben lehetővé tenni, vagy a törvényhez képest csak a munkavállaló javára történő eltérést engedni az alacsonyabb szintű kollektív szerződésnek. Ezzel összefüggésben a hatályos szöveg módosításával</w:t>
      </w:r>
      <w:r w:rsidR="001E31D1">
        <w:rPr>
          <w:rFonts w:ascii="Times New Roman" w:hAnsi="Times New Roman" w:cs="Times New Roman"/>
          <w:sz w:val="24"/>
          <w:szCs w:val="24"/>
        </w:rPr>
        <w:t xml:space="preserve"> általánosságban</w:t>
      </w:r>
      <w:r w:rsidRPr="007868A2">
        <w:rPr>
          <w:rFonts w:ascii="Times New Roman" w:hAnsi="Times New Roman" w:cs="Times New Roman"/>
          <w:sz w:val="24"/>
          <w:szCs w:val="24"/>
        </w:rPr>
        <w:t xml:space="preserve"> tiltani kellene az alacsonyabb szintű kollektív szerződés abszolút diszpozitív (értsd a munkavállaló hátrányára is történő) eltérését a magasabb szintű kollektív szerződéstől.</w:t>
      </w:r>
      <w:r w:rsidRPr="007868A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6"/>
      </w:r>
    </w:p>
    <w:p w14:paraId="3B99DD24" w14:textId="77777777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AFD8B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Azzal is tisztában vagyunk, hogy a kisebb munkáltatóknál (kis- és középvállalkozásoknál) komoly problémát, gyakorta leküzdhetetlen akadályt jelentene a kollektív szerződés megkötése. Éppen ezért a fentiek tekintetében különbséget lehetne tenni a munkáltatók között az alkalmazott munkavállalók száma alapján. Ezt a problémát úgy lehetne megoldani, hogy a kisebb (például 50 főnél kevesebb munkavállalót foglalkoztató) munkáltatókra nem vonatkoznának azok a szabályok, amelyek az érintett rendelkezésekhez kollektív szerződés rendelkezését kívánják meg. Ez azt jelentené, hogy a szabályozási hatáskörök fentiekben leírt törvény átrendezése csak az 50 főnél több munkavállalót foglalkoztató munkáltatókat érintené.</w:t>
      </w:r>
    </w:p>
    <w:p w14:paraId="57BDAD83" w14:textId="77777777" w:rsidR="00A54624" w:rsidRPr="007868A2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669A3" w14:textId="6F0DDBD6" w:rsidR="00A54624" w:rsidRDefault="00A54624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A2">
        <w:rPr>
          <w:rFonts w:ascii="Times New Roman" w:hAnsi="Times New Roman" w:cs="Times New Roman"/>
          <w:sz w:val="24"/>
          <w:szCs w:val="24"/>
        </w:rPr>
        <w:t>Ezzel a megoldással szemben azonban felvethető az a jogos érv, hogy a kollektív szerződéskötési jog kinyitása mellett nem indokolt ez a lazítás az alkalmazotti létszám alapján. A fenti mentesség a meghatározott létszám alatt gyakorlatilag megszüntetné a kollektív szerződéseket, pedig a munkavállalók közössége megszavazhatná a kollektív szerződést, ha szeretné. Mindezek alapján nem tartjuk hatékony megoldásnak a kisebb munkáltatók kivételét a kollektív szerződéskötési kényszer alól a fent leírt normáknál.</w:t>
      </w:r>
    </w:p>
    <w:p w14:paraId="57728B8B" w14:textId="5BAD839D" w:rsidR="00123650" w:rsidRDefault="00123650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EF268" w14:textId="353CC9B5" w:rsidR="00B517DD" w:rsidRDefault="00B517DD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2F526" w14:textId="77777777" w:rsidR="009C1A9D" w:rsidRDefault="009C1A9D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88B2C" w14:textId="6BF13081" w:rsidR="00B517DD" w:rsidRPr="009C1A9D" w:rsidRDefault="0024083F" w:rsidP="009C1A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9D">
        <w:rPr>
          <w:rFonts w:ascii="Times New Roman" w:hAnsi="Times New Roman" w:cs="Times New Roman"/>
          <w:b/>
          <w:sz w:val="24"/>
          <w:szCs w:val="24"/>
        </w:rPr>
        <w:t xml:space="preserve">A FEJEZETBEN </w:t>
      </w:r>
      <w:r>
        <w:rPr>
          <w:rFonts w:ascii="Times New Roman" w:hAnsi="Times New Roman" w:cs="Times New Roman"/>
          <w:b/>
          <w:sz w:val="24"/>
          <w:szCs w:val="24"/>
        </w:rPr>
        <w:t xml:space="preserve">SZEREPLŐ </w:t>
      </w:r>
      <w:r w:rsidR="00B517DD" w:rsidRPr="009C1A9D">
        <w:rPr>
          <w:rFonts w:ascii="Times New Roman" w:hAnsi="Times New Roman" w:cs="Times New Roman"/>
          <w:b/>
          <w:sz w:val="24"/>
          <w:szCs w:val="24"/>
        </w:rPr>
        <w:t xml:space="preserve">JAVASLATOK RÖVIDEN </w:t>
      </w:r>
    </w:p>
    <w:p w14:paraId="68483597" w14:textId="1EDEB808" w:rsidR="009C1A9D" w:rsidRDefault="009C1A9D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6C56C" w14:textId="77777777" w:rsidR="0024083F" w:rsidRDefault="0024083F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3AE" w14:textId="56719FED" w:rsidR="00123650" w:rsidRDefault="00123650" w:rsidP="00A5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fejezetben a kollektív szerződéskötési joggal kapcsolatban az alábbi javaslatokat fogalmaztuk meg:</w:t>
      </w:r>
    </w:p>
    <w:p w14:paraId="601128A7" w14:textId="4F5EDDAE" w:rsidR="00123650" w:rsidRPr="009C1A9D" w:rsidRDefault="00D151AA" w:rsidP="001236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lehetővé kellene tenni kollektív szerződés megkötését</w:t>
      </w:r>
      <w:r w:rsidR="009C1A9D" w:rsidRPr="009C1A9D">
        <w:rPr>
          <w:rFonts w:ascii="Times New Roman" w:hAnsi="Times New Roman" w:cs="Times New Roman"/>
          <w:b/>
          <w:sz w:val="24"/>
          <w:szCs w:val="24"/>
        </w:rPr>
        <w:t xml:space="preserve"> a munkavállalók szavazása alapján;</w:t>
      </w:r>
    </w:p>
    <w:p w14:paraId="38651A07" w14:textId="01B793FC" w:rsidR="009C1A9D" w:rsidRPr="009C1A9D" w:rsidRDefault="009C1A9D" w:rsidP="001236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9D">
        <w:rPr>
          <w:rFonts w:ascii="Times New Roman" w:hAnsi="Times New Roman" w:cs="Times New Roman"/>
          <w:b/>
          <w:sz w:val="24"/>
          <w:szCs w:val="24"/>
        </w:rPr>
        <w:t>a normatív üzemi megállapodás jogintézményé</w:t>
      </w:r>
      <w:r w:rsidR="00803A36">
        <w:rPr>
          <w:rFonts w:ascii="Times New Roman" w:hAnsi="Times New Roman" w:cs="Times New Roman"/>
          <w:b/>
          <w:sz w:val="24"/>
          <w:szCs w:val="24"/>
        </w:rPr>
        <w:t>t</w:t>
      </w:r>
      <w:r w:rsidRPr="009C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1AA">
        <w:rPr>
          <w:rFonts w:ascii="Times New Roman" w:hAnsi="Times New Roman" w:cs="Times New Roman"/>
          <w:b/>
          <w:sz w:val="24"/>
          <w:szCs w:val="24"/>
        </w:rPr>
        <w:t>meg kellene szüntetni</w:t>
      </w:r>
      <w:r w:rsidRPr="009C1A9D">
        <w:rPr>
          <w:rFonts w:ascii="Times New Roman" w:hAnsi="Times New Roman" w:cs="Times New Roman"/>
          <w:b/>
          <w:sz w:val="24"/>
          <w:szCs w:val="24"/>
        </w:rPr>
        <w:t>;</w:t>
      </w:r>
    </w:p>
    <w:p w14:paraId="799958D9" w14:textId="35D3DDA7" w:rsidR="00D151AA" w:rsidRDefault="00D151AA" w:rsidP="001236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AA">
        <w:rPr>
          <w:rFonts w:ascii="Times New Roman" w:hAnsi="Times New Roman" w:cs="Times New Roman"/>
          <w:b/>
          <w:sz w:val="24"/>
          <w:szCs w:val="24"/>
        </w:rPr>
        <w:t xml:space="preserve">főszabály szerint a reprezentatív szakszervezetek közösen </w:t>
      </w:r>
      <w:r>
        <w:rPr>
          <w:rFonts w:ascii="Times New Roman" w:hAnsi="Times New Roman" w:cs="Times New Roman"/>
          <w:b/>
          <w:sz w:val="24"/>
          <w:szCs w:val="24"/>
        </w:rPr>
        <w:t xml:space="preserve">legyenek </w:t>
      </w:r>
      <w:r w:rsidRPr="00D151AA">
        <w:rPr>
          <w:rFonts w:ascii="Times New Roman" w:hAnsi="Times New Roman" w:cs="Times New Roman"/>
          <w:b/>
          <w:sz w:val="24"/>
          <w:szCs w:val="24"/>
        </w:rPr>
        <w:t>jogosultak megállapodást kötni, de megegyezés hiányában a megállapodásból kihagyhatók egy bizonyos arányú tagság alatt álló szakszervezetek;</w:t>
      </w:r>
    </w:p>
    <w:p w14:paraId="59FEC401" w14:textId="13EC716B" w:rsidR="00D151AA" w:rsidRPr="00A34F14" w:rsidRDefault="00D151AA" w:rsidP="001236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AA">
        <w:rPr>
          <w:rFonts w:ascii="Times New Roman" w:hAnsi="Times New Roman" w:cs="Times New Roman"/>
          <w:b/>
          <w:sz w:val="24"/>
          <w:szCs w:val="24"/>
          <w:lang w:val="en-GB"/>
        </w:rPr>
        <w:t>ha egy szakszervezet elveszíti a reprezentativitását, akkor ne legyen jogosult a hatályban lévő kollektív szerződést módosítani, vagy felmondani;</w:t>
      </w:r>
    </w:p>
    <w:p w14:paraId="70C7C7C5" w14:textId="3385070A" w:rsidR="00A34F14" w:rsidRPr="00A34F14" w:rsidRDefault="00A34F14" w:rsidP="001236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F1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ki kellene mondani az Mt.-ben, hogy a kollektív szerződés megkötését követően reprezentatívvá váló szakszervezet felmondhatja a kollektív szerződést;</w:t>
      </w:r>
    </w:p>
    <w:p w14:paraId="34D50DCB" w14:textId="59284DDC" w:rsidR="009C1A9D" w:rsidRPr="009C1A9D" w:rsidRDefault="009C1A9D" w:rsidP="001236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9D">
        <w:rPr>
          <w:rFonts w:ascii="Times New Roman" w:hAnsi="Times New Roman" w:cs="Times New Roman"/>
          <w:b/>
          <w:sz w:val="24"/>
          <w:szCs w:val="24"/>
        </w:rPr>
        <w:t>a decentralizációs szabály</w:t>
      </w:r>
      <w:r w:rsidR="00D151AA">
        <w:rPr>
          <w:rFonts w:ascii="Times New Roman" w:hAnsi="Times New Roman" w:cs="Times New Roman"/>
          <w:b/>
          <w:sz w:val="24"/>
          <w:szCs w:val="24"/>
        </w:rPr>
        <w:t>t</w:t>
      </w:r>
      <w:r w:rsidRPr="009C1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1AA">
        <w:rPr>
          <w:rFonts w:ascii="Times New Roman" w:hAnsi="Times New Roman" w:cs="Times New Roman"/>
          <w:b/>
          <w:sz w:val="24"/>
          <w:szCs w:val="24"/>
        </w:rPr>
        <w:t>ki kellene iktatni</w:t>
      </w:r>
      <w:r w:rsidRPr="009C1A9D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36DD5EEF" w14:textId="094BF5E5" w:rsidR="009C1A9D" w:rsidRPr="009C1A9D" w:rsidRDefault="009C1A9D" w:rsidP="001236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9D">
        <w:rPr>
          <w:rFonts w:ascii="Times New Roman" w:hAnsi="Times New Roman" w:cs="Times New Roman"/>
          <w:b/>
          <w:sz w:val="24"/>
          <w:szCs w:val="24"/>
        </w:rPr>
        <w:t xml:space="preserve">a kollektív szerződés kizárólagos szabályozási </w:t>
      </w:r>
      <w:r w:rsidR="00D151AA">
        <w:rPr>
          <w:rFonts w:ascii="Times New Roman" w:hAnsi="Times New Roman" w:cs="Times New Roman"/>
          <w:b/>
          <w:sz w:val="24"/>
          <w:szCs w:val="24"/>
        </w:rPr>
        <w:t>tárgyköreit</w:t>
      </w:r>
      <w:r w:rsidRPr="009C1A9D">
        <w:rPr>
          <w:rFonts w:ascii="Times New Roman" w:hAnsi="Times New Roman" w:cs="Times New Roman"/>
          <w:b/>
          <w:sz w:val="24"/>
          <w:szCs w:val="24"/>
        </w:rPr>
        <w:t xml:space="preserve"> bővít</w:t>
      </w:r>
      <w:r w:rsidR="00D151AA">
        <w:rPr>
          <w:rFonts w:ascii="Times New Roman" w:hAnsi="Times New Roman" w:cs="Times New Roman"/>
          <w:b/>
          <w:sz w:val="24"/>
          <w:szCs w:val="24"/>
        </w:rPr>
        <w:t>eni kellene</w:t>
      </w:r>
      <w:r w:rsidRPr="009C1A9D">
        <w:rPr>
          <w:rFonts w:ascii="Times New Roman" w:hAnsi="Times New Roman" w:cs="Times New Roman"/>
          <w:b/>
          <w:sz w:val="24"/>
          <w:szCs w:val="24"/>
        </w:rPr>
        <w:t xml:space="preserve"> a munkáltatói egyoldalú szabályozás és a munkaszerződés rovására, mind </w:t>
      </w:r>
      <w:r w:rsidR="00315E2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C1A9D">
        <w:rPr>
          <w:rFonts w:ascii="Times New Roman" w:hAnsi="Times New Roman" w:cs="Times New Roman"/>
          <w:b/>
          <w:sz w:val="24"/>
          <w:szCs w:val="24"/>
        </w:rPr>
        <w:t xml:space="preserve">munkahelyi, mind pedig </w:t>
      </w:r>
      <w:r w:rsidR="00315E21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9C1A9D">
        <w:rPr>
          <w:rFonts w:ascii="Times New Roman" w:hAnsi="Times New Roman" w:cs="Times New Roman"/>
          <w:b/>
          <w:sz w:val="24"/>
          <w:szCs w:val="24"/>
        </w:rPr>
        <w:t>ágazati szintű kollektív szerződések javára.</w:t>
      </w:r>
    </w:p>
    <w:p w14:paraId="4AFF4D09" w14:textId="35C471A5" w:rsidR="00A54624" w:rsidRDefault="00A54624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14:paraId="4C4899A9" w14:textId="77777777" w:rsidR="009A255F" w:rsidRDefault="009A255F" w:rsidP="00A54624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bookmarkEnd w:id="0"/>
    <w:p w14:paraId="3F3B1C4D" w14:textId="77777777" w:rsidR="00193881" w:rsidRDefault="00193881"/>
    <w:sectPr w:rsidR="0019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96E638" w16cex:dateUtc="2024-04-13T15:22:00Z"/>
  <w16cex:commentExtensible w16cex:durableId="677D5992" w16cex:dateUtc="2024-04-13T15:23:00Z"/>
  <w16cex:commentExtensible w16cex:durableId="53D1C5AB" w16cex:dateUtc="2024-04-13T15:24:00Z"/>
  <w16cex:commentExtensible w16cex:durableId="213EBD8B" w16cex:dateUtc="2024-04-13T15:25:00Z"/>
  <w16cex:commentExtensible w16cex:durableId="5B4400C6" w16cex:dateUtc="2024-04-13T15:28:00Z"/>
  <w16cex:commentExtensible w16cex:durableId="1091E51E" w16cex:dateUtc="2024-04-13T15:30:00Z"/>
  <w16cex:commentExtensible w16cex:durableId="032AD37C" w16cex:dateUtc="2024-04-13T15:31:00Z"/>
  <w16cex:commentExtensible w16cex:durableId="55BFABC0" w16cex:dateUtc="2024-04-13T15:32:00Z"/>
  <w16cex:commentExtensible w16cex:durableId="1A5B26E3" w16cex:dateUtc="2024-04-13T15:32:00Z"/>
  <w16cex:commentExtensible w16cex:durableId="69244B3C" w16cex:dateUtc="2024-04-13T15:33:00Z"/>
  <w16cex:commentExtensible w16cex:durableId="017B7449" w16cex:dateUtc="2024-04-13T15:34:00Z"/>
  <w16cex:commentExtensible w16cex:durableId="3DE85661" w16cex:dateUtc="2024-04-13T15:36:00Z"/>
  <w16cex:commentExtensible w16cex:durableId="458CC7F9" w16cex:dateUtc="2024-04-13T15:37:00Z"/>
  <w16cex:commentExtensible w16cex:durableId="601992D0" w16cex:dateUtc="2024-04-13T15:39:00Z"/>
  <w16cex:commentExtensible w16cex:durableId="1A999724" w16cex:dateUtc="2024-04-13T15:42:00Z"/>
  <w16cex:commentExtensible w16cex:durableId="39141126" w16cex:dateUtc="2024-04-13T15:44:00Z"/>
  <w16cex:commentExtensible w16cex:durableId="139A0795" w16cex:dateUtc="2024-04-13T15:45:00Z"/>
  <w16cex:commentExtensible w16cex:durableId="0D5E0161" w16cex:dateUtc="2024-04-13T15:45:00Z"/>
  <w16cex:commentExtensible w16cex:durableId="5E38E23A" w16cex:dateUtc="2024-04-13T15:45:00Z"/>
  <w16cex:commentExtensible w16cex:durableId="22C60534" w16cex:dateUtc="2024-04-13T15:46:00Z"/>
  <w16cex:commentExtensible w16cex:durableId="11912D91" w16cex:dateUtc="2024-04-13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5E8EDB" w16cid:durableId="0D96E638"/>
  <w16cid:commentId w16cid:paraId="1B4BB4A6" w16cid:durableId="677D5992"/>
  <w16cid:commentId w16cid:paraId="1F7871F8" w16cid:durableId="53D1C5AB"/>
  <w16cid:commentId w16cid:paraId="06BB880D" w16cid:durableId="213EBD8B"/>
  <w16cid:commentId w16cid:paraId="361648AB" w16cid:durableId="5B4400C6"/>
  <w16cid:commentId w16cid:paraId="2CB560DA" w16cid:durableId="1091E51E"/>
  <w16cid:commentId w16cid:paraId="5143AAB4" w16cid:durableId="032AD37C"/>
  <w16cid:commentId w16cid:paraId="1F3AF384" w16cid:durableId="55BFABC0"/>
  <w16cid:commentId w16cid:paraId="37F3D98D" w16cid:durableId="1A5B26E3"/>
  <w16cid:commentId w16cid:paraId="2C997E04" w16cid:durableId="69244B3C"/>
  <w16cid:commentId w16cid:paraId="0B243A7F" w16cid:durableId="017B7449"/>
  <w16cid:commentId w16cid:paraId="0E5462C0" w16cid:durableId="3DE85661"/>
  <w16cid:commentId w16cid:paraId="534B68A2" w16cid:durableId="458CC7F9"/>
  <w16cid:commentId w16cid:paraId="588F10CA" w16cid:durableId="601992D0"/>
  <w16cid:commentId w16cid:paraId="0945B957" w16cid:durableId="1A999724"/>
  <w16cid:commentId w16cid:paraId="2B0F0CB2" w16cid:durableId="39141126"/>
  <w16cid:commentId w16cid:paraId="12AEBE5A" w16cid:durableId="139A0795"/>
  <w16cid:commentId w16cid:paraId="4879E901" w16cid:durableId="0D5E0161"/>
  <w16cid:commentId w16cid:paraId="38709F8A" w16cid:durableId="5E38E23A"/>
  <w16cid:commentId w16cid:paraId="38206BC5" w16cid:durableId="22C60534"/>
  <w16cid:commentId w16cid:paraId="161D3254" w16cid:durableId="11912D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0B00" w14:textId="77777777" w:rsidR="00F0564C" w:rsidRDefault="00F0564C" w:rsidP="00A54624">
      <w:pPr>
        <w:spacing w:after="0" w:line="240" w:lineRule="auto"/>
      </w:pPr>
      <w:r>
        <w:separator/>
      </w:r>
    </w:p>
  </w:endnote>
  <w:endnote w:type="continuationSeparator" w:id="0">
    <w:p w14:paraId="64336BFE" w14:textId="77777777" w:rsidR="00F0564C" w:rsidRDefault="00F0564C" w:rsidP="00A5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269C" w14:textId="77777777" w:rsidR="00F0564C" w:rsidRDefault="00F0564C" w:rsidP="00A54624">
      <w:pPr>
        <w:spacing w:after="0" w:line="240" w:lineRule="auto"/>
      </w:pPr>
      <w:r>
        <w:separator/>
      </w:r>
    </w:p>
  </w:footnote>
  <w:footnote w:type="continuationSeparator" w:id="0">
    <w:p w14:paraId="1FB31C3A" w14:textId="77777777" w:rsidR="00F0564C" w:rsidRDefault="00F0564C" w:rsidP="00A54624">
      <w:pPr>
        <w:spacing w:after="0" w:line="240" w:lineRule="auto"/>
      </w:pPr>
      <w:r>
        <w:continuationSeparator/>
      </w:r>
    </w:p>
  </w:footnote>
  <w:footnote w:id="1">
    <w:p w14:paraId="499AE2DE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Kovács 2011, 80.</w:t>
      </w:r>
    </w:p>
  </w:footnote>
  <w:footnote w:id="2">
    <w:p w14:paraId="55FE2C20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Nádas György: A kollektív szerződések jogdogmatikai kérdéseinek vizsgálata. In: Horváth István (szerk.): </w:t>
      </w:r>
      <w:r w:rsidRPr="00760042">
        <w:rPr>
          <w:rFonts w:ascii="Times New Roman" w:hAnsi="Times New Roman" w:cs="Times New Roman"/>
          <w:i/>
        </w:rPr>
        <w:t>Tisztelgés. Ünnepi tanulmányok Dr. Hágelmayer Istvánné születésnapjára</w:t>
      </w:r>
      <w:r w:rsidRPr="002E3977">
        <w:rPr>
          <w:rFonts w:ascii="Times New Roman" w:hAnsi="Times New Roman" w:cs="Times New Roman"/>
        </w:rPr>
        <w:t>, ELTE Eötvös, Budapest, 2015, 325.</w:t>
      </w:r>
    </w:p>
  </w:footnote>
  <w:footnote w:id="3">
    <w:p w14:paraId="12EF9A6D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1992. évi Mt. 33. § (2)–(5) bek.</w:t>
      </w:r>
    </w:p>
  </w:footnote>
  <w:footnote w:id="4">
    <w:p w14:paraId="0D03F010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Kiss György: Munkajog a közjog és a magánjog határán – egy új munkajogi politika kialakításának szükségessége. </w:t>
      </w:r>
      <w:r w:rsidRPr="00760042">
        <w:rPr>
          <w:rFonts w:ascii="Times New Roman" w:hAnsi="Times New Roman" w:cs="Times New Roman"/>
          <w:i/>
        </w:rPr>
        <w:t>Jogtudományi Közlöny</w:t>
      </w:r>
      <w:r>
        <w:rPr>
          <w:rFonts w:ascii="Times New Roman" w:hAnsi="Times New Roman" w:cs="Times New Roman"/>
        </w:rPr>
        <w:t>, 2008/2., 79–80.</w:t>
      </w:r>
    </w:p>
  </w:footnote>
  <w:footnote w:id="5">
    <w:p w14:paraId="6B1D4C95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Kovács 2011, 82.</w:t>
      </w:r>
    </w:p>
  </w:footnote>
  <w:footnote w:id="6">
    <w:p w14:paraId="5E0FE7DD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A munkavállalóknak a szerződéskötést megelőző félévre számított átlagos statisztikai létszámát kell alapul venni. Mt. 276. § (2) és (6) bek.</w:t>
      </w:r>
    </w:p>
  </w:footnote>
  <w:footnote w:id="7">
    <w:p w14:paraId="233EED51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Collective Bargaining: </w:t>
      </w:r>
      <w:r w:rsidRPr="00760042">
        <w:rPr>
          <w:rFonts w:ascii="Times New Roman" w:hAnsi="Times New Roman" w:cs="Times New Roman"/>
          <w:iCs/>
        </w:rPr>
        <w:t>Levels and Coverage</w:t>
      </w:r>
      <w:r w:rsidRPr="002E3977">
        <w:rPr>
          <w:rFonts w:ascii="Times New Roman" w:hAnsi="Times New Roman" w:cs="Times New Roman"/>
          <w:i/>
          <w:iCs/>
        </w:rPr>
        <w:t>.</w:t>
      </w:r>
      <w:r w:rsidRPr="002E3977">
        <w:rPr>
          <w:rFonts w:ascii="Times New Roman" w:hAnsi="Times New Roman" w:cs="Times New Roman"/>
        </w:rPr>
        <w:t xml:space="preserve"> https://www.oecd.</w:t>
      </w:r>
      <w:r>
        <w:rPr>
          <w:rFonts w:ascii="Times New Roman" w:hAnsi="Times New Roman" w:cs="Times New Roman"/>
        </w:rPr>
        <w:t>org/els/emp/2409993.pdf, 168.</w:t>
      </w:r>
    </w:p>
  </w:footnote>
  <w:footnote w:id="8">
    <w:p w14:paraId="402302B5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https://www.worker-participation.eu/National-Industrial-Relations/Countries/France </w:t>
      </w:r>
    </w:p>
  </w:footnote>
  <w:footnote w:id="9">
    <w:p w14:paraId="1A2BC222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1992. évi Mt. 33. § (6) bek.</w:t>
      </w:r>
    </w:p>
  </w:footnote>
  <w:footnote w:id="10">
    <w:p w14:paraId="1BC346CE" w14:textId="77777777" w:rsidR="002C224A" w:rsidRPr="002C224A" w:rsidRDefault="002C224A" w:rsidP="002C224A">
      <w:pPr>
        <w:pStyle w:val="Lbjegyzetszveg"/>
        <w:jc w:val="both"/>
        <w:rPr>
          <w:rFonts w:ascii="Times New Roman" w:hAnsi="Times New Roman" w:cs="Times New Roman"/>
        </w:rPr>
      </w:pPr>
      <w:r w:rsidRPr="002C224A">
        <w:rPr>
          <w:rStyle w:val="Lbjegyzet-hivatkozs"/>
          <w:rFonts w:ascii="Times New Roman" w:hAnsi="Times New Roman" w:cs="Times New Roman"/>
        </w:rPr>
        <w:footnoteRef/>
      </w:r>
      <w:r w:rsidRPr="002C224A">
        <w:rPr>
          <w:rFonts w:ascii="Times New Roman" w:hAnsi="Times New Roman" w:cs="Times New Roman"/>
        </w:rPr>
        <w:t xml:space="preserve"> </w:t>
      </w:r>
      <w:r w:rsidRPr="002C224A">
        <w:rPr>
          <w:rFonts w:ascii="Times New Roman" w:hAnsi="Times New Roman" w:cs="Times New Roman"/>
          <w:bCs/>
          <w:i/>
          <w:iCs/>
          <w:color w:val="333333"/>
          <w:shd w:val="clear" w:color="auto" w:fill="FFFFFF"/>
          <w:lang w:val="en-GB"/>
        </w:rPr>
        <w:t>Munkaerőfelmérés 2020. I</w:t>
      </w:r>
      <w:r>
        <w:rPr>
          <w:rFonts w:ascii="Times New Roman" w:hAnsi="Times New Roman" w:cs="Times New Roman"/>
          <w:bCs/>
          <w:i/>
          <w:iCs/>
          <w:color w:val="333333"/>
          <w:shd w:val="clear" w:color="auto" w:fill="FFFFFF"/>
          <w:lang w:val="en-GB"/>
        </w:rPr>
        <w:t>. negyedévi kiegészítő felvétel</w:t>
      </w:r>
      <w:r w:rsidRPr="002C224A">
        <w:rPr>
          <w:rFonts w:ascii="Times New Roman" w:hAnsi="Times New Roman" w:cs="Times New Roman"/>
          <w:bCs/>
          <w:iCs/>
          <w:color w:val="333333"/>
          <w:shd w:val="clear" w:color="auto" w:fill="FFFFFF"/>
          <w:lang w:val="en-GB"/>
        </w:rPr>
        <w:t xml:space="preserve">. </w:t>
      </w:r>
      <w:hyperlink r:id="rId1" w:history="1">
        <w:r w:rsidRPr="002C224A">
          <w:rPr>
            <w:rStyle w:val="Hiperhivatkozs"/>
            <w:rFonts w:ascii="Times New Roman" w:hAnsi="Times New Roman" w:cs="Times New Roman"/>
            <w:lang w:val="en-GB"/>
          </w:rPr>
          <w:t>https://www.ksh.hu/stadat_evkozi_9_1?lang=hu</w:t>
        </w:r>
      </w:hyperlink>
    </w:p>
  </w:footnote>
  <w:footnote w:id="11">
    <w:p w14:paraId="2D800602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Létezett ez a megoldás rövid ideig már az 1992. évi Mt.-ben is, mivel az 1999-ben módosított és 2002-ig hatályos 31. § elismerte az ún. normatív hatályú üzemi megállapodást is azzal, hogy arra a kollektív szerződésre vonatkozó rendelkezéseket kellett megfelelően alkalmazni. Kritikáját lásd: Kiss György: </w:t>
      </w:r>
      <w:r w:rsidRPr="00760042">
        <w:rPr>
          <w:rFonts w:ascii="Times New Roman" w:hAnsi="Times New Roman" w:cs="Times New Roman"/>
          <w:i/>
        </w:rPr>
        <w:t>Munkajog</w:t>
      </w:r>
      <w:r w:rsidRPr="002E3977">
        <w:rPr>
          <w:rFonts w:ascii="Times New Roman" w:hAnsi="Times New Roman" w:cs="Times New Roman"/>
        </w:rPr>
        <w:t>. Osi</w:t>
      </w:r>
      <w:r>
        <w:rPr>
          <w:rFonts w:ascii="Times New Roman" w:hAnsi="Times New Roman" w:cs="Times New Roman"/>
        </w:rPr>
        <w:t>ris, Budapest, 2015, 387–388.</w:t>
      </w:r>
    </w:p>
  </w:footnote>
  <w:footnote w:id="12">
    <w:p w14:paraId="237344E8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268. §.</w:t>
      </w:r>
    </w:p>
  </w:footnote>
  <w:footnote w:id="13">
    <w:p w14:paraId="18274B61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A normatív üzemi megállapodások dogmatikai problémáinak összefoglalását lásd: Kártyás Gábor: Kollektív szerződés. In: Gyulavári Tamás (szerk.): </w:t>
      </w:r>
      <w:r w:rsidRPr="00760042">
        <w:rPr>
          <w:rFonts w:ascii="Times New Roman" w:hAnsi="Times New Roman" w:cs="Times New Roman"/>
          <w:i/>
        </w:rPr>
        <w:t>Munkajog</w:t>
      </w:r>
      <w:r w:rsidRPr="002E3977">
        <w:rPr>
          <w:rFonts w:ascii="Times New Roman" w:hAnsi="Times New Roman" w:cs="Times New Roman"/>
        </w:rPr>
        <w:t xml:space="preserve">. ELTE Eötvös </w:t>
      </w:r>
      <w:r>
        <w:rPr>
          <w:rFonts w:ascii="Times New Roman" w:hAnsi="Times New Roman" w:cs="Times New Roman"/>
        </w:rPr>
        <w:t>Kiadó, Budapest, 2019, 462–463</w:t>
      </w:r>
      <w:r w:rsidRPr="002E3977">
        <w:rPr>
          <w:rFonts w:ascii="Times New Roman" w:hAnsi="Times New Roman" w:cs="Times New Roman"/>
        </w:rPr>
        <w:t xml:space="preserve">.; Szabó Imre Szilárd: A kollektív szerződések szerepe a megújult munkajogi szabályozásban. </w:t>
      </w:r>
      <w:r w:rsidRPr="00760042">
        <w:rPr>
          <w:rFonts w:ascii="Times New Roman" w:hAnsi="Times New Roman" w:cs="Times New Roman"/>
          <w:i/>
        </w:rPr>
        <w:t>Magyar Munkajog E-folyóirat</w:t>
      </w:r>
      <w:r w:rsidRPr="002E3977">
        <w:rPr>
          <w:rFonts w:ascii="Times New Roman" w:hAnsi="Times New Roman" w:cs="Times New Roman"/>
        </w:rPr>
        <w:t>, hllj.hu, 2015/1., 38–39</w:t>
      </w:r>
      <w:r>
        <w:rPr>
          <w:rFonts w:ascii="Times New Roman" w:hAnsi="Times New Roman" w:cs="Times New Roman"/>
        </w:rPr>
        <w:t>.</w:t>
      </w:r>
    </w:p>
  </w:footnote>
  <w:footnote w:id="14">
    <w:p w14:paraId="36838C93" w14:textId="77777777" w:rsidR="00536E49" w:rsidRDefault="00536E49" w:rsidP="00536E4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36E49">
        <w:rPr>
          <w:rFonts w:ascii="Times New Roman" w:hAnsi="Times New Roman" w:cs="Times New Roman"/>
          <w:lang w:val="en-GB"/>
        </w:rPr>
        <w:t xml:space="preserve">Weiss, Manfred. 2019. “The Sources of German Labour Law”. In: </w:t>
      </w:r>
      <w:r w:rsidRPr="00536E49">
        <w:rPr>
          <w:rFonts w:ascii="Times New Roman" w:hAnsi="Times New Roman" w:cs="Times New Roman"/>
          <w:i/>
          <w:iCs/>
          <w:lang w:val="en-GB"/>
        </w:rPr>
        <w:t>The Sources of Labour Law</w:t>
      </w:r>
      <w:r w:rsidRPr="00536E49">
        <w:rPr>
          <w:rFonts w:ascii="Times New Roman" w:hAnsi="Times New Roman" w:cs="Times New Roman"/>
          <w:lang w:val="en-GB"/>
        </w:rPr>
        <w:t>, edited by Gyulavári, Tamás and Menegatti, Emanuele, 229-244. The Hague: Kluwer Law I</w:t>
      </w:r>
      <w:r>
        <w:rPr>
          <w:rFonts w:ascii="Times New Roman" w:hAnsi="Times New Roman" w:cs="Times New Roman"/>
          <w:lang w:val="en-GB"/>
        </w:rPr>
        <w:t>nternational, pp. 240-242.</w:t>
      </w:r>
    </w:p>
  </w:footnote>
  <w:footnote w:id="15">
    <w:p w14:paraId="6FB4B00D" w14:textId="77777777" w:rsidR="002C224A" w:rsidRPr="002C224A" w:rsidRDefault="002C224A" w:rsidP="002C224A">
      <w:pPr>
        <w:pStyle w:val="Lbjegyzetszveg"/>
        <w:jc w:val="both"/>
        <w:rPr>
          <w:rFonts w:ascii="Times New Roman" w:hAnsi="Times New Roman" w:cs="Times New Roman"/>
        </w:rPr>
      </w:pPr>
      <w:r w:rsidRPr="002C224A">
        <w:rPr>
          <w:rStyle w:val="Lbjegyzet-hivatkozs"/>
          <w:rFonts w:ascii="Times New Roman" w:hAnsi="Times New Roman" w:cs="Times New Roman"/>
        </w:rPr>
        <w:footnoteRef/>
      </w:r>
      <w:r w:rsidRPr="002C224A">
        <w:rPr>
          <w:rFonts w:ascii="Times New Roman" w:hAnsi="Times New Roman" w:cs="Times New Roman"/>
        </w:rPr>
        <w:t xml:space="preserve"> </w:t>
      </w:r>
      <w:r w:rsidRPr="002C224A">
        <w:rPr>
          <w:rFonts w:ascii="Times New Roman" w:hAnsi="Times New Roman" w:cs="Times New Roman"/>
          <w:lang w:val="en-GB"/>
        </w:rPr>
        <w:t xml:space="preserve">Szabó, Imre Sz. 2022. </w:t>
      </w:r>
      <w:r w:rsidRPr="002C224A">
        <w:rPr>
          <w:rFonts w:ascii="Times New Roman" w:hAnsi="Times New Roman" w:cs="Times New Roman"/>
          <w:i/>
          <w:lang w:val="en-GB"/>
        </w:rPr>
        <w:t>A szakszervezetek jogállása a magyar munkajogban.</w:t>
      </w:r>
      <w:r w:rsidRPr="002C224A">
        <w:rPr>
          <w:rFonts w:ascii="Times New Roman" w:hAnsi="Times New Roman" w:cs="Times New Roman"/>
          <w:lang w:val="en-GB"/>
        </w:rPr>
        <w:t xml:space="preserve"> Budapest: Novissima</w:t>
      </w:r>
      <w:r>
        <w:rPr>
          <w:rFonts w:ascii="Times New Roman" w:hAnsi="Times New Roman" w:cs="Times New Roman"/>
          <w:lang w:val="en-GB"/>
        </w:rPr>
        <w:t>, 225.</w:t>
      </w:r>
    </w:p>
  </w:footnote>
  <w:footnote w:id="16">
    <w:p w14:paraId="01D2DBF6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267. § (5) bek.</w:t>
      </w:r>
    </w:p>
  </w:footnote>
  <w:footnote w:id="17">
    <w:p w14:paraId="114D1BF3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276. § (4) bek.</w:t>
      </w:r>
    </w:p>
  </w:footnote>
  <w:footnote w:id="18">
    <w:p w14:paraId="5635F9DE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EBH 2002.684.; BH 2003.128.</w:t>
      </w:r>
    </w:p>
  </w:footnote>
  <w:footnote w:id="19">
    <w:p w14:paraId="6FBF9A27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276. § (8) bek.</w:t>
      </w:r>
    </w:p>
  </w:footnote>
  <w:footnote w:id="20">
    <w:p w14:paraId="2489C893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A sztrájkról szóló 1989. évi VII. törvény (a továbbiakban: Sztrájktv.) 3. § (1) bek. d) pont.; Szabó 2015, 33</w:t>
      </w:r>
      <w:r>
        <w:rPr>
          <w:rFonts w:ascii="Times New Roman" w:hAnsi="Times New Roman" w:cs="Times New Roman"/>
        </w:rPr>
        <w:t xml:space="preserve">; Szabó Imre Szilárd: </w:t>
      </w:r>
      <w:r w:rsidRPr="00540452">
        <w:rPr>
          <w:rFonts w:ascii="Times New Roman" w:hAnsi="Times New Roman" w:cs="Times New Roman"/>
        </w:rPr>
        <w:t xml:space="preserve">Még elégséges szolgáltatás a gyakorlatban – az elmúlt 13 év „legnagyobb” személyszállítási sztrájkjának tanulságai. </w:t>
      </w:r>
      <w:r w:rsidRPr="00540452">
        <w:rPr>
          <w:rFonts w:ascii="Times New Roman" w:hAnsi="Times New Roman" w:cs="Times New Roman"/>
          <w:i/>
        </w:rPr>
        <w:t>Munkajog</w:t>
      </w:r>
      <w:r w:rsidRPr="00540452">
        <w:rPr>
          <w:rFonts w:ascii="Times New Roman" w:hAnsi="Times New Roman" w:cs="Times New Roman"/>
        </w:rPr>
        <w:t>, 2023/2. 65</w:t>
      </w:r>
      <w:r>
        <w:rPr>
          <w:rFonts w:ascii="Times New Roman" w:hAnsi="Times New Roman" w:cs="Times New Roman"/>
        </w:rPr>
        <w:t>–</w:t>
      </w:r>
      <w:r w:rsidRPr="00540452">
        <w:rPr>
          <w:rFonts w:ascii="Times New Roman" w:hAnsi="Times New Roman" w:cs="Times New Roman"/>
        </w:rPr>
        <w:t>70.</w:t>
      </w:r>
      <w:r w:rsidRPr="002E3977">
        <w:rPr>
          <w:rFonts w:ascii="Times New Roman" w:hAnsi="Times New Roman" w:cs="Times New Roman"/>
        </w:rPr>
        <w:t>.</w:t>
      </w:r>
    </w:p>
  </w:footnote>
  <w:footnote w:id="21">
    <w:p w14:paraId="54E0735D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EBH 2018.M.6.</w:t>
      </w:r>
    </w:p>
  </w:footnote>
  <w:footnote w:id="22">
    <w:p w14:paraId="41B686F5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Balogh Áron Péter: A kollektív szerződés módosítása szerződéskötési képesség hiányában. </w:t>
      </w:r>
      <w:r w:rsidRPr="00760042">
        <w:rPr>
          <w:rFonts w:ascii="Times New Roman" w:hAnsi="Times New Roman" w:cs="Times New Roman"/>
          <w:i/>
        </w:rPr>
        <w:t>Munkajog</w:t>
      </w:r>
      <w:r w:rsidRPr="002E3977">
        <w:rPr>
          <w:rFonts w:ascii="Times New Roman" w:hAnsi="Times New Roman" w:cs="Times New Roman"/>
        </w:rPr>
        <w:t xml:space="preserve">, 2019/1.; Nemeskéri-Kutlán Endre: „Örökös tagság?”, avagy a kollektív szerződés kötésére vonatkozó szakszervezeti jogosultság anomáliáinak feloldhatósága a jogalkotás által. In: </w:t>
      </w:r>
      <w:r w:rsidRPr="00760042">
        <w:rPr>
          <w:rFonts w:ascii="Times New Roman" w:hAnsi="Times New Roman" w:cs="Times New Roman"/>
          <w:i/>
        </w:rPr>
        <w:t>Ünnepli tanulmányok Lőrincz György 70. születésnapja tiszteletére</w:t>
      </w:r>
      <w:r w:rsidRPr="002E3977">
        <w:rPr>
          <w:rFonts w:ascii="Times New Roman" w:hAnsi="Times New Roman" w:cs="Times New Roman"/>
        </w:rPr>
        <w:t>. HVG-ORAC, Budapest, 2019.</w:t>
      </w:r>
    </w:p>
  </w:footnote>
  <w:footnote w:id="23">
    <w:p w14:paraId="12644C7C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Részletesen lásd: Hágelmayer Istvánné: </w:t>
      </w:r>
      <w:r w:rsidRPr="00760042">
        <w:rPr>
          <w:rFonts w:ascii="Times New Roman" w:hAnsi="Times New Roman" w:cs="Times New Roman"/>
          <w:i/>
        </w:rPr>
        <w:t>A kollektív szerződések alapkérdései</w:t>
      </w:r>
      <w:r w:rsidRPr="002E3977">
        <w:rPr>
          <w:rFonts w:ascii="Times New Roman" w:hAnsi="Times New Roman" w:cs="Times New Roman"/>
        </w:rPr>
        <w:t>. Akadémiai K</w:t>
      </w:r>
      <w:r>
        <w:rPr>
          <w:rFonts w:ascii="Times New Roman" w:hAnsi="Times New Roman" w:cs="Times New Roman"/>
        </w:rPr>
        <w:t>iadó, Budapest, 1979, 325., 329</w:t>
      </w:r>
      <w:r w:rsidRPr="002E3977">
        <w:rPr>
          <w:rFonts w:ascii="Times New Roman" w:hAnsi="Times New Roman" w:cs="Times New Roman"/>
        </w:rPr>
        <w:t xml:space="preserve">.; újabban: Puskás Ágnes: A kollektív szerződés jogi természetéről. </w:t>
      </w:r>
      <w:r w:rsidRPr="00760042">
        <w:rPr>
          <w:rFonts w:ascii="Times New Roman" w:hAnsi="Times New Roman" w:cs="Times New Roman"/>
          <w:i/>
        </w:rPr>
        <w:t>Pro Futuro</w:t>
      </w:r>
      <w:r>
        <w:rPr>
          <w:rFonts w:ascii="Times New Roman" w:hAnsi="Times New Roman" w:cs="Times New Roman"/>
        </w:rPr>
        <w:t>, 2019/2., 74–81.</w:t>
      </w:r>
    </w:p>
  </w:footnote>
  <w:footnote w:id="24">
    <w:p w14:paraId="7C03F63F" w14:textId="4E4CCC29" w:rsidR="009862D5" w:rsidRPr="009862D5" w:rsidRDefault="009862D5">
      <w:pPr>
        <w:pStyle w:val="Lbjegyzetszveg"/>
        <w:rPr>
          <w:rFonts w:ascii="Times New Roman" w:hAnsi="Times New Roman" w:cs="Times New Roman"/>
        </w:rPr>
      </w:pPr>
      <w:r w:rsidRPr="009862D5">
        <w:rPr>
          <w:rStyle w:val="Lbjegyzet-hivatkozs"/>
          <w:rFonts w:ascii="Times New Roman" w:hAnsi="Times New Roman" w:cs="Times New Roman"/>
        </w:rPr>
        <w:footnoteRef/>
      </w:r>
      <w:r w:rsidRPr="009862D5">
        <w:rPr>
          <w:rFonts w:ascii="Times New Roman" w:hAnsi="Times New Roman" w:cs="Times New Roman"/>
        </w:rPr>
        <w:t xml:space="preserve"> </w:t>
      </w:r>
      <w:hyperlink r:id="rId2" w:tgtFrame="_blank" w:history="1">
        <w:r w:rsidRPr="009862D5">
          <w:rPr>
            <w:rStyle w:val="Hiperhivatkozs"/>
            <w:rFonts w:ascii="Times New Roman" w:hAnsi="Times New Roman" w:cs="Times New Roman"/>
          </w:rPr>
          <w:t>Kiss György: A kollektív szerződés magánjo</w:t>
        </w:r>
        <w:r w:rsidRPr="009862D5">
          <w:rPr>
            <w:rStyle w:val="Hiperhivatkozs"/>
            <w:rFonts w:ascii="Times New Roman" w:hAnsi="Times New Roman" w:cs="Times New Roman"/>
          </w:rPr>
          <w:t xml:space="preserve">gi természetének megítéléséről. </w:t>
        </w:r>
        <w:r w:rsidRPr="009862D5">
          <w:rPr>
            <w:rStyle w:val="Hiperhivatkozs"/>
            <w:rFonts w:ascii="Times New Roman" w:hAnsi="Times New Roman" w:cs="Times New Roman"/>
            <w:i/>
          </w:rPr>
          <w:t>Közjogi Szemle</w:t>
        </w:r>
        <w:r>
          <w:rPr>
            <w:rStyle w:val="Hiperhivatkozs"/>
            <w:rFonts w:ascii="Times New Roman" w:hAnsi="Times New Roman" w:cs="Times New Roman"/>
          </w:rPr>
          <w:t>,</w:t>
        </w:r>
        <w:r w:rsidRPr="009862D5">
          <w:rPr>
            <w:rStyle w:val="Hiperhivatkozs"/>
            <w:rFonts w:ascii="Times New Roman" w:hAnsi="Times New Roman" w:cs="Times New Roman"/>
          </w:rPr>
          <w:t xml:space="preserve"> 2023/4:</w:t>
        </w:r>
        <w:r w:rsidRPr="009862D5">
          <w:rPr>
            <w:rStyle w:val="Hiperhivatkozs"/>
            <w:rFonts w:ascii="Times New Roman" w:hAnsi="Times New Roman" w:cs="Times New Roman"/>
          </w:rPr>
          <w:t xml:space="preserve"> 85-92.</w:t>
        </w:r>
      </w:hyperlink>
    </w:p>
  </w:footnote>
  <w:footnote w:id="25">
    <w:p w14:paraId="2CD6DE9B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277. § (2) bek.</w:t>
      </w:r>
    </w:p>
  </w:footnote>
  <w:footnote w:id="26">
    <w:p w14:paraId="4A26A491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Berke Gyula: </w:t>
      </w:r>
      <w:r w:rsidRPr="00760042">
        <w:rPr>
          <w:rFonts w:ascii="Times New Roman" w:hAnsi="Times New Roman" w:cs="Times New Roman"/>
          <w:i/>
        </w:rPr>
        <w:t>A kollektív szerződés a magyar munkajogban</w:t>
      </w:r>
      <w:r w:rsidRPr="002E3977">
        <w:rPr>
          <w:rFonts w:ascii="Times New Roman" w:hAnsi="Times New Roman" w:cs="Times New Roman"/>
        </w:rPr>
        <w:t>. Utilitates Bt., Pécs, 2014, 148.</w:t>
      </w:r>
    </w:p>
  </w:footnote>
  <w:footnote w:id="27">
    <w:p w14:paraId="47843AB9" w14:textId="77777777" w:rsidR="00771B8B" w:rsidRPr="00771B8B" w:rsidRDefault="00771B8B" w:rsidP="00771B8B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71B8B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771B8B">
        <w:rPr>
          <w:rFonts w:ascii="Times New Roman" w:hAnsi="Times New Roman" w:cs="Times New Roman"/>
          <w:sz w:val="20"/>
          <w:szCs w:val="20"/>
        </w:rPr>
        <w:t xml:space="preserve"> Gyulavári, Tamás – Menegatti, Emanuele: Introduction: Recent Trends in the Hierarchy of Labour Law Sources In: Gyulavári, Tamás – Menegatti, Emanuele (eds.): The Sources of Labour Law. Kluwer Law International,</w:t>
      </w:r>
      <w:r w:rsidR="00B05322">
        <w:rPr>
          <w:rFonts w:ascii="Times New Roman" w:hAnsi="Times New Roman" w:cs="Times New Roman"/>
          <w:sz w:val="20"/>
          <w:szCs w:val="20"/>
        </w:rPr>
        <w:t xml:space="preserve"> The Hague, 2020</w:t>
      </w:r>
      <w:r w:rsidRPr="00771B8B">
        <w:rPr>
          <w:rFonts w:ascii="Times New Roman" w:hAnsi="Times New Roman" w:cs="Times New Roman"/>
          <w:sz w:val="20"/>
          <w:szCs w:val="20"/>
        </w:rPr>
        <w:t>.</w:t>
      </w:r>
    </w:p>
  </w:footnote>
  <w:footnote w:id="28">
    <w:p w14:paraId="36CDA233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94. § (2) bek.</w:t>
      </w:r>
    </w:p>
  </w:footnote>
  <w:footnote w:id="29">
    <w:p w14:paraId="09D453F3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97. § (5) bek.</w:t>
      </w:r>
    </w:p>
  </w:footnote>
  <w:footnote w:id="30">
    <w:p w14:paraId="31A54774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104. § (2) bek.</w:t>
      </w:r>
    </w:p>
  </w:footnote>
  <w:footnote w:id="31">
    <w:p w14:paraId="2CB2ED22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105–106. §.</w:t>
      </w:r>
    </w:p>
  </w:footnote>
  <w:footnote w:id="32">
    <w:p w14:paraId="673FE979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109. §.</w:t>
      </w:r>
    </w:p>
  </w:footnote>
  <w:footnote w:id="33">
    <w:p w14:paraId="19ECA2AC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179. § (3) bek., 285. § (2) bek., 56. §.</w:t>
      </w:r>
    </w:p>
  </w:footnote>
  <w:footnote w:id="34">
    <w:p w14:paraId="2629608D" w14:textId="77777777" w:rsidR="00A54624" w:rsidRPr="002E3977" w:rsidRDefault="00A54624" w:rsidP="00A54624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2E3977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2E3977">
        <w:rPr>
          <w:rFonts w:ascii="Times New Roman" w:hAnsi="Times New Roman" w:cs="Times New Roman"/>
          <w:sz w:val="20"/>
          <w:szCs w:val="20"/>
        </w:rPr>
        <w:t xml:space="preserve"> Donna E. Wood: </w:t>
      </w:r>
      <w:r w:rsidRPr="002E3977">
        <w:rPr>
          <w:rFonts w:ascii="Times New Roman" w:hAnsi="Times New Roman" w:cs="Times New Roman"/>
          <w:iCs/>
          <w:sz w:val="20"/>
          <w:szCs w:val="20"/>
        </w:rPr>
        <w:t>Building Flexibility and Accountability into Local Employment Services: Country Report for Canada.</w:t>
      </w:r>
      <w:r w:rsidRPr="002E3977">
        <w:rPr>
          <w:rFonts w:ascii="Times New Roman" w:hAnsi="Times New Roman" w:cs="Times New Roman"/>
          <w:sz w:val="20"/>
          <w:szCs w:val="20"/>
        </w:rPr>
        <w:t xml:space="preserve"> </w:t>
      </w:r>
      <w:r w:rsidRPr="00760042">
        <w:rPr>
          <w:rFonts w:ascii="Times New Roman" w:hAnsi="Times New Roman" w:cs="Times New Roman"/>
          <w:i/>
          <w:sz w:val="20"/>
          <w:szCs w:val="20"/>
        </w:rPr>
        <w:t>OECD Local Economic and Employment Development (LEED) Working Papers</w:t>
      </w:r>
      <w:r w:rsidRPr="002E3977">
        <w:rPr>
          <w:rFonts w:ascii="Times New Roman" w:hAnsi="Times New Roman" w:cs="Times New Roman"/>
          <w:sz w:val="20"/>
          <w:szCs w:val="20"/>
        </w:rPr>
        <w:t>, 2010/</w:t>
      </w:r>
      <w:r>
        <w:rPr>
          <w:rFonts w:ascii="Times New Roman" w:hAnsi="Times New Roman" w:cs="Times New Roman"/>
          <w:sz w:val="20"/>
          <w:szCs w:val="20"/>
        </w:rPr>
        <w:t>17, OECD Publishing, Paris, 9.</w:t>
      </w:r>
    </w:p>
  </w:footnote>
  <w:footnote w:id="35">
    <w:p w14:paraId="1C69C051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Campos Nauro: </w:t>
      </w:r>
      <w:r w:rsidRPr="00760042">
        <w:rPr>
          <w:rFonts w:ascii="Times New Roman" w:hAnsi="Times New Roman" w:cs="Times New Roman"/>
          <w:i/>
        </w:rPr>
        <w:t>Goulash Reforms: Tracking thirty years of labour law changes in Hungary</w:t>
      </w:r>
      <w:r w:rsidRPr="002E3977">
        <w:rPr>
          <w:rFonts w:ascii="Times New Roman" w:hAnsi="Times New Roman" w:cs="Times New Roman"/>
        </w:rPr>
        <w:t xml:space="preserve">. </w:t>
      </w:r>
      <w:r w:rsidRPr="00760042">
        <w:rPr>
          <w:rFonts w:ascii="Times New Roman" w:hAnsi="Times New Roman" w:cs="Times New Roman"/>
        </w:rPr>
        <w:t>https://blogs.lse.ac.uk/businessreview/2019/11/11/goulash-reforms-tracking-thirty-years-of-labour-law-changes-in-hungary/</w:t>
      </w:r>
    </w:p>
  </w:footnote>
  <w:footnote w:id="36">
    <w:p w14:paraId="200394A8" w14:textId="77777777" w:rsidR="00A54624" w:rsidRPr="002E3977" w:rsidRDefault="00A54624" w:rsidP="00A54624">
      <w:pPr>
        <w:pStyle w:val="Lbjegyzetszveg"/>
        <w:jc w:val="both"/>
        <w:rPr>
          <w:rFonts w:ascii="Times New Roman" w:hAnsi="Times New Roman" w:cs="Times New Roman"/>
        </w:rPr>
      </w:pPr>
      <w:r w:rsidRPr="002E3977">
        <w:rPr>
          <w:rStyle w:val="Lbjegyzet-hivatkozs"/>
          <w:rFonts w:ascii="Times New Roman" w:hAnsi="Times New Roman" w:cs="Times New Roman"/>
        </w:rPr>
        <w:footnoteRef/>
      </w:r>
      <w:r w:rsidRPr="002E3977">
        <w:rPr>
          <w:rFonts w:ascii="Times New Roman" w:hAnsi="Times New Roman" w:cs="Times New Roman"/>
        </w:rPr>
        <w:t xml:space="preserve"> Mt. 277. § (4) bek.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67B"/>
    <w:multiLevelType w:val="hybridMultilevel"/>
    <w:tmpl w:val="95E26592"/>
    <w:lvl w:ilvl="0" w:tplc="0EF8B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12DD"/>
    <w:multiLevelType w:val="hybridMultilevel"/>
    <w:tmpl w:val="8F60E9C8"/>
    <w:lvl w:ilvl="0" w:tplc="8F1A5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24"/>
    <w:rsid w:val="00010276"/>
    <w:rsid w:val="00016799"/>
    <w:rsid w:val="000230B8"/>
    <w:rsid w:val="00034C2E"/>
    <w:rsid w:val="00064ED1"/>
    <w:rsid w:val="00075889"/>
    <w:rsid w:val="000835C3"/>
    <w:rsid w:val="000B34B9"/>
    <w:rsid w:val="000F08DF"/>
    <w:rsid w:val="000F09F1"/>
    <w:rsid w:val="000F567A"/>
    <w:rsid w:val="00123650"/>
    <w:rsid w:val="00183F71"/>
    <w:rsid w:val="00193881"/>
    <w:rsid w:val="001E31D1"/>
    <w:rsid w:val="0024083F"/>
    <w:rsid w:val="00263CA6"/>
    <w:rsid w:val="00271C74"/>
    <w:rsid w:val="00293373"/>
    <w:rsid w:val="002A369B"/>
    <w:rsid w:val="002C224A"/>
    <w:rsid w:val="002F5D35"/>
    <w:rsid w:val="00315E21"/>
    <w:rsid w:val="0034129C"/>
    <w:rsid w:val="00344FB0"/>
    <w:rsid w:val="003471B8"/>
    <w:rsid w:val="0035167F"/>
    <w:rsid w:val="0036182E"/>
    <w:rsid w:val="00396B0B"/>
    <w:rsid w:val="003A169C"/>
    <w:rsid w:val="003A6637"/>
    <w:rsid w:val="003F7061"/>
    <w:rsid w:val="0046061D"/>
    <w:rsid w:val="00461563"/>
    <w:rsid w:val="004D57F7"/>
    <w:rsid w:val="004F6AB7"/>
    <w:rsid w:val="00511E45"/>
    <w:rsid w:val="005157B2"/>
    <w:rsid w:val="00536E49"/>
    <w:rsid w:val="00584790"/>
    <w:rsid w:val="005B0D8C"/>
    <w:rsid w:val="00635E30"/>
    <w:rsid w:val="006A3A9A"/>
    <w:rsid w:val="006D501F"/>
    <w:rsid w:val="00771B8B"/>
    <w:rsid w:val="00803A36"/>
    <w:rsid w:val="008141E6"/>
    <w:rsid w:val="00830C95"/>
    <w:rsid w:val="008E0952"/>
    <w:rsid w:val="008E11F4"/>
    <w:rsid w:val="009862D5"/>
    <w:rsid w:val="009A255F"/>
    <w:rsid w:val="009C1A9D"/>
    <w:rsid w:val="00A34F14"/>
    <w:rsid w:val="00A54624"/>
    <w:rsid w:val="00A64AB5"/>
    <w:rsid w:val="00A96B3F"/>
    <w:rsid w:val="00AE6538"/>
    <w:rsid w:val="00B01125"/>
    <w:rsid w:val="00B05322"/>
    <w:rsid w:val="00B270B4"/>
    <w:rsid w:val="00B34B25"/>
    <w:rsid w:val="00B517DD"/>
    <w:rsid w:val="00B716DE"/>
    <w:rsid w:val="00B83FF2"/>
    <w:rsid w:val="00B8641B"/>
    <w:rsid w:val="00BC5B72"/>
    <w:rsid w:val="00C75931"/>
    <w:rsid w:val="00CF7B12"/>
    <w:rsid w:val="00D026AD"/>
    <w:rsid w:val="00D0685A"/>
    <w:rsid w:val="00D151AA"/>
    <w:rsid w:val="00DE47FA"/>
    <w:rsid w:val="00DE7FA6"/>
    <w:rsid w:val="00E6463F"/>
    <w:rsid w:val="00E65AD6"/>
    <w:rsid w:val="00EA5A8C"/>
    <w:rsid w:val="00EE6125"/>
    <w:rsid w:val="00F0564C"/>
    <w:rsid w:val="00F45E6A"/>
    <w:rsid w:val="00F62B73"/>
    <w:rsid w:val="00F917F5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75AA"/>
  <w15:chartTrackingRefBased/>
  <w15:docId w15:val="{63054830-DFC9-451A-A350-8FCF7D47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624"/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54624"/>
    <w:pPr>
      <w:keepNext/>
      <w:keepLines/>
      <w:spacing w:before="40"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54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462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54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54624"/>
    <w:pPr>
      <w:ind w:left="720"/>
      <w:contextualSpacing/>
    </w:p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,EUMC_Lábjegyzetszöveg,Char Char,fn,footnotes,Footnote Text Char,Char Char Char Char,F"/>
    <w:basedOn w:val="Norml"/>
    <w:link w:val="LbjegyzetszvegChar"/>
    <w:uiPriority w:val="99"/>
    <w:unhideWhenUsed/>
    <w:qFormat/>
    <w:rsid w:val="00A546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,EUMC_Lábjegyzetszöveg Char,Char Char Char,fn Char,footnotes Char"/>
    <w:basedOn w:val="Bekezdsalapbettpusa"/>
    <w:link w:val="Lbjegyzetszveg"/>
    <w:uiPriority w:val="99"/>
    <w:qFormat/>
    <w:rsid w:val="00A54624"/>
    <w:rPr>
      <w:sz w:val="20"/>
      <w:szCs w:val="20"/>
    </w:rPr>
  </w:style>
  <w:style w:type="character" w:styleId="Lbjegyzet-hivatkozs">
    <w:name w:val="footnote reference"/>
    <w:aliases w:val="Footnote Refernece,callout,4_G,ftref,footnote ref,Footnotes refss,Footnote"/>
    <w:basedOn w:val="Bekezdsalapbettpusa"/>
    <w:uiPriority w:val="99"/>
    <w:unhideWhenUsed/>
    <w:qFormat/>
    <w:rsid w:val="00A54624"/>
    <w:rPr>
      <w:vertAlign w:val="superscript"/>
    </w:rPr>
  </w:style>
  <w:style w:type="paragraph" w:styleId="Nincstrkz">
    <w:name w:val="No Spacing"/>
    <w:uiPriority w:val="1"/>
    <w:qFormat/>
    <w:rsid w:val="00A5462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C224A"/>
    <w:rPr>
      <w:color w:val="0000FF"/>
      <w:u w:val="single"/>
    </w:rPr>
  </w:style>
  <w:style w:type="character" w:customStyle="1" w:styleId="highlighted">
    <w:name w:val="highlighted"/>
    <w:basedOn w:val="Bekezdsalapbettpusa"/>
    <w:rsid w:val="004D57F7"/>
  </w:style>
  <w:style w:type="character" w:styleId="Jegyzethivatkozs">
    <w:name w:val="annotation reference"/>
    <w:basedOn w:val="Bekezdsalapbettpusa"/>
    <w:uiPriority w:val="99"/>
    <w:semiHidden/>
    <w:unhideWhenUsed/>
    <w:rsid w:val="00B864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864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8641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64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641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41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F0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2-1-00-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zakcikkadatbazis.hu/doc/5169285" TargetMode="External"/><Relationship Id="rId1" Type="http://schemas.openxmlformats.org/officeDocument/2006/relationships/hyperlink" Target="https://www.ksh.hu/stadat_evkozi_9_1?lang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0CC4-E6FF-4682-9580-E367B36D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4267</Words>
  <Characters>29445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Gyulavári Tamás</dc:creator>
  <cp:keywords/>
  <dc:description/>
  <cp:lastModifiedBy>Gyulavári Tamás</cp:lastModifiedBy>
  <cp:revision>13</cp:revision>
  <dcterms:created xsi:type="dcterms:W3CDTF">2024-04-14T12:58:00Z</dcterms:created>
  <dcterms:modified xsi:type="dcterms:W3CDTF">2024-05-07T15:04:00Z</dcterms:modified>
</cp:coreProperties>
</file>