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CB2F" w14:textId="22232CB2" w:rsidR="000B0B08" w:rsidRDefault="000B0B08" w:rsidP="00D72AB5">
      <w:pPr>
        <w:spacing w:after="0" w:line="36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III. rész</w:t>
      </w:r>
    </w:p>
    <w:p w14:paraId="2696E45A" w14:textId="7E5103EE" w:rsidR="00D72AB5" w:rsidRPr="00D72AB5" w:rsidRDefault="00D72AB5" w:rsidP="00D72AB5">
      <w:pPr>
        <w:spacing w:after="0" w:line="360" w:lineRule="auto"/>
        <w:jc w:val="center"/>
        <w:rPr>
          <w:rFonts w:ascii="Times New Roman" w:eastAsia="Times New Roman" w:hAnsi="Times New Roman" w:cs="Times New Roman"/>
          <w:b/>
          <w:bCs/>
          <w:color w:val="000000"/>
          <w:sz w:val="24"/>
          <w:szCs w:val="24"/>
          <w:lang w:eastAsia="hu-HU"/>
        </w:rPr>
      </w:pPr>
      <w:r w:rsidRPr="00D72AB5">
        <w:rPr>
          <w:rFonts w:ascii="Times New Roman" w:eastAsia="Times New Roman" w:hAnsi="Times New Roman" w:cs="Times New Roman"/>
          <w:b/>
          <w:bCs/>
          <w:color w:val="000000"/>
          <w:sz w:val="24"/>
          <w:szCs w:val="24"/>
          <w:lang w:eastAsia="hu-HU"/>
        </w:rPr>
        <w:t>Kártyás Gábor:</w:t>
      </w:r>
    </w:p>
    <w:p w14:paraId="38EE53F9" w14:textId="6DC48107" w:rsidR="00D72AB5" w:rsidRPr="00D72AB5" w:rsidRDefault="00D72AB5" w:rsidP="00D72AB5">
      <w:pPr>
        <w:spacing w:after="0" w:line="360" w:lineRule="auto"/>
        <w:jc w:val="center"/>
        <w:rPr>
          <w:rFonts w:ascii="Times New Roman" w:eastAsia="Times New Roman" w:hAnsi="Times New Roman" w:cs="Times New Roman"/>
          <w:b/>
          <w:bCs/>
          <w:color w:val="000000"/>
          <w:sz w:val="24"/>
          <w:szCs w:val="24"/>
          <w:lang w:eastAsia="hu-HU"/>
        </w:rPr>
      </w:pPr>
      <w:r w:rsidRPr="00D72AB5">
        <w:rPr>
          <w:rFonts w:ascii="Times New Roman" w:eastAsia="Times New Roman" w:hAnsi="Times New Roman" w:cs="Times New Roman"/>
          <w:b/>
          <w:bCs/>
          <w:color w:val="000000"/>
          <w:sz w:val="24"/>
          <w:szCs w:val="24"/>
          <w:lang w:eastAsia="hu-HU"/>
        </w:rPr>
        <w:t>Kollektív alku a közszférában</w:t>
      </w:r>
    </w:p>
    <w:p w14:paraId="7C0F307F" w14:textId="77777777" w:rsidR="00D72AB5" w:rsidRDefault="00D72AB5" w:rsidP="000E2EED">
      <w:pPr>
        <w:spacing w:after="0" w:line="360" w:lineRule="auto"/>
        <w:jc w:val="both"/>
        <w:rPr>
          <w:rFonts w:ascii="Times New Roman" w:eastAsia="Times New Roman" w:hAnsi="Times New Roman" w:cs="Times New Roman"/>
          <w:color w:val="000000"/>
          <w:sz w:val="24"/>
          <w:szCs w:val="24"/>
          <w:lang w:eastAsia="hu-HU"/>
        </w:rPr>
      </w:pPr>
    </w:p>
    <w:p w14:paraId="1DD51B50" w14:textId="6FBC2D4D" w:rsidR="00F7286C" w:rsidRDefault="00E04970"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közszféra és a magánszféra foglalkoztatási jogviszonyai számos tekintetben markánsan különböznek, ám összeköti a két területet, hogy mindkettő esetén a munkát végző a munkáltató alárendeltségében, a számára adott körülmények között végez munkát.</w:t>
      </w:r>
      <w:r w:rsidR="00A15C01">
        <w:rPr>
          <w:rStyle w:val="Lbjegyzet-hivatkozs"/>
          <w:rFonts w:ascii="Times New Roman" w:eastAsia="Times New Roman" w:hAnsi="Times New Roman" w:cs="Times New Roman"/>
          <w:color w:val="000000"/>
          <w:sz w:val="24"/>
          <w:szCs w:val="24"/>
          <w:lang w:eastAsia="hu-HU"/>
        </w:rPr>
        <w:footnoteReference w:id="1"/>
      </w:r>
      <w:r>
        <w:rPr>
          <w:rFonts w:ascii="Times New Roman" w:eastAsia="Times New Roman" w:hAnsi="Times New Roman" w:cs="Times New Roman"/>
          <w:color w:val="000000"/>
          <w:sz w:val="24"/>
          <w:szCs w:val="24"/>
          <w:lang w:eastAsia="hu-HU"/>
        </w:rPr>
        <w:t xml:space="preserve"> A foglalkoztatás önállótlan jellegére tekintettel a közszférában is érvényes a kollektív érdekvédelmi jogosultságok, így különösen a szakszervezeti szervezkedés, a kollektív alku és a sztrájk rendeltetése, hiszen ezek nélkül nem valósulhat meg a felek közötti alárendeltségi viszony méltányos kiegyenlítése. Ebben a tanulmányban először áttekintjük, milyen különbségekre kell tekintettel lenni a kollektív alku joga kapcsán, ha a munkáltató szerepében az állam, illetve valamilyen állami szerv jár el, majd felvázoljuk, miként jelennek meg ezek az elvi különbségek a közszféra kollektív alkujára vonatkozó nemzetközi követelményekben. Ezt követi a magyar tételes szabályozás elemzése</w:t>
      </w:r>
      <w:r w:rsidR="00D52E0C">
        <w:rPr>
          <w:rFonts w:ascii="Times New Roman" w:eastAsia="Times New Roman" w:hAnsi="Times New Roman" w:cs="Times New Roman"/>
          <w:color w:val="000000"/>
          <w:sz w:val="24"/>
          <w:szCs w:val="24"/>
          <w:lang w:eastAsia="hu-HU"/>
        </w:rPr>
        <w:t>, és azoknak a javaslatoknak a megfogalmazása, miként célszerű kiterjeszteni a kollektív alku jogát a közszférában foglalkoztatottakra is.</w:t>
      </w:r>
    </w:p>
    <w:p w14:paraId="0F310B9D" w14:textId="77777777" w:rsidR="00A15C01" w:rsidRDefault="00A15C01" w:rsidP="000E2EED">
      <w:pPr>
        <w:spacing w:after="0" w:line="360" w:lineRule="auto"/>
        <w:jc w:val="both"/>
        <w:rPr>
          <w:rFonts w:ascii="Times New Roman" w:eastAsia="Times New Roman" w:hAnsi="Times New Roman" w:cs="Times New Roman"/>
          <w:color w:val="000000"/>
          <w:sz w:val="24"/>
          <w:szCs w:val="24"/>
          <w:lang w:eastAsia="hu-HU"/>
        </w:rPr>
      </w:pPr>
    </w:p>
    <w:p w14:paraId="303E1FFC" w14:textId="668F38DA" w:rsidR="00A15C01" w:rsidRPr="00A15C01" w:rsidRDefault="00A15C01" w:rsidP="00A15C01">
      <w:pPr>
        <w:spacing w:after="0" w:line="360" w:lineRule="auto"/>
        <w:jc w:val="both"/>
        <w:rPr>
          <w:rFonts w:ascii="Times New Roman" w:eastAsia="Times New Roman" w:hAnsi="Times New Roman" w:cs="Times New Roman"/>
          <w:b/>
          <w:bCs/>
          <w:color w:val="000000"/>
          <w:sz w:val="24"/>
          <w:szCs w:val="24"/>
          <w:lang w:eastAsia="hu-HU"/>
        </w:rPr>
      </w:pPr>
      <w:r w:rsidRPr="00A15C01">
        <w:rPr>
          <w:rFonts w:ascii="Times New Roman" w:eastAsia="Times New Roman" w:hAnsi="Times New Roman" w:cs="Times New Roman"/>
          <w:b/>
          <w:bCs/>
          <w:color w:val="000000"/>
          <w:sz w:val="24"/>
          <w:szCs w:val="24"/>
          <w:lang w:eastAsia="hu-HU"/>
        </w:rPr>
        <w:t>1. A közszférában megvalósuló kollektív alku sajátosságai</w:t>
      </w:r>
    </w:p>
    <w:p w14:paraId="4A74BD9D" w14:textId="77777777" w:rsidR="001D046C" w:rsidRDefault="001D046C" w:rsidP="000E2EED">
      <w:pPr>
        <w:spacing w:after="0" w:line="360" w:lineRule="auto"/>
        <w:jc w:val="both"/>
        <w:rPr>
          <w:rFonts w:ascii="Times New Roman" w:eastAsia="Times New Roman" w:hAnsi="Times New Roman" w:cs="Times New Roman"/>
          <w:color w:val="000000"/>
          <w:sz w:val="24"/>
          <w:szCs w:val="24"/>
          <w:lang w:eastAsia="hu-HU"/>
        </w:rPr>
      </w:pPr>
    </w:p>
    <w:p w14:paraId="29E3B571" w14:textId="3D74549D" w:rsidR="001D046C" w:rsidRDefault="001D046C" w:rsidP="001D046C">
      <w:pPr>
        <w:spacing w:after="0" w:line="360" w:lineRule="auto"/>
        <w:jc w:val="both"/>
        <w:rPr>
          <w:rFonts w:ascii="Times New Roman" w:eastAsia="Times New Roman" w:hAnsi="Times New Roman" w:cs="Times New Roman"/>
          <w:color w:val="000000"/>
          <w:sz w:val="24"/>
          <w:szCs w:val="24"/>
          <w:lang w:eastAsia="hu-HU"/>
        </w:rPr>
      </w:pPr>
      <w:r w:rsidRPr="001D046C">
        <w:rPr>
          <w:rFonts w:ascii="Times New Roman" w:eastAsia="Times New Roman" w:hAnsi="Times New Roman" w:cs="Times New Roman"/>
          <w:color w:val="000000"/>
          <w:sz w:val="24"/>
          <w:szCs w:val="24"/>
          <w:lang w:eastAsia="hu-HU"/>
        </w:rPr>
        <w:t>A magánsz</w:t>
      </w:r>
      <w:r>
        <w:rPr>
          <w:rFonts w:ascii="Times New Roman" w:eastAsia="Times New Roman" w:hAnsi="Times New Roman" w:cs="Times New Roman"/>
          <w:color w:val="000000"/>
          <w:sz w:val="24"/>
          <w:szCs w:val="24"/>
          <w:lang w:eastAsia="hu-HU"/>
        </w:rPr>
        <w:t>férában a</w:t>
      </w:r>
      <w:r w:rsidRPr="001D046C">
        <w:rPr>
          <w:rFonts w:ascii="Times New Roman" w:eastAsia="Times New Roman" w:hAnsi="Times New Roman" w:cs="Times New Roman"/>
          <w:color w:val="000000"/>
          <w:sz w:val="24"/>
          <w:szCs w:val="24"/>
          <w:lang w:eastAsia="hu-HU"/>
        </w:rPr>
        <w:t xml:space="preserve"> kollektív </w:t>
      </w:r>
      <w:r>
        <w:rPr>
          <w:rFonts w:ascii="Times New Roman" w:eastAsia="Times New Roman" w:hAnsi="Times New Roman" w:cs="Times New Roman"/>
          <w:color w:val="000000"/>
          <w:sz w:val="24"/>
          <w:szCs w:val="24"/>
          <w:lang w:eastAsia="hu-HU"/>
        </w:rPr>
        <w:t>alku</w:t>
      </w:r>
      <w:r w:rsidRPr="001D046C">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tárgyát a</w:t>
      </w:r>
      <w:r w:rsidRPr="001D046C">
        <w:rPr>
          <w:rFonts w:ascii="Times New Roman" w:eastAsia="Times New Roman" w:hAnsi="Times New Roman" w:cs="Times New Roman"/>
          <w:color w:val="000000"/>
          <w:sz w:val="24"/>
          <w:szCs w:val="24"/>
          <w:lang w:eastAsia="hu-HU"/>
        </w:rPr>
        <w:t xml:space="preserve"> megállapodásban részt vevő magánfelek költségei és haszn</w:t>
      </w:r>
      <w:r>
        <w:rPr>
          <w:rFonts w:ascii="Times New Roman" w:eastAsia="Times New Roman" w:hAnsi="Times New Roman" w:cs="Times New Roman"/>
          <w:color w:val="000000"/>
          <w:sz w:val="24"/>
          <w:szCs w:val="24"/>
          <w:lang w:eastAsia="hu-HU"/>
        </w:rPr>
        <w:t xml:space="preserve">ai, avagy jogai és kötelezettségei képezik. A felek számára </w:t>
      </w:r>
      <w:r w:rsidR="001302B6">
        <w:rPr>
          <w:rFonts w:ascii="Times New Roman" w:eastAsia="Times New Roman" w:hAnsi="Times New Roman" w:cs="Times New Roman"/>
          <w:color w:val="000000"/>
          <w:sz w:val="24"/>
          <w:szCs w:val="24"/>
          <w:lang w:eastAsia="hu-HU"/>
        </w:rPr>
        <w:t xml:space="preserve">a </w:t>
      </w:r>
      <w:r>
        <w:rPr>
          <w:rFonts w:ascii="Times New Roman" w:eastAsia="Times New Roman" w:hAnsi="Times New Roman" w:cs="Times New Roman"/>
          <w:color w:val="000000"/>
          <w:sz w:val="24"/>
          <w:szCs w:val="24"/>
          <w:lang w:eastAsia="hu-HU"/>
        </w:rPr>
        <w:t xml:space="preserve">gazdasági megfontolások állnak a középpontban, minden fél a </w:t>
      </w:r>
      <w:r w:rsidRPr="001D046C">
        <w:rPr>
          <w:rFonts w:ascii="Times New Roman" w:eastAsia="Times New Roman" w:hAnsi="Times New Roman" w:cs="Times New Roman"/>
          <w:color w:val="000000"/>
          <w:sz w:val="24"/>
          <w:szCs w:val="24"/>
          <w:lang w:eastAsia="hu-HU"/>
        </w:rPr>
        <w:t xml:space="preserve">saját magánérdekei maximalizálására törekszik. </w:t>
      </w:r>
      <w:r>
        <w:rPr>
          <w:rFonts w:ascii="Times New Roman" w:eastAsia="Times New Roman" w:hAnsi="Times New Roman" w:cs="Times New Roman"/>
          <w:color w:val="000000"/>
          <w:sz w:val="24"/>
          <w:szCs w:val="24"/>
          <w:lang w:eastAsia="hu-HU"/>
        </w:rPr>
        <w:t>Ehhez képest a közszférában zajló kollektív alku</w:t>
      </w:r>
      <w:r w:rsidR="00A15C01">
        <w:rPr>
          <w:rFonts w:ascii="Times New Roman" w:eastAsia="Times New Roman" w:hAnsi="Times New Roman" w:cs="Times New Roman"/>
          <w:color w:val="000000"/>
          <w:sz w:val="24"/>
          <w:szCs w:val="24"/>
          <w:lang w:eastAsia="hu-HU"/>
        </w:rPr>
        <w:t xml:space="preserve"> munkáltatói oldalról</w:t>
      </w:r>
      <w:r>
        <w:rPr>
          <w:rFonts w:ascii="Times New Roman" w:eastAsia="Times New Roman" w:hAnsi="Times New Roman" w:cs="Times New Roman"/>
          <w:color w:val="000000"/>
          <w:sz w:val="24"/>
          <w:szCs w:val="24"/>
          <w:lang w:eastAsia="hu-HU"/>
        </w:rPr>
        <w:t xml:space="preserve"> </w:t>
      </w:r>
      <w:r w:rsidRPr="001D046C">
        <w:rPr>
          <w:rFonts w:ascii="Times New Roman" w:eastAsia="Times New Roman" w:hAnsi="Times New Roman" w:cs="Times New Roman"/>
          <w:color w:val="000000"/>
          <w:sz w:val="24"/>
          <w:szCs w:val="24"/>
          <w:lang w:eastAsia="hu-HU"/>
        </w:rPr>
        <w:t xml:space="preserve">elsősorban a közérdekkel, konkrétabban a választók </w:t>
      </w:r>
      <w:r>
        <w:rPr>
          <w:rFonts w:ascii="Times New Roman" w:eastAsia="Times New Roman" w:hAnsi="Times New Roman" w:cs="Times New Roman"/>
          <w:color w:val="000000"/>
          <w:sz w:val="24"/>
          <w:szCs w:val="24"/>
          <w:lang w:eastAsia="hu-HU"/>
        </w:rPr>
        <w:t>igényeivel</w:t>
      </w:r>
      <w:r w:rsidRPr="001D046C">
        <w:rPr>
          <w:rFonts w:ascii="Times New Roman" w:eastAsia="Times New Roman" w:hAnsi="Times New Roman" w:cs="Times New Roman"/>
          <w:color w:val="000000"/>
          <w:sz w:val="24"/>
          <w:szCs w:val="24"/>
          <w:lang w:eastAsia="hu-HU"/>
        </w:rPr>
        <w:t xml:space="preserve"> foglalkozik. A </w:t>
      </w:r>
      <w:r w:rsidR="00A15C01">
        <w:rPr>
          <w:rFonts w:ascii="Times New Roman" w:eastAsia="Times New Roman" w:hAnsi="Times New Roman" w:cs="Times New Roman"/>
          <w:color w:val="000000"/>
          <w:sz w:val="24"/>
          <w:szCs w:val="24"/>
          <w:lang w:eastAsia="hu-HU"/>
        </w:rPr>
        <w:t>feleket</w:t>
      </w:r>
      <w:r w:rsidRPr="001D046C">
        <w:rPr>
          <w:rFonts w:ascii="Times New Roman" w:eastAsia="Times New Roman" w:hAnsi="Times New Roman" w:cs="Times New Roman"/>
          <w:color w:val="000000"/>
          <w:sz w:val="24"/>
          <w:szCs w:val="24"/>
          <w:lang w:eastAsia="hu-HU"/>
        </w:rPr>
        <w:t xml:space="preserve"> kevéssé </w:t>
      </w:r>
      <w:r>
        <w:rPr>
          <w:rFonts w:ascii="Times New Roman" w:eastAsia="Times New Roman" w:hAnsi="Times New Roman" w:cs="Times New Roman"/>
          <w:color w:val="000000"/>
          <w:sz w:val="24"/>
          <w:szCs w:val="24"/>
          <w:lang w:eastAsia="hu-HU"/>
        </w:rPr>
        <w:t xml:space="preserve">érdeklik a piaci megfontolások, hiszen az állami szervek túlnyomó részét nem érinti piaci verseny, mivel a szolgáltatásaikat igénybe vevők nem fordulhatnak más versenytárshoz, másik szolgáltatóhoz. Így az alku középpontjában az áll, hogy milyen szolgáltatást kíván meg a közösség, </w:t>
      </w:r>
      <w:r w:rsidRPr="001D046C">
        <w:rPr>
          <w:rFonts w:ascii="Times New Roman" w:eastAsia="Times New Roman" w:hAnsi="Times New Roman" w:cs="Times New Roman"/>
          <w:color w:val="000000"/>
          <w:sz w:val="24"/>
          <w:szCs w:val="24"/>
          <w:lang w:eastAsia="hu-HU"/>
        </w:rPr>
        <w:t xml:space="preserve">és </w:t>
      </w:r>
      <w:r>
        <w:rPr>
          <w:rFonts w:ascii="Times New Roman" w:eastAsia="Times New Roman" w:hAnsi="Times New Roman" w:cs="Times New Roman"/>
          <w:color w:val="000000"/>
          <w:sz w:val="24"/>
          <w:szCs w:val="24"/>
          <w:lang w:eastAsia="hu-HU"/>
        </w:rPr>
        <w:t xml:space="preserve">ezért milyen áldozatot hajlandó hozni, azaz mekkora adót fizetni. Míg a magánszférában a kollektív alku </w:t>
      </w:r>
      <w:r w:rsidRPr="001D046C">
        <w:rPr>
          <w:rFonts w:ascii="Times New Roman" w:eastAsia="Times New Roman" w:hAnsi="Times New Roman" w:cs="Times New Roman"/>
          <w:color w:val="000000"/>
          <w:sz w:val="24"/>
          <w:szCs w:val="24"/>
          <w:lang w:eastAsia="hu-HU"/>
        </w:rPr>
        <w:t>elsősorban gazdasági folyamat, ahol a piaci erők határozzák meg az eredményeket,</w:t>
      </w:r>
      <w:r>
        <w:rPr>
          <w:rFonts w:ascii="Times New Roman" w:eastAsia="Times New Roman" w:hAnsi="Times New Roman" w:cs="Times New Roman"/>
          <w:color w:val="000000"/>
          <w:sz w:val="24"/>
          <w:szCs w:val="24"/>
          <w:lang w:eastAsia="hu-HU"/>
        </w:rPr>
        <w:t xml:space="preserve"> mindez a</w:t>
      </w:r>
      <w:r w:rsidRPr="001D046C">
        <w:rPr>
          <w:rFonts w:ascii="Times New Roman" w:eastAsia="Times New Roman" w:hAnsi="Times New Roman" w:cs="Times New Roman"/>
          <w:color w:val="000000"/>
          <w:sz w:val="24"/>
          <w:szCs w:val="24"/>
          <w:lang w:eastAsia="hu-HU"/>
        </w:rPr>
        <w:t xml:space="preserve"> közszfér</w:t>
      </w:r>
      <w:r>
        <w:rPr>
          <w:rFonts w:ascii="Times New Roman" w:eastAsia="Times New Roman" w:hAnsi="Times New Roman" w:cs="Times New Roman"/>
          <w:color w:val="000000"/>
          <w:sz w:val="24"/>
          <w:szCs w:val="24"/>
          <w:lang w:eastAsia="hu-HU"/>
        </w:rPr>
        <w:t xml:space="preserve">ában </w:t>
      </w:r>
      <w:r w:rsidRPr="001D046C">
        <w:rPr>
          <w:rFonts w:ascii="Times New Roman" w:eastAsia="Times New Roman" w:hAnsi="Times New Roman" w:cs="Times New Roman"/>
          <w:color w:val="000000"/>
          <w:sz w:val="24"/>
          <w:szCs w:val="24"/>
          <w:lang w:eastAsia="hu-HU"/>
        </w:rPr>
        <w:t xml:space="preserve">politikai folyamat, ahol az eredményt politikai erők </w:t>
      </w:r>
      <w:r>
        <w:rPr>
          <w:rFonts w:ascii="Times New Roman" w:eastAsia="Times New Roman" w:hAnsi="Times New Roman" w:cs="Times New Roman"/>
          <w:color w:val="000000"/>
          <w:sz w:val="24"/>
          <w:szCs w:val="24"/>
          <w:lang w:eastAsia="hu-HU"/>
        </w:rPr>
        <w:t>alakítják</w:t>
      </w:r>
      <w:r w:rsidRPr="001D046C">
        <w:rPr>
          <w:rFonts w:ascii="Times New Roman" w:eastAsia="Times New Roman" w:hAnsi="Times New Roman" w:cs="Times New Roman"/>
          <w:color w:val="000000"/>
          <w:sz w:val="24"/>
          <w:szCs w:val="24"/>
          <w:lang w:eastAsia="hu-HU"/>
        </w:rPr>
        <w:t>, mint például</w:t>
      </w:r>
      <w:r w:rsidR="001302B6">
        <w:rPr>
          <w:rFonts w:ascii="Times New Roman" w:eastAsia="Times New Roman" w:hAnsi="Times New Roman" w:cs="Times New Roman"/>
          <w:color w:val="000000"/>
          <w:sz w:val="24"/>
          <w:szCs w:val="24"/>
          <w:lang w:eastAsia="hu-HU"/>
        </w:rPr>
        <w:t>,</w:t>
      </w:r>
      <w:r w:rsidRPr="001D046C">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hogy </w:t>
      </w:r>
      <w:r>
        <w:rPr>
          <w:rFonts w:ascii="Times New Roman" w:eastAsia="Times New Roman" w:hAnsi="Times New Roman" w:cs="Times New Roman"/>
          <w:color w:val="000000"/>
          <w:sz w:val="24"/>
          <w:szCs w:val="24"/>
          <w:lang w:eastAsia="hu-HU"/>
        </w:rPr>
        <w:lastRenderedPageBreak/>
        <w:t>milyen közterheket tartanak elfogadhatónak a</w:t>
      </w:r>
      <w:r w:rsidRPr="001D046C">
        <w:rPr>
          <w:rFonts w:ascii="Times New Roman" w:eastAsia="Times New Roman" w:hAnsi="Times New Roman" w:cs="Times New Roman"/>
          <w:color w:val="000000"/>
          <w:sz w:val="24"/>
          <w:szCs w:val="24"/>
          <w:lang w:eastAsia="hu-HU"/>
        </w:rPr>
        <w:t xml:space="preserve"> választók</w:t>
      </w:r>
      <w:r>
        <w:rPr>
          <w:rFonts w:ascii="Times New Roman" w:eastAsia="Times New Roman" w:hAnsi="Times New Roman" w:cs="Times New Roman"/>
          <w:color w:val="000000"/>
          <w:sz w:val="24"/>
          <w:szCs w:val="24"/>
          <w:lang w:eastAsia="hu-HU"/>
        </w:rPr>
        <w:t xml:space="preserve">, illetve milyen színvonalú </w:t>
      </w:r>
      <w:r w:rsidRPr="001D046C">
        <w:rPr>
          <w:rFonts w:ascii="Times New Roman" w:eastAsia="Times New Roman" w:hAnsi="Times New Roman" w:cs="Times New Roman"/>
          <w:color w:val="000000"/>
          <w:sz w:val="24"/>
          <w:szCs w:val="24"/>
          <w:lang w:eastAsia="hu-HU"/>
        </w:rPr>
        <w:t>szolgáltatások</w:t>
      </w:r>
      <w:r>
        <w:rPr>
          <w:rFonts w:ascii="Times New Roman" w:eastAsia="Times New Roman" w:hAnsi="Times New Roman" w:cs="Times New Roman"/>
          <w:color w:val="000000"/>
          <w:sz w:val="24"/>
          <w:szCs w:val="24"/>
          <w:lang w:eastAsia="hu-HU"/>
        </w:rPr>
        <w:t>at várnak el cserébe</w:t>
      </w:r>
      <w:r w:rsidRPr="00F132D2">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2"/>
      </w:r>
    </w:p>
    <w:p w14:paraId="58967698" w14:textId="6A4FA296" w:rsidR="001D046C" w:rsidRDefault="00F067AA" w:rsidP="001D046C">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magánszférában a kollektív alku a munkáltató gazdasági hatalmának korlátozásaként jelenik meg, azáltal, hogy bizonyos munkafeltételek alakítása tekintetében a munkáltató lemond egyoldalú döntési jogáról, és azokat a munkavállalói oldallal megegyezésben alakítja ki. Ez a korlátozás azonban kényes kérdéseket vethet fel </w:t>
      </w:r>
      <w:r w:rsidR="00A15C01">
        <w:rPr>
          <w:rFonts w:ascii="Times New Roman" w:eastAsia="Times New Roman" w:hAnsi="Times New Roman" w:cs="Times New Roman"/>
          <w:color w:val="000000"/>
          <w:sz w:val="24"/>
          <w:szCs w:val="24"/>
          <w:lang w:eastAsia="hu-HU"/>
        </w:rPr>
        <w:t>egy állami munkáltató esetén</w:t>
      </w:r>
      <w:r>
        <w:rPr>
          <w:rFonts w:ascii="Times New Roman" w:eastAsia="Times New Roman" w:hAnsi="Times New Roman" w:cs="Times New Roman"/>
          <w:color w:val="000000"/>
          <w:sz w:val="24"/>
          <w:szCs w:val="24"/>
          <w:lang w:eastAsia="hu-HU"/>
        </w:rPr>
        <w:t>. A</w:t>
      </w:r>
      <w:r w:rsidR="00A15C01">
        <w:rPr>
          <w:rFonts w:ascii="Times New Roman" w:eastAsia="Times New Roman" w:hAnsi="Times New Roman" w:cs="Times New Roman"/>
          <w:color w:val="000000"/>
          <w:sz w:val="24"/>
          <w:szCs w:val="24"/>
          <w:lang w:eastAsia="hu-HU"/>
        </w:rPr>
        <w:t>z állami</w:t>
      </w:r>
      <w:r>
        <w:rPr>
          <w:rFonts w:ascii="Times New Roman" w:eastAsia="Times New Roman" w:hAnsi="Times New Roman" w:cs="Times New Roman"/>
          <w:color w:val="000000"/>
          <w:sz w:val="24"/>
          <w:szCs w:val="24"/>
          <w:lang w:eastAsia="hu-HU"/>
        </w:rPr>
        <w:t xml:space="preserve"> </w:t>
      </w:r>
      <w:r w:rsidR="001D046C" w:rsidRPr="001D046C">
        <w:rPr>
          <w:rFonts w:ascii="Times New Roman" w:eastAsia="Times New Roman" w:hAnsi="Times New Roman" w:cs="Times New Roman"/>
          <w:color w:val="000000"/>
          <w:sz w:val="24"/>
          <w:szCs w:val="24"/>
          <w:lang w:eastAsia="hu-HU"/>
        </w:rPr>
        <w:t xml:space="preserve">szuverenitás abszolút hatalmat jelent, </w:t>
      </w:r>
      <w:r>
        <w:rPr>
          <w:rFonts w:ascii="Times New Roman" w:eastAsia="Times New Roman" w:hAnsi="Times New Roman" w:cs="Times New Roman"/>
          <w:color w:val="000000"/>
          <w:sz w:val="24"/>
          <w:szCs w:val="24"/>
          <w:lang w:eastAsia="hu-HU"/>
        </w:rPr>
        <w:t>márpedig a k</w:t>
      </w:r>
      <w:r w:rsidR="001D046C" w:rsidRPr="001D046C">
        <w:rPr>
          <w:rFonts w:ascii="Times New Roman" w:eastAsia="Times New Roman" w:hAnsi="Times New Roman" w:cs="Times New Roman"/>
          <w:color w:val="000000"/>
          <w:sz w:val="24"/>
          <w:szCs w:val="24"/>
          <w:lang w:eastAsia="hu-HU"/>
        </w:rPr>
        <w:t xml:space="preserve">ollektív alku a közszférában </w:t>
      </w:r>
      <w:r>
        <w:rPr>
          <w:rFonts w:ascii="Times New Roman" w:eastAsia="Times New Roman" w:hAnsi="Times New Roman" w:cs="Times New Roman"/>
          <w:color w:val="000000"/>
          <w:sz w:val="24"/>
          <w:szCs w:val="24"/>
          <w:lang w:eastAsia="hu-HU"/>
        </w:rPr>
        <w:t xml:space="preserve">ennek a </w:t>
      </w:r>
      <w:r w:rsidRPr="00F067AA">
        <w:rPr>
          <w:rFonts w:ascii="Times New Roman" w:eastAsia="Times New Roman" w:hAnsi="Times New Roman" w:cs="Times New Roman"/>
          <w:color w:val="000000"/>
          <w:sz w:val="24"/>
          <w:szCs w:val="24"/>
          <w:lang w:eastAsia="hu-HU"/>
        </w:rPr>
        <w:t>hatalomnak a korlátozásával jár.</w:t>
      </w:r>
      <w:r w:rsidR="001D046C" w:rsidRPr="00F067AA">
        <w:rPr>
          <w:rStyle w:val="Lbjegyzet-hivatkozs"/>
          <w:rFonts w:ascii="Times New Roman" w:hAnsi="Times New Roman" w:cs="Times New Roman"/>
          <w:sz w:val="24"/>
          <w:szCs w:val="24"/>
        </w:rPr>
        <w:footnoteReference w:id="3"/>
      </w:r>
      <w:r>
        <w:rPr>
          <w:rFonts w:ascii="Times New Roman" w:eastAsia="Times New Roman" w:hAnsi="Times New Roman" w:cs="Times New Roman"/>
          <w:color w:val="000000"/>
          <w:sz w:val="24"/>
          <w:szCs w:val="24"/>
          <w:lang w:eastAsia="hu-HU"/>
        </w:rPr>
        <w:t xml:space="preserve"> </w:t>
      </w:r>
      <w:r w:rsidRPr="00F33F7E">
        <w:rPr>
          <w:rFonts w:ascii="Times New Roman" w:eastAsia="Times New Roman" w:hAnsi="Times New Roman" w:cs="Times New Roman"/>
          <w:color w:val="000000"/>
          <w:sz w:val="24"/>
          <w:szCs w:val="24"/>
          <w:lang w:eastAsia="hu-HU"/>
        </w:rPr>
        <w:t>A közsz</w:t>
      </w:r>
      <w:r>
        <w:rPr>
          <w:rFonts w:ascii="Times New Roman" w:eastAsia="Times New Roman" w:hAnsi="Times New Roman" w:cs="Times New Roman"/>
          <w:color w:val="000000"/>
          <w:sz w:val="24"/>
          <w:szCs w:val="24"/>
          <w:lang w:eastAsia="hu-HU"/>
        </w:rPr>
        <w:t xml:space="preserve">férában </w:t>
      </w:r>
      <w:r w:rsidRPr="00F33F7E">
        <w:rPr>
          <w:rFonts w:ascii="Times New Roman" w:eastAsia="Times New Roman" w:hAnsi="Times New Roman" w:cs="Times New Roman"/>
          <w:color w:val="000000"/>
          <w:sz w:val="24"/>
          <w:szCs w:val="24"/>
          <w:lang w:eastAsia="hu-HU"/>
        </w:rPr>
        <w:t>a munkavégzés kondícióinak</w:t>
      </w:r>
      <w:r>
        <w:rPr>
          <w:rFonts w:ascii="Times New Roman" w:eastAsia="Times New Roman" w:hAnsi="Times New Roman" w:cs="Times New Roman"/>
          <w:color w:val="000000"/>
          <w:sz w:val="24"/>
          <w:szCs w:val="24"/>
          <w:lang w:eastAsia="hu-HU"/>
        </w:rPr>
        <w:t>, a díjazási feltételeknek a</w:t>
      </w:r>
      <w:r w:rsidRPr="00F33F7E">
        <w:rPr>
          <w:rFonts w:ascii="Times New Roman" w:eastAsia="Times New Roman" w:hAnsi="Times New Roman" w:cs="Times New Roman"/>
          <w:color w:val="000000"/>
          <w:sz w:val="24"/>
          <w:szCs w:val="24"/>
          <w:lang w:eastAsia="hu-HU"/>
        </w:rPr>
        <w:t xml:space="preserve"> meghatározása – közvetlenül vagy közvetetten </w:t>
      </w:r>
      <w:r>
        <w:rPr>
          <w:rFonts w:ascii="Times New Roman" w:eastAsia="Times New Roman" w:hAnsi="Times New Roman" w:cs="Times New Roman"/>
          <w:color w:val="000000"/>
          <w:sz w:val="24"/>
          <w:szCs w:val="24"/>
          <w:lang w:eastAsia="hu-HU"/>
        </w:rPr>
        <w:t>–</w:t>
      </w:r>
      <w:r w:rsidRPr="00F33F7E">
        <w:rPr>
          <w:rFonts w:ascii="Times New Roman" w:eastAsia="Times New Roman" w:hAnsi="Times New Roman" w:cs="Times New Roman"/>
          <w:color w:val="000000"/>
          <w:sz w:val="24"/>
          <w:szCs w:val="24"/>
          <w:lang w:eastAsia="hu-HU"/>
        </w:rPr>
        <w:t xml:space="preserve"> állami, illetve önkormányzati kompetenciába tartozik.</w:t>
      </w:r>
      <w:r>
        <w:rPr>
          <w:rStyle w:val="Lbjegyzet-hivatkozs"/>
          <w:rFonts w:ascii="Times New Roman" w:eastAsia="Times New Roman" w:hAnsi="Times New Roman" w:cs="Times New Roman"/>
          <w:color w:val="000000"/>
          <w:sz w:val="24"/>
          <w:szCs w:val="24"/>
          <w:lang w:eastAsia="hu-HU"/>
        </w:rPr>
        <w:footnoteReference w:id="4"/>
      </w:r>
      <w:r w:rsidRPr="00F33F7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Kérdéses ezért, meddig engedhet beleszólást az állam saját foglalkoztatási jogviszonyainak alakításába a munkavállalói érdekképviseletek számára, akik hasonló szuverén hatalommal nem rendelkeznek. </w:t>
      </w:r>
      <w:r w:rsidR="003503DE">
        <w:rPr>
          <w:rFonts w:ascii="Times New Roman" w:eastAsia="Times New Roman" w:hAnsi="Times New Roman" w:cs="Times New Roman"/>
          <w:color w:val="000000"/>
          <w:sz w:val="24"/>
          <w:szCs w:val="24"/>
          <w:lang w:eastAsia="hu-HU"/>
        </w:rPr>
        <w:t xml:space="preserve">Egyes álláspontok szerint az </w:t>
      </w:r>
      <w:r w:rsidR="003503DE" w:rsidRPr="00F3387A">
        <w:rPr>
          <w:rFonts w:ascii="Times New Roman" w:eastAsia="Times New Roman" w:hAnsi="Times New Roman" w:cs="Times New Roman"/>
          <w:color w:val="000000"/>
          <w:sz w:val="24"/>
          <w:szCs w:val="24"/>
          <w:lang w:eastAsia="hu-HU"/>
        </w:rPr>
        <w:t xml:space="preserve">állam sajátos feladatai miatt nem léphet szerződéses viszonyba </w:t>
      </w:r>
      <w:r w:rsidR="00C51D49">
        <w:rPr>
          <w:rFonts w:ascii="Times New Roman" w:eastAsia="Times New Roman" w:hAnsi="Times New Roman" w:cs="Times New Roman"/>
          <w:color w:val="000000"/>
          <w:sz w:val="24"/>
          <w:szCs w:val="24"/>
          <w:lang w:eastAsia="hu-HU"/>
        </w:rPr>
        <w:t>a munkavállalóival</w:t>
      </w:r>
      <w:r w:rsidR="003503DE" w:rsidRPr="00F3387A">
        <w:rPr>
          <w:rFonts w:ascii="Times New Roman" w:eastAsia="Times New Roman" w:hAnsi="Times New Roman" w:cs="Times New Roman"/>
          <w:color w:val="000000"/>
          <w:sz w:val="24"/>
          <w:szCs w:val="24"/>
          <w:lang w:eastAsia="hu-HU"/>
        </w:rPr>
        <w:t>. Az államnak közhatalmat kell gyakorolnia, ami megakadályozza, hogy tárgyalás</w:t>
      </w:r>
      <w:r w:rsidR="003503DE">
        <w:rPr>
          <w:rFonts w:ascii="Times New Roman" w:eastAsia="Times New Roman" w:hAnsi="Times New Roman" w:cs="Times New Roman"/>
          <w:color w:val="000000"/>
          <w:sz w:val="24"/>
          <w:szCs w:val="24"/>
          <w:lang w:eastAsia="hu-HU"/>
        </w:rPr>
        <w:t xml:space="preserve">ok útján, </w:t>
      </w:r>
      <w:r w:rsidR="003503DE" w:rsidRPr="00F3387A">
        <w:rPr>
          <w:rFonts w:ascii="Times New Roman" w:eastAsia="Times New Roman" w:hAnsi="Times New Roman" w:cs="Times New Roman"/>
          <w:color w:val="000000"/>
          <w:sz w:val="24"/>
          <w:szCs w:val="24"/>
          <w:lang w:eastAsia="hu-HU"/>
        </w:rPr>
        <w:t>szerződéses viszony</w:t>
      </w:r>
      <w:r w:rsidR="00A15C01">
        <w:rPr>
          <w:rFonts w:ascii="Times New Roman" w:eastAsia="Times New Roman" w:hAnsi="Times New Roman" w:cs="Times New Roman"/>
          <w:color w:val="000000"/>
          <w:sz w:val="24"/>
          <w:szCs w:val="24"/>
          <w:lang w:eastAsia="hu-HU"/>
        </w:rPr>
        <w:t xml:space="preserve">t alakítson ki </w:t>
      </w:r>
      <w:r w:rsidR="003503DE" w:rsidRPr="00F3387A">
        <w:rPr>
          <w:rFonts w:ascii="Times New Roman" w:eastAsia="Times New Roman" w:hAnsi="Times New Roman" w:cs="Times New Roman"/>
          <w:color w:val="000000"/>
          <w:sz w:val="24"/>
          <w:szCs w:val="24"/>
          <w:lang w:eastAsia="hu-HU"/>
        </w:rPr>
        <w:t xml:space="preserve">alkalmazottaival vagy </w:t>
      </w:r>
      <w:r w:rsidR="003503DE">
        <w:rPr>
          <w:rFonts w:ascii="Times New Roman" w:eastAsia="Times New Roman" w:hAnsi="Times New Roman" w:cs="Times New Roman"/>
          <w:color w:val="000000"/>
          <w:sz w:val="24"/>
          <w:szCs w:val="24"/>
          <w:lang w:eastAsia="hu-HU"/>
        </w:rPr>
        <w:t xml:space="preserve">azok </w:t>
      </w:r>
      <w:r w:rsidR="003503DE" w:rsidRPr="00F3387A">
        <w:rPr>
          <w:rFonts w:ascii="Times New Roman" w:eastAsia="Times New Roman" w:hAnsi="Times New Roman" w:cs="Times New Roman"/>
          <w:color w:val="000000"/>
          <w:sz w:val="24"/>
          <w:szCs w:val="24"/>
          <w:lang w:eastAsia="hu-HU"/>
        </w:rPr>
        <w:t>szakszervezeteivel</w:t>
      </w:r>
      <w:r w:rsidR="003503DE">
        <w:rPr>
          <w:rFonts w:ascii="Times New Roman" w:eastAsia="Times New Roman" w:hAnsi="Times New Roman" w:cs="Times New Roman"/>
          <w:color w:val="000000"/>
          <w:sz w:val="24"/>
          <w:szCs w:val="24"/>
          <w:lang w:eastAsia="hu-HU"/>
        </w:rPr>
        <w:t>.</w:t>
      </w:r>
      <w:r w:rsidR="003503DE">
        <w:rPr>
          <w:rStyle w:val="Lbjegyzet-hivatkozs"/>
          <w:rFonts w:ascii="Times New Roman" w:eastAsia="Times New Roman" w:hAnsi="Times New Roman" w:cs="Times New Roman"/>
          <w:color w:val="000000"/>
          <w:sz w:val="24"/>
          <w:szCs w:val="24"/>
          <w:lang w:eastAsia="hu-HU"/>
        </w:rPr>
        <w:footnoteReference w:id="5"/>
      </w:r>
      <w:r w:rsidR="001302B6">
        <w:rPr>
          <w:rFonts w:ascii="Times New Roman" w:eastAsia="Times New Roman" w:hAnsi="Times New Roman" w:cs="Times New Roman"/>
          <w:color w:val="000000"/>
          <w:sz w:val="24"/>
          <w:szCs w:val="24"/>
          <w:lang w:eastAsia="hu-HU"/>
        </w:rPr>
        <w:t xml:space="preserve"> Ehelyett ezeket a viszonyokat </w:t>
      </w:r>
      <w:r w:rsidR="00A15C01">
        <w:rPr>
          <w:rFonts w:ascii="Times New Roman" w:eastAsia="Times New Roman" w:hAnsi="Times New Roman" w:cs="Times New Roman"/>
          <w:color w:val="000000"/>
          <w:sz w:val="24"/>
          <w:szCs w:val="24"/>
          <w:lang w:eastAsia="hu-HU"/>
        </w:rPr>
        <w:t xml:space="preserve">az állam </w:t>
      </w:r>
      <w:r w:rsidR="001302B6">
        <w:rPr>
          <w:rFonts w:ascii="Times New Roman" w:eastAsia="Times New Roman" w:hAnsi="Times New Roman" w:cs="Times New Roman"/>
          <w:color w:val="000000"/>
          <w:sz w:val="24"/>
          <w:szCs w:val="24"/>
          <w:lang w:eastAsia="hu-HU"/>
        </w:rPr>
        <w:t>jogszabályokban, eltérést nem engedően szabályozza</w:t>
      </w:r>
      <w:r w:rsidR="00105343">
        <w:rPr>
          <w:rFonts w:ascii="Times New Roman" w:eastAsia="Times New Roman" w:hAnsi="Times New Roman" w:cs="Times New Roman"/>
          <w:color w:val="000000"/>
          <w:sz w:val="24"/>
          <w:szCs w:val="24"/>
          <w:lang w:eastAsia="hu-HU"/>
        </w:rPr>
        <w:t>. Miközben természetesen a kógens szabályok aránya az egyes jogrendszerekben változó lehet, általánosan jellemző, hogy a közszférában a magánszférához képest kisebb tér jut a megállapodásokon alapuló szabályozásnak.</w:t>
      </w:r>
      <w:r w:rsidR="00A15C01">
        <w:rPr>
          <w:rFonts w:ascii="Times New Roman" w:eastAsia="Times New Roman" w:hAnsi="Times New Roman" w:cs="Times New Roman"/>
          <w:color w:val="000000"/>
          <w:sz w:val="24"/>
          <w:szCs w:val="24"/>
          <w:lang w:eastAsia="hu-HU"/>
        </w:rPr>
        <w:t xml:space="preserve"> </w:t>
      </w:r>
      <w:r w:rsidR="001302B6">
        <w:rPr>
          <w:rFonts w:ascii="Times New Roman" w:eastAsia="Times New Roman" w:hAnsi="Times New Roman" w:cs="Times New Roman"/>
          <w:color w:val="000000"/>
          <w:sz w:val="24"/>
          <w:szCs w:val="24"/>
          <w:lang w:eastAsia="hu-HU"/>
        </w:rPr>
        <w:t>Ez felel meg az átláthatóság, az állami forrásokkal való transzparens gazdálkodás követelményének is</w:t>
      </w:r>
      <w:r w:rsidR="00A15C01">
        <w:rPr>
          <w:rFonts w:ascii="Times New Roman" w:eastAsia="Times New Roman" w:hAnsi="Times New Roman" w:cs="Times New Roman"/>
          <w:color w:val="000000"/>
          <w:sz w:val="24"/>
          <w:szCs w:val="24"/>
          <w:lang w:eastAsia="hu-HU"/>
        </w:rPr>
        <w:t>, hiszen a közszféra kiadásainál szoros ellenőrzést kell biztosítani.</w:t>
      </w:r>
      <w:r w:rsidR="00A15C01">
        <w:rPr>
          <w:rStyle w:val="Lbjegyzet-hivatkozs"/>
          <w:rFonts w:ascii="Times New Roman" w:eastAsia="Times New Roman" w:hAnsi="Times New Roman" w:cs="Times New Roman"/>
          <w:color w:val="000000"/>
          <w:sz w:val="24"/>
          <w:szCs w:val="24"/>
          <w:lang w:eastAsia="hu-HU"/>
        </w:rPr>
        <w:footnoteReference w:id="6"/>
      </w:r>
    </w:p>
    <w:p w14:paraId="027C7BDE" w14:textId="03443759" w:rsidR="001D046C" w:rsidRDefault="001302B6"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További különbség, hogy m</w:t>
      </w:r>
      <w:r w:rsidR="003503DE">
        <w:rPr>
          <w:rFonts w:ascii="Times New Roman" w:eastAsia="Times New Roman" w:hAnsi="Times New Roman" w:cs="Times New Roman"/>
          <w:color w:val="000000"/>
          <w:sz w:val="24"/>
          <w:szCs w:val="24"/>
          <w:lang w:eastAsia="hu-HU"/>
        </w:rPr>
        <w:t>iközben a versenyszférában a munkáltató alanyi jogon jogosult kollektív szerződést kötni, a tárgyalások során pedig önállóan dönthet a követendő stratégiáról, az ajánlatok megtételéről és elfogadásáról, addig ez egy állami munkáltató esetén korlátozott. Ebben az esetben ugyanis elválik egymástól a tárgyaló fél attól, aki a foglalkoztatás anyagi fedezetét biztosítja.</w:t>
      </w:r>
      <w:r w:rsidR="001D046C">
        <w:rPr>
          <w:rStyle w:val="Lbjegyzet-hivatkozs"/>
          <w:rFonts w:ascii="Times New Roman" w:eastAsia="Times New Roman" w:hAnsi="Times New Roman" w:cs="Times New Roman"/>
          <w:color w:val="000000"/>
          <w:sz w:val="24"/>
          <w:szCs w:val="24"/>
          <w:lang w:eastAsia="hu-HU"/>
        </w:rPr>
        <w:footnoteReference w:id="7"/>
      </w:r>
      <w:r>
        <w:rPr>
          <w:rFonts w:ascii="Times New Roman" w:eastAsia="Times New Roman" w:hAnsi="Times New Roman" w:cs="Times New Roman"/>
          <w:color w:val="000000"/>
          <w:sz w:val="24"/>
          <w:szCs w:val="24"/>
          <w:lang w:eastAsia="hu-HU"/>
        </w:rPr>
        <w:t xml:space="preserve"> Például, a szakszervezettel az adott állami szerv vezetősége egyeztet, de a megállapodás teljesítéséhez szükséges forrásokról a szerv fenntartójának kell döntenie, vagy a </w:t>
      </w:r>
      <w:r>
        <w:rPr>
          <w:rFonts w:ascii="Times New Roman" w:eastAsia="Times New Roman" w:hAnsi="Times New Roman" w:cs="Times New Roman"/>
          <w:color w:val="000000"/>
          <w:sz w:val="24"/>
          <w:szCs w:val="24"/>
          <w:lang w:eastAsia="hu-HU"/>
        </w:rPr>
        <w:lastRenderedPageBreak/>
        <w:t xml:space="preserve">költségvetés elfogadásával egyenesen egy demokratikusan választott testület határoz (pl. a törvényhozás vagy a helyi képviselő-testület). </w:t>
      </w:r>
      <w:r w:rsidR="003503DE" w:rsidRPr="003503DE">
        <w:rPr>
          <w:rFonts w:ascii="Times New Roman" w:eastAsia="Times New Roman" w:hAnsi="Times New Roman" w:cs="Times New Roman"/>
          <w:color w:val="000000"/>
          <w:sz w:val="24"/>
          <w:szCs w:val="24"/>
          <w:lang w:eastAsia="hu-HU"/>
        </w:rPr>
        <w:t>Az állami költségvetés</w:t>
      </w:r>
      <w:r>
        <w:rPr>
          <w:rFonts w:ascii="Times New Roman" w:eastAsia="Times New Roman" w:hAnsi="Times New Roman" w:cs="Times New Roman"/>
          <w:color w:val="000000"/>
          <w:sz w:val="24"/>
          <w:szCs w:val="24"/>
          <w:lang w:eastAsia="hu-HU"/>
        </w:rPr>
        <w:t xml:space="preserve"> így</w:t>
      </w:r>
      <w:r w:rsidR="003503DE" w:rsidRPr="003503DE">
        <w:rPr>
          <w:rFonts w:ascii="Times New Roman" w:eastAsia="Times New Roman" w:hAnsi="Times New Roman" w:cs="Times New Roman"/>
          <w:color w:val="000000"/>
          <w:sz w:val="24"/>
          <w:szCs w:val="24"/>
          <w:lang w:eastAsia="hu-HU"/>
        </w:rPr>
        <w:t xml:space="preserve"> a közszféra kollektív tárgyalásainak egyik természetes korlátja, mivel a modern állam a rendelkezésre álló gazdasági források függvényében alakítja ki tevékenységét, így a kiadásokat </w:t>
      </w:r>
      <w:r w:rsidR="003503DE">
        <w:rPr>
          <w:rFonts w:ascii="Times New Roman" w:eastAsia="Times New Roman" w:hAnsi="Times New Roman" w:cs="Times New Roman"/>
          <w:color w:val="000000"/>
          <w:sz w:val="24"/>
          <w:szCs w:val="24"/>
          <w:lang w:eastAsia="hu-HU"/>
        </w:rPr>
        <w:t>–</w:t>
      </w:r>
      <w:r w:rsidR="003503DE" w:rsidRPr="003503DE">
        <w:rPr>
          <w:rFonts w:ascii="Times New Roman" w:eastAsia="Times New Roman" w:hAnsi="Times New Roman" w:cs="Times New Roman"/>
          <w:color w:val="000000"/>
          <w:sz w:val="24"/>
          <w:szCs w:val="24"/>
          <w:lang w:eastAsia="hu-HU"/>
        </w:rPr>
        <w:t xml:space="preserve"> beleértve </w:t>
      </w:r>
      <w:r w:rsidR="003503DE">
        <w:rPr>
          <w:rFonts w:ascii="Times New Roman" w:eastAsia="Times New Roman" w:hAnsi="Times New Roman" w:cs="Times New Roman"/>
          <w:color w:val="000000"/>
          <w:sz w:val="24"/>
          <w:szCs w:val="24"/>
          <w:lang w:eastAsia="hu-HU"/>
        </w:rPr>
        <w:t>az a</w:t>
      </w:r>
      <w:r w:rsidR="003503DE" w:rsidRPr="003503DE">
        <w:rPr>
          <w:rFonts w:ascii="Times New Roman" w:eastAsia="Times New Roman" w:hAnsi="Times New Roman" w:cs="Times New Roman"/>
          <w:color w:val="000000"/>
          <w:sz w:val="24"/>
          <w:szCs w:val="24"/>
          <w:lang w:eastAsia="hu-HU"/>
        </w:rPr>
        <w:t xml:space="preserve">lkalmazottak javadalmazását is </w:t>
      </w:r>
      <w:r w:rsidR="003503DE">
        <w:rPr>
          <w:rFonts w:ascii="Times New Roman" w:eastAsia="Times New Roman" w:hAnsi="Times New Roman" w:cs="Times New Roman"/>
          <w:color w:val="000000"/>
          <w:sz w:val="24"/>
          <w:szCs w:val="24"/>
          <w:lang w:eastAsia="hu-HU"/>
        </w:rPr>
        <w:t>–</w:t>
      </w:r>
      <w:r w:rsidR="003503DE" w:rsidRPr="003503DE">
        <w:rPr>
          <w:rFonts w:ascii="Times New Roman" w:eastAsia="Times New Roman" w:hAnsi="Times New Roman" w:cs="Times New Roman"/>
          <w:color w:val="000000"/>
          <w:sz w:val="24"/>
          <w:szCs w:val="24"/>
          <w:lang w:eastAsia="hu-HU"/>
        </w:rPr>
        <w:t xml:space="preserve"> előzetesen meg kell határozni, hogy azok </w:t>
      </w:r>
      <w:r w:rsidR="003503DE">
        <w:rPr>
          <w:rFonts w:ascii="Times New Roman" w:eastAsia="Times New Roman" w:hAnsi="Times New Roman" w:cs="Times New Roman"/>
          <w:color w:val="000000"/>
          <w:sz w:val="24"/>
          <w:szCs w:val="24"/>
          <w:lang w:eastAsia="hu-HU"/>
        </w:rPr>
        <w:t>fedezete</w:t>
      </w:r>
      <w:r w:rsidR="003503DE" w:rsidRPr="003503DE">
        <w:rPr>
          <w:rFonts w:ascii="Times New Roman" w:eastAsia="Times New Roman" w:hAnsi="Times New Roman" w:cs="Times New Roman"/>
          <w:color w:val="000000"/>
          <w:sz w:val="24"/>
          <w:szCs w:val="24"/>
          <w:lang w:eastAsia="hu-HU"/>
        </w:rPr>
        <w:t xml:space="preserve"> biztosított legyen.</w:t>
      </w:r>
      <w:r w:rsidR="003503DE" w:rsidRPr="003503DE">
        <w:t xml:space="preserve"> </w:t>
      </w:r>
      <w:r w:rsidR="003503DE" w:rsidRPr="003503DE">
        <w:rPr>
          <w:rFonts w:ascii="Times New Roman" w:eastAsia="Times New Roman" w:hAnsi="Times New Roman" w:cs="Times New Roman"/>
          <w:color w:val="000000"/>
          <w:sz w:val="24"/>
          <w:szCs w:val="24"/>
          <w:lang w:eastAsia="hu-HU"/>
        </w:rPr>
        <w:t xml:space="preserve">Ez </w:t>
      </w:r>
      <w:r>
        <w:rPr>
          <w:rFonts w:ascii="Times New Roman" w:eastAsia="Times New Roman" w:hAnsi="Times New Roman" w:cs="Times New Roman"/>
          <w:color w:val="000000"/>
          <w:sz w:val="24"/>
          <w:szCs w:val="24"/>
          <w:lang w:eastAsia="hu-HU"/>
        </w:rPr>
        <w:t xml:space="preserve">azonban </w:t>
      </w:r>
      <w:r w:rsidR="003503DE" w:rsidRPr="003503DE">
        <w:rPr>
          <w:rFonts w:ascii="Times New Roman" w:eastAsia="Times New Roman" w:hAnsi="Times New Roman" w:cs="Times New Roman"/>
          <w:color w:val="000000"/>
          <w:sz w:val="24"/>
          <w:szCs w:val="24"/>
          <w:lang w:eastAsia="hu-HU"/>
        </w:rPr>
        <w:t xml:space="preserve">nem azt jelenti, hogy </w:t>
      </w:r>
      <w:r w:rsidR="003503DE">
        <w:rPr>
          <w:rFonts w:ascii="Times New Roman" w:eastAsia="Times New Roman" w:hAnsi="Times New Roman" w:cs="Times New Roman"/>
          <w:color w:val="000000"/>
          <w:sz w:val="24"/>
          <w:szCs w:val="24"/>
          <w:lang w:eastAsia="hu-HU"/>
        </w:rPr>
        <w:t xml:space="preserve">e </w:t>
      </w:r>
      <w:r w:rsidR="003503DE" w:rsidRPr="003503DE">
        <w:rPr>
          <w:rFonts w:ascii="Times New Roman" w:eastAsia="Times New Roman" w:hAnsi="Times New Roman" w:cs="Times New Roman"/>
          <w:color w:val="000000"/>
          <w:sz w:val="24"/>
          <w:szCs w:val="24"/>
          <w:lang w:eastAsia="hu-HU"/>
        </w:rPr>
        <w:t xml:space="preserve">sajátos jellemzők </w:t>
      </w:r>
      <w:r w:rsidR="003503DE">
        <w:rPr>
          <w:rFonts w:ascii="Times New Roman" w:eastAsia="Times New Roman" w:hAnsi="Times New Roman" w:cs="Times New Roman"/>
          <w:color w:val="000000"/>
          <w:sz w:val="24"/>
          <w:szCs w:val="24"/>
          <w:lang w:eastAsia="hu-HU"/>
        </w:rPr>
        <w:t>kizárják</w:t>
      </w:r>
      <w:r w:rsidR="003503DE" w:rsidRPr="003503DE">
        <w:rPr>
          <w:rFonts w:ascii="Times New Roman" w:eastAsia="Times New Roman" w:hAnsi="Times New Roman" w:cs="Times New Roman"/>
          <w:color w:val="000000"/>
          <w:sz w:val="24"/>
          <w:szCs w:val="24"/>
          <w:lang w:eastAsia="hu-HU"/>
        </w:rPr>
        <w:t xml:space="preserve"> a kollektív </w:t>
      </w:r>
      <w:r w:rsidR="003503DE">
        <w:rPr>
          <w:rFonts w:ascii="Times New Roman" w:eastAsia="Times New Roman" w:hAnsi="Times New Roman" w:cs="Times New Roman"/>
          <w:color w:val="000000"/>
          <w:sz w:val="24"/>
          <w:szCs w:val="24"/>
          <w:lang w:eastAsia="hu-HU"/>
        </w:rPr>
        <w:t>alkut</w:t>
      </w:r>
      <w:r w:rsidR="003503DE" w:rsidRPr="003503D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csak</w:t>
      </w:r>
      <w:r w:rsidR="003503DE" w:rsidRPr="003503DE">
        <w:rPr>
          <w:rFonts w:ascii="Times New Roman" w:eastAsia="Times New Roman" w:hAnsi="Times New Roman" w:cs="Times New Roman"/>
          <w:color w:val="000000"/>
          <w:sz w:val="24"/>
          <w:szCs w:val="24"/>
          <w:lang w:eastAsia="hu-HU"/>
        </w:rPr>
        <w:t xml:space="preserve"> azt, hogy </w:t>
      </w:r>
      <w:r>
        <w:rPr>
          <w:rFonts w:ascii="Times New Roman" w:eastAsia="Times New Roman" w:hAnsi="Times New Roman" w:cs="Times New Roman"/>
          <w:color w:val="000000"/>
          <w:sz w:val="24"/>
          <w:szCs w:val="24"/>
          <w:lang w:eastAsia="hu-HU"/>
        </w:rPr>
        <w:t xml:space="preserve">bizonyos </w:t>
      </w:r>
      <w:r w:rsidR="003503DE" w:rsidRPr="003503DE">
        <w:rPr>
          <w:rFonts w:ascii="Times New Roman" w:eastAsia="Times New Roman" w:hAnsi="Times New Roman" w:cs="Times New Roman"/>
          <w:color w:val="000000"/>
          <w:sz w:val="24"/>
          <w:szCs w:val="24"/>
          <w:lang w:eastAsia="hu-HU"/>
        </w:rPr>
        <w:t>korlátokat szabnak</w:t>
      </w:r>
      <w:r w:rsidR="003503DE">
        <w:rPr>
          <w:rFonts w:ascii="Times New Roman" w:eastAsia="Times New Roman" w:hAnsi="Times New Roman" w:cs="Times New Roman"/>
          <w:color w:val="000000"/>
          <w:sz w:val="24"/>
          <w:szCs w:val="24"/>
          <w:lang w:eastAsia="hu-HU"/>
        </w:rPr>
        <w:t>.</w:t>
      </w:r>
      <w:r w:rsidR="003503DE">
        <w:rPr>
          <w:rStyle w:val="Lbjegyzet-hivatkozs"/>
          <w:rFonts w:ascii="Times New Roman" w:eastAsia="Times New Roman" w:hAnsi="Times New Roman" w:cs="Times New Roman"/>
          <w:color w:val="000000"/>
          <w:sz w:val="24"/>
          <w:szCs w:val="24"/>
          <w:lang w:eastAsia="hu-HU"/>
        </w:rPr>
        <w:footnoteReference w:id="8"/>
      </w:r>
      <w:r>
        <w:rPr>
          <w:rFonts w:ascii="Times New Roman" w:eastAsia="Times New Roman" w:hAnsi="Times New Roman" w:cs="Times New Roman"/>
          <w:color w:val="000000"/>
          <w:sz w:val="24"/>
          <w:szCs w:val="24"/>
          <w:lang w:eastAsia="hu-HU"/>
        </w:rPr>
        <w:t xml:space="preserve"> Például, a tárgyaló feleknek tiszteletben kell tartaniuk a költségvetésben meghatározott keretszámokat, vagy a foglalkoztatási kiadásokra fordítható keret összegét nem változtathatják meg, csak annak felhasználásáról dönthetnek.</w:t>
      </w:r>
    </w:p>
    <w:p w14:paraId="588F8D24" w14:textId="176B7FCF" w:rsidR="00C51D49" w:rsidRDefault="00C51D49"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közszférában tehát speciális a kollektív alku társadalmi környezete, az érintett felek személye és a felek mozgástere is. Ugyanakkor az állami alkalmazottak is alárendeltségben történő, önállótlan munkavégzést teljesítenek, a munkafeltételek alakításába való munkavállalói bekapcsolódásnak ezért itt is a kollektív alku lehet a leghatékonyabb eszköze. </w:t>
      </w:r>
    </w:p>
    <w:p w14:paraId="4F9406FD" w14:textId="77777777" w:rsidR="00105343" w:rsidRDefault="00105343" w:rsidP="000E2EED">
      <w:pPr>
        <w:spacing w:after="0" w:line="360" w:lineRule="auto"/>
        <w:jc w:val="both"/>
        <w:rPr>
          <w:rFonts w:ascii="Times New Roman" w:eastAsia="Times New Roman" w:hAnsi="Times New Roman" w:cs="Times New Roman"/>
          <w:color w:val="000000"/>
          <w:sz w:val="24"/>
          <w:szCs w:val="24"/>
          <w:lang w:eastAsia="hu-HU"/>
        </w:rPr>
      </w:pPr>
    </w:p>
    <w:p w14:paraId="46E4D9E0" w14:textId="51460D49" w:rsidR="00105343" w:rsidRPr="00105343" w:rsidRDefault="00105343" w:rsidP="000E2EED">
      <w:pPr>
        <w:spacing w:after="0" w:line="360" w:lineRule="auto"/>
        <w:jc w:val="both"/>
        <w:rPr>
          <w:rFonts w:ascii="Times New Roman" w:eastAsia="Times New Roman" w:hAnsi="Times New Roman" w:cs="Times New Roman"/>
          <w:b/>
          <w:bCs/>
          <w:color w:val="000000"/>
          <w:sz w:val="24"/>
          <w:szCs w:val="24"/>
          <w:lang w:eastAsia="hu-HU"/>
        </w:rPr>
      </w:pPr>
      <w:r w:rsidRPr="00105343">
        <w:rPr>
          <w:rFonts w:ascii="Times New Roman" w:eastAsia="Times New Roman" w:hAnsi="Times New Roman" w:cs="Times New Roman"/>
          <w:b/>
          <w:bCs/>
          <w:color w:val="000000"/>
          <w:sz w:val="24"/>
          <w:szCs w:val="24"/>
          <w:lang w:eastAsia="hu-HU"/>
        </w:rPr>
        <w:t>2. A közszféra kollektív szerződéseire vonatkozó nemzetközi jogforrások</w:t>
      </w:r>
    </w:p>
    <w:p w14:paraId="2E4A3499" w14:textId="77777777" w:rsidR="001302B6" w:rsidRDefault="001302B6" w:rsidP="000E2EED">
      <w:pPr>
        <w:spacing w:after="0" w:line="360" w:lineRule="auto"/>
        <w:jc w:val="both"/>
        <w:rPr>
          <w:rFonts w:ascii="Times New Roman" w:eastAsia="Times New Roman" w:hAnsi="Times New Roman" w:cs="Times New Roman"/>
          <w:color w:val="000000"/>
          <w:sz w:val="24"/>
          <w:szCs w:val="24"/>
          <w:lang w:eastAsia="hu-HU"/>
        </w:rPr>
      </w:pPr>
    </w:p>
    <w:p w14:paraId="4E2297BD" w14:textId="5B2025EE" w:rsidR="00DD102B" w:rsidRDefault="00DD102B"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Nemzetközi Munkaügyi Szervezet (International Labour Organisation, ILO) jogrendjében a kollektív alku joga kiemelt jelentőséggel bír, egyike „A munka világára vonatkozó alapelvekről és jogokról szóló nyilatkozatban” deklarált normáknak, amelyek betartása a részes államoknak önmagában a tagságból folyó kötelezettsége, </w:t>
      </w:r>
      <w:r w:rsidR="00105343">
        <w:rPr>
          <w:rFonts w:ascii="Times New Roman" w:eastAsia="Times New Roman" w:hAnsi="Times New Roman" w:cs="Times New Roman"/>
          <w:color w:val="000000"/>
          <w:sz w:val="24"/>
          <w:szCs w:val="24"/>
          <w:lang w:eastAsia="hu-HU"/>
        </w:rPr>
        <w:t xml:space="preserve">ami akkor </w:t>
      </w:r>
      <w:r>
        <w:rPr>
          <w:rFonts w:ascii="Times New Roman" w:eastAsia="Times New Roman" w:hAnsi="Times New Roman" w:cs="Times New Roman"/>
          <w:color w:val="000000"/>
          <w:sz w:val="24"/>
          <w:szCs w:val="24"/>
          <w:lang w:eastAsia="hu-HU"/>
        </w:rPr>
        <w:t>is</w:t>
      </w:r>
      <w:r w:rsidR="00105343">
        <w:rPr>
          <w:rFonts w:ascii="Times New Roman" w:eastAsia="Times New Roman" w:hAnsi="Times New Roman" w:cs="Times New Roman"/>
          <w:color w:val="000000"/>
          <w:sz w:val="24"/>
          <w:szCs w:val="24"/>
          <w:lang w:eastAsia="hu-HU"/>
        </w:rPr>
        <w:t xml:space="preserve"> fennáll</w:t>
      </w:r>
      <w:r>
        <w:rPr>
          <w:rFonts w:ascii="Times New Roman" w:eastAsia="Times New Roman" w:hAnsi="Times New Roman" w:cs="Times New Roman"/>
          <w:color w:val="000000"/>
          <w:sz w:val="24"/>
          <w:szCs w:val="24"/>
          <w:lang w:eastAsia="hu-HU"/>
        </w:rPr>
        <w:t>, ha a vonatkozó egyezményeket nem ratifikálták.</w:t>
      </w:r>
      <w:r>
        <w:rPr>
          <w:rStyle w:val="Lbjegyzet-hivatkozs"/>
          <w:rFonts w:ascii="Times New Roman" w:eastAsia="Times New Roman" w:hAnsi="Times New Roman" w:cs="Times New Roman"/>
          <w:color w:val="000000"/>
          <w:sz w:val="24"/>
          <w:szCs w:val="24"/>
          <w:lang w:eastAsia="hu-HU"/>
        </w:rPr>
        <w:footnoteReference w:id="9"/>
      </w:r>
      <w:r>
        <w:rPr>
          <w:rFonts w:ascii="Times New Roman" w:eastAsia="Times New Roman" w:hAnsi="Times New Roman" w:cs="Times New Roman"/>
          <w:color w:val="000000"/>
          <w:sz w:val="24"/>
          <w:szCs w:val="24"/>
          <w:lang w:eastAsia="hu-HU"/>
        </w:rPr>
        <w:t xml:space="preserve"> </w:t>
      </w:r>
    </w:p>
    <w:p w14:paraId="2A2F9727" w14:textId="1DBBF13E" w:rsidR="00DD102B" w:rsidRDefault="00DD102B"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kollektív alku jogára jelenleg négy egyezmény vonatkozik:</w:t>
      </w:r>
    </w:p>
    <w:p w14:paraId="37E494B0" w14:textId="7ED96CE0" w:rsidR="00DD102B" w:rsidRDefault="00DD102B" w:rsidP="00DD102B">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DD102B">
        <w:rPr>
          <w:rFonts w:ascii="Times New Roman" w:eastAsia="Times New Roman" w:hAnsi="Times New Roman" w:cs="Times New Roman"/>
          <w:color w:val="000000"/>
          <w:sz w:val="24"/>
          <w:szCs w:val="24"/>
          <w:lang w:eastAsia="hu-HU"/>
        </w:rPr>
        <w:t>87. sz. Egyezmény (1948) az egyesülési szabadság és a szervezkedési jog védelméről</w:t>
      </w:r>
      <w:r>
        <w:rPr>
          <w:rFonts w:ascii="Times New Roman" w:eastAsia="Times New Roman" w:hAnsi="Times New Roman" w:cs="Times New Roman"/>
          <w:color w:val="000000"/>
          <w:sz w:val="24"/>
          <w:szCs w:val="24"/>
          <w:lang w:eastAsia="hu-HU"/>
        </w:rPr>
        <w:t>;</w:t>
      </w:r>
    </w:p>
    <w:p w14:paraId="137BD5BE" w14:textId="1646FFCF" w:rsidR="00DD102B" w:rsidRDefault="00DD102B" w:rsidP="00DD102B">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DD102B">
        <w:rPr>
          <w:rFonts w:ascii="Times New Roman" w:eastAsia="Times New Roman" w:hAnsi="Times New Roman" w:cs="Times New Roman"/>
          <w:color w:val="000000"/>
          <w:sz w:val="24"/>
          <w:szCs w:val="24"/>
          <w:lang w:eastAsia="hu-HU"/>
        </w:rPr>
        <w:t>98. sz</w:t>
      </w:r>
      <w:r>
        <w:rPr>
          <w:rFonts w:ascii="Times New Roman" w:eastAsia="Times New Roman" w:hAnsi="Times New Roman" w:cs="Times New Roman"/>
          <w:color w:val="000000"/>
          <w:sz w:val="24"/>
          <w:szCs w:val="24"/>
          <w:lang w:eastAsia="hu-HU"/>
        </w:rPr>
        <w:t>.</w:t>
      </w:r>
      <w:r w:rsidRPr="00DD102B">
        <w:rPr>
          <w:rFonts w:ascii="Times New Roman" w:eastAsia="Times New Roman" w:hAnsi="Times New Roman" w:cs="Times New Roman"/>
          <w:color w:val="000000"/>
          <w:sz w:val="24"/>
          <w:szCs w:val="24"/>
          <w:lang w:eastAsia="hu-HU"/>
        </w:rPr>
        <w:t xml:space="preserve"> Egyezmény</w:t>
      </w:r>
      <w:r>
        <w:rPr>
          <w:rFonts w:ascii="Times New Roman" w:eastAsia="Times New Roman" w:hAnsi="Times New Roman" w:cs="Times New Roman"/>
          <w:color w:val="000000"/>
          <w:sz w:val="24"/>
          <w:szCs w:val="24"/>
          <w:lang w:eastAsia="hu-HU"/>
        </w:rPr>
        <w:t xml:space="preserve"> (1949) a </w:t>
      </w:r>
      <w:r w:rsidRPr="00DD102B">
        <w:rPr>
          <w:rFonts w:ascii="Times New Roman" w:eastAsia="Times New Roman" w:hAnsi="Times New Roman" w:cs="Times New Roman"/>
          <w:color w:val="000000"/>
          <w:sz w:val="24"/>
          <w:szCs w:val="24"/>
          <w:lang w:eastAsia="hu-HU"/>
        </w:rPr>
        <w:t>szervezkedési jog és a kollektív tárgyalási jog elveinek alkalmazásáról</w:t>
      </w:r>
      <w:r>
        <w:rPr>
          <w:rFonts w:ascii="Times New Roman" w:eastAsia="Times New Roman" w:hAnsi="Times New Roman" w:cs="Times New Roman"/>
          <w:color w:val="000000"/>
          <w:sz w:val="24"/>
          <w:szCs w:val="24"/>
          <w:lang w:eastAsia="hu-HU"/>
        </w:rPr>
        <w:t>;</w:t>
      </w:r>
    </w:p>
    <w:p w14:paraId="22707578" w14:textId="2A255D87" w:rsidR="00DD102B" w:rsidRDefault="00DD102B" w:rsidP="00DD102B">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151. sz. Egyezmény (1978)</w:t>
      </w:r>
      <w:r w:rsidRPr="00DD102B">
        <w:rPr>
          <w:rFonts w:ascii="Times New Roman" w:eastAsia="Times New Roman" w:hAnsi="Times New Roman" w:cs="Times New Roman"/>
          <w:color w:val="000000"/>
          <w:sz w:val="24"/>
          <w:szCs w:val="24"/>
          <w:lang w:eastAsia="hu-HU"/>
        </w:rPr>
        <w:t xml:space="preserve"> a közszolgálatban foglalkoztatottak szervezkedési szabadságának védelméről és a foglalkoztatási feltételeik megállapításával kapcsolatos eljárásokról</w:t>
      </w:r>
      <w:r>
        <w:rPr>
          <w:rFonts w:ascii="Times New Roman" w:eastAsia="Times New Roman" w:hAnsi="Times New Roman" w:cs="Times New Roman"/>
          <w:color w:val="000000"/>
          <w:sz w:val="24"/>
          <w:szCs w:val="24"/>
          <w:lang w:eastAsia="hu-HU"/>
        </w:rPr>
        <w:t>;</w:t>
      </w:r>
    </w:p>
    <w:p w14:paraId="6B4485A6" w14:textId="78BB37A6" w:rsidR="00DD102B" w:rsidRDefault="00DD102B" w:rsidP="00DD102B">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DD102B">
        <w:rPr>
          <w:rFonts w:ascii="Times New Roman" w:eastAsia="Times New Roman" w:hAnsi="Times New Roman" w:cs="Times New Roman"/>
          <w:color w:val="000000"/>
          <w:sz w:val="24"/>
          <w:szCs w:val="24"/>
          <w:lang w:eastAsia="hu-HU"/>
        </w:rPr>
        <w:t xml:space="preserve">154. sz. Egyezmény </w:t>
      </w:r>
      <w:r>
        <w:rPr>
          <w:rFonts w:ascii="Times New Roman" w:eastAsia="Times New Roman" w:hAnsi="Times New Roman" w:cs="Times New Roman"/>
          <w:color w:val="000000"/>
          <w:sz w:val="24"/>
          <w:szCs w:val="24"/>
          <w:lang w:eastAsia="hu-HU"/>
        </w:rPr>
        <w:t xml:space="preserve">(1981) </w:t>
      </w:r>
      <w:r w:rsidRPr="00DD102B">
        <w:rPr>
          <w:rFonts w:ascii="Times New Roman" w:eastAsia="Times New Roman" w:hAnsi="Times New Roman" w:cs="Times New Roman"/>
          <w:color w:val="000000"/>
          <w:sz w:val="24"/>
          <w:szCs w:val="24"/>
          <w:lang w:eastAsia="hu-HU"/>
        </w:rPr>
        <w:t>a kollektív tárgyalások előmozdításáról</w:t>
      </w:r>
      <w:r>
        <w:rPr>
          <w:rFonts w:ascii="Times New Roman" w:eastAsia="Times New Roman" w:hAnsi="Times New Roman" w:cs="Times New Roman"/>
          <w:color w:val="000000"/>
          <w:sz w:val="24"/>
          <w:szCs w:val="24"/>
          <w:lang w:eastAsia="hu-HU"/>
        </w:rPr>
        <w:t>.</w:t>
      </w:r>
    </w:p>
    <w:p w14:paraId="01FCA289" w14:textId="4A35CEFE" w:rsidR="00DD102B" w:rsidRDefault="00DD102B"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Ezek az Egyezmények elismerik a közszféra kollektív alkujának fenti sajátosságait</w:t>
      </w:r>
      <w:r w:rsidR="0010534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w:t>
      </w:r>
      <w:r w:rsidR="00105343">
        <w:rPr>
          <w:rFonts w:ascii="Times New Roman" w:eastAsia="Times New Roman" w:hAnsi="Times New Roman" w:cs="Times New Roman"/>
          <w:color w:val="000000"/>
          <w:sz w:val="24"/>
          <w:szCs w:val="24"/>
          <w:lang w:eastAsia="hu-HU"/>
        </w:rPr>
        <w:t>Így</w:t>
      </w:r>
      <w:r>
        <w:rPr>
          <w:rFonts w:ascii="Times New Roman" w:eastAsia="Times New Roman" w:hAnsi="Times New Roman" w:cs="Times New Roman"/>
          <w:color w:val="000000"/>
          <w:sz w:val="24"/>
          <w:szCs w:val="24"/>
          <w:lang w:eastAsia="hu-HU"/>
        </w:rPr>
        <w:t xml:space="preserve"> bizonyos </w:t>
      </w:r>
      <w:r w:rsidR="00105343">
        <w:rPr>
          <w:rFonts w:ascii="Times New Roman" w:eastAsia="Times New Roman" w:hAnsi="Times New Roman" w:cs="Times New Roman"/>
          <w:color w:val="000000"/>
          <w:sz w:val="24"/>
          <w:szCs w:val="24"/>
          <w:lang w:eastAsia="hu-HU"/>
        </w:rPr>
        <w:t>kivételes esetekben</w:t>
      </w:r>
      <w:r>
        <w:rPr>
          <w:rFonts w:ascii="Times New Roman" w:eastAsia="Times New Roman" w:hAnsi="Times New Roman" w:cs="Times New Roman"/>
          <w:color w:val="000000"/>
          <w:sz w:val="24"/>
          <w:szCs w:val="24"/>
          <w:lang w:eastAsia="hu-HU"/>
        </w:rPr>
        <w:t xml:space="preserve"> a részes államok döntésére bízzák, hogy szabályaikat alkalmazzák-e egyes állami alkalmazottakra. Ezek a kivételek az alábbiak:</w:t>
      </w:r>
    </w:p>
    <w:p w14:paraId="1A1F69B1" w14:textId="01E7E0A6" w:rsidR="00DD102B" w:rsidRDefault="00581388" w:rsidP="00DD102B">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lastRenderedPageBreak/>
        <w:t>a fegyveres erők és a rendőrsé</w:t>
      </w:r>
      <w:r>
        <w:rPr>
          <w:rFonts w:ascii="Times New Roman" w:eastAsia="Times New Roman" w:hAnsi="Times New Roman" w:cs="Times New Roman"/>
          <w:color w:val="000000"/>
          <w:sz w:val="24"/>
          <w:szCs w:val="24"/>
          <w:lang w:eastAsia="hu-HU"/>
        </w:rPr>
        <w:t>g,</w:t>
      </w:r>
      <w:r>
        <w:rPr>
          <w:rStyle w:val="Lbjegyzet-hivatkozs"/>
          <w:rFonts w:ascii="Times New Roman" w:eastAsia="Times New Roman" w:hAnsi="Times New Roman" w:cs="Times New Roman"/>
          <w:color w:val="000000"/>
          <w:sz w:val="24"/>
          <w:szCs w:val="24"/>
          <w:lang w:eastAsia="hu-HU"/>
        </w:rPr>
        <w:footnoteReference w:id="10"/>
      </w:r>
    </w:p>
    <w:p w14:paraId="5AC51CB7" w14:textId="51E4E176" w:rsidR="00581388" w:rsidRPr="00581388" w:rsidRDefault="00581388" w:rsidP="00581388">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közszolgálatban foglalkoztatottak.</w:t>
      </w:r>
      <w:r>
        <w:rPr>
          <w:rStyle w:val="Lbjegyzet-hivatkozs"/>
          <w:rFonts w:ascii="Times New Roman" w:eastAsia="Times New Roman" w:hAnsi="Times New Roman" w:cs="Times New Roman"/>
          <w:color w:val="000000"/>
          <w:sz w:val="24"/>
          <w:szCs w:val="24"/>
          <w:lang w:eastAsia="hu-HU"/>
        </w:rPr>
        <w:footnoteReference w:id="11"/>
      </w:r>
    </w:p>
    <w:p w14:paraId="14D0385E" w14:textId="6216948C" w:rsidR="00EA42E4" w:rsidRDefault="00581388" w:rsidP="00EA42E4">
      <w:pPr>
        <w:spacing w:after="0" w:line="360"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 xml:space="preserve">A Szervezkedési Szabadság Bizottságának következetes gyakorlata </w:t>
      </w:r>
      <w:r>
        <w:rPr>
          <w:rFonts w:ascii="Times New Roman" w:eastAsia="Times New Roman" w:hAnsi="Times New Roman" w:cs="Times New Roman"/>
          <w:color w:val="000000"/>
          <w:sz w:val="24"/>
          <w:szCs w:val="24"/>
          <w:lang w:eastAsia="hu-HU"/>
        </w:rPr>
        <w:t>ezeket a kivételeket megszorítóan értelmezi.</w:t>
      </w:r>
      <w:r w:rsidRPr="007868A2">
        <w:rPr>
          <w:rStyle w:val="Lbjegyzet-hivatkozs"/>
          <w:rFonts w:ascii="Times New Roman" w:hAnsi="Times New Roman" w:cs="Times New Roman"/>
          <w:sz w:val="24"/>
          <w:szCs w:val="24"/>
          <w:lang w:val="en-US"/>
        </w:rPr>
        <w:footnoteReference w:id="12"/>
      </w:r>
      <w:r w:rsidRPr="007868A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Eszerint a „közszolgálat” kizárólag</w:t>
      </w:r>
      <w:r w:rsidRPr="007868A2">
        <w:rPr>
          <w:rFonts w:ascii="Times New Roman" w:eastAsia="Times New Roman" w:hAnsi="Times New Roman" w:cs="Times New Roman"/>
          <w:color w:val="000000"/>
          <w:sz w:val="24"/>
          <w:szCs w:val="24"/>
          <w:lang w:eastAsia="hu-HU"/>
        </w:rPr>
        <w:t xml:space="preserve"> azokra vonatkozik, akiknek tevékenysége közvetlenül kötődik a közigazgatáshoz, vagy ilyen tevékenységet támogatnak. Nem tartoznak azonban ide a közszolgáltatásokat nyújtók, így például a közegészségügyben dolgozó alkalmazottak.</w:t>
      </w:r>
      <w:r w:rsidRPr="007868A2">
        <w:rPr>
          <w:rStyle w:val="Lbjegyzet-hivatkozs"/>
          <w:rFonts w:ascii="Times New Roman" w:hAnsi="Times New Roman" w:cs="Times New Roman"/>
          <w:sz w:val="24"/>
          <w:szCs w:val="24"/>
          <w:lang w:val="en-US"/>
        </w:rPr>
        <w:footnoteReference w:id="13"/>
      </w:r>
      <w:r w:rsidR="00EA42E4">
        <w:rPr>
          <w:rFonts w:ascii="Times New Roman" w:eastAsia="Times New Roman" w:hAnsi="Times New Roman" w:cs="Times New Roman"/>
          <w:color w:val="000000"/>
          <w:sz w:val="24"/>
          <w:szCs w:val="24"/>
          <w:lang w:eastAsia="hu-HU"/>
        </w:rPr>
        <w:t xml:space="preserve"> A Bizottság következetesen </w:t>
      </w:r>
      <w:r w:rsidRPr="00581388">
        <w:rPr>
          <w:rFonts w:ascii="Times New Roman" w:eastAsia="Times New Roman" w:hAnsi="Times New Roman" w:cs="Times New Roman"/>
          <w:color w:val="000000"/>
          <w:sz w:val="24"/>
          <w:szCs w:val="24"/>
          <w:lang w:eastAsia="hu-HU"/>
        </w:rPr>
        <w:t xml:space="preserve">különbséget </w:t>
      </w:r>
      <w:r w:rsidR="00EA42E4">
        <w:rPr>
          <w:rFonts w:ascii="Times New Roman" w:eastAsia="Times New Roman" w:hAnsi="Times New Roman" w:cs="Times New Roman"/>
          <w:color w:val="000000"/>
          <w:sz w:val="24"/>
          <w:szCs w:val="24"/>
          <w:lang w:eastAsia="hu-HU"/>
        </w:rPr>
        <w:t>tesz</w:t>
      </w:r>
      <w:r w:rsidRPr="00581388">
        <w:rPr>
          <w:rFonts w:ascii="Times New Roman" w:eastAsia="Times New Roman" w:hAnsi="Times New Roman" w:cs="Times New Roman"/>
          <w:color w:val="000000"/>
          <w:sz w:val="24"/>
          <w:szCs w:val="24"/>
          <w:lang w:eastAsia="hu-HU"/>
        </w:rPr>
        <w:t xml:space="preserve"> egyrészt a köztisztviselők között, akik beosztásuknál fogva közvetlenül az államigazgatásban dolgoznak, és akiket ki lehet zárni az </w:t>
      </w:r>
      <w:r w:rsidR="00EA42E4">
        <w:rPr>
          <w:rFonts w:ascii="Times New Roman" w:eastAsia="Times New Roman" w:hAnsi="Times New Roman" w:cs="Times New Roman"/>
          <w:color w:val="000000"/>
          <w:sz w:val="24"/>
          <w:szCs w:val="24"/>
          <w:lang w:eastAsia="hu-HU"/>
        </w:rPr>
        <w:t>E</w:t>
      </w:r>
      <w:r w:rsidRPr="00581388">
        <w:rPr>
          <w:rFonts w:ascii="Times New Roman" w:eastAsia="Times New Roman" w:hAnsi="Times New Roman" w:cs="Times New Roman"/>
          <w:color w:val="000000"/>
          <w:sz w:val="24"/>
          <w:szCs w:val="24"/>
          <w:lang w:eastAsia="hu-HU"/>
        </w:rPr>
        <w:t>gyezmény</w:t>
      </w:r>
      <w:r w:rsidR="00EA42E4">
        <w:rPr>
          <w:rFonts w:ascii="Times New Roman" w:eastAsia="Times New Roman" w:hAnsi="Times New Roman" w:cs="Times New Roman"/>
          <w:color w:val="000000"/>
          <w:sz w:val="24"/>
          <w:szCs w:val="24"/>
          <w:lang w:eastAsia="hu-HU"/>
        </w:rPr>
        <w:t>ek</w:t>
      </w:r>
      <w:r w:rsidRPr="00581388">
        <w:rPr>
          <w:rFonts w:ascii="Times New Roman" w:eastAsia="Times New Roman" w:hAnsi="Times New Roman" w:cs="Times New Roman"/>
          <w:color w:val="000000"/>
          <w:sz w:val="24"/>
          <w:szCs w:val="24"/>
          <w:lang w:eastAsia="hu-HU"/>
        </w:rPr>
        <w:t xml:space="preserve"> hatálya alól, másrészt a kormány, az állami vállalatok vagy az autonóm közintézmények által foglalkoztatott minden más személy között, akiknek az </w:t>
      </w:r>
      <w:r w:rsidR="00EA42E4">
        <w:rPr>
          <w:rFonts w:ascii="Times New Roman" w:eastAsia="Times New Roman" w:hAnsi="Times New Roman" w:cs="Times New Roman"/>
          <w:color w:val="000000"/>
          <w:sz w:val="24"/>
          <w:szCs w:val="24"/>
          <w:lang w:eastAsia="hu-HU"/>
        </w:rPr>
        <w:t>E</w:t>
      </w:r>
      <w:r w:rsidRPr="00581388">
        <w:rPr>
          <w:rFonts w:ascii="Times New Roman" w:eastAsia="Times New Roman" w:hAnsi="Times New Roman" w:cs="Times New Roman"/>
          <w:color w:val="000000"/>
          <w:sz w:val="24"/>
          <w:szCs w:val="24"/>
          <w:lang w:eastAsia="hu-HU"/>
        </w:rPr>
        <w:t>gyezmény</w:t>
      </w:r>
      <w:r w:rsidR="00EA42E4">
        <w:rPr>
          <w:rFonts w:ascii="Times New Roman" w:eastAsia="Times New Roman" w:hAnsi="Times New Roman" w:cs="Times New Roman"/>
          <w:color w:val="000000"/>
          <w:sz w:val="24"/>
          <w:szCs w:val="24"/>
          <w:lang w:eastAsia="hu-HU"/>
        </w:rPr>
        <w:t>ek</w:t>
      </w:r>
      <w:r w:rsidRPr="00581388">
        <w:rPr>
          <w:rFonts w:ascii="Times New Roman" w:eastAsia="Times New Roman" w:hAnsi="Times New Roman" w:cs="Times New Roman"/>
          <w:color w:val="000000"/>
          <w:sz w:val="24"/>
          <w:szCs w:val="24"/>
          <w:lang w:eastAsia="hu-HU"/>
        </w:rPr>
        <w:t>ben előírt garanciákat élvezniük</w:t>
      </w:r>
      <w:r w:rsidR="00EA42E4" w:rsidRPr="00EA42E4">
        <w:rPr>
          <w:rFonts w:ascii="Times New Roman" w:eastAsia="Times New Roman" w:hAnsi="Times New Roman" w:cs="Times New Roman"/>
          <w:color w:val="000000"/>
          <w:sz w:val="24"/>
          <w:szCs w:val="24"/>
          <w:lang w:eastAsia="hu-HU"/>
        </w:rPr>
        <w:t xml:space="preserve"> </w:t>
      </w:r>
      <w:r w:rsidR="00EA42E4" w:rsidRPr="00581388">
        <w:rPr>
          <w:rFonts w:ascii="Times New Roman" w:eastAsia="Times New Roman" w:hAnsi="Times New Roman" w:cs="Times New Roman"/>
          <w:color w:val="000000"/>
          <w:sz w:val="24"/>
          <w:szCs w:val="24"/>
          <w:lang w:eastAsia="hu-HU"/>
        </w:rPr>
        <w:t>kell</w:t>
      </w:r>
      <w:r w:rsidRPr="00581388">
        <w:rPr>
          <w:rFonts w:ascii="Times New Roman" w:eastAsia="Times New Roman" w:hAnsi="Times New Roman" w:cs="Times New Roman"/>
          <w:color w:val="000000"/>
          <w:sz w:val="24"/>
          <w:szCs w:val="24"/>
          <w:lang w:eastAsia="hu-HU"/>
        </w:rPr>
        <w:t xml:space="preserve">. </w:t>
      </w:r>
      <w:r w:rsidR="00EA42E4">
        <w:rPr>
          <w:rFonts w:ascii="Times New Roman" w:eastAsia="Times New Roman" w:hAnsi="Times New Roman" w:cs="Times New Roman"/>
          <w:color w:val="000000"/>
          <w:sz w:val="24"/>
          <w:szCs w:val="24"/>
          <w:lang w:eastAsia="hu-HU"/>
        </w:rPr>
        <w:t>E</w:t>
      </w:r>
      <w:r w:rsidRPr="00581388">
        <w:rPr>
          <w:rFonts w:ascii="Times New Roman" w:eastAsia="Times New Roman" w:hAnsi="Times New Roman" w:cs="Times New Roman"/>
          <w:color w:val="000000"/>
          <w:sz w:val="24"/>
          <w:szCs w:val="24"/>
          <w:lang w:eastAsia="hu-HU"/>
        </w:rPr>
        <w:t xml:space="preserve"> második kategóriába tartoznak például az állami vállalatok, az önkormányzati és a decentralizált szervezetek alkalmazottai, a köz</w:t>
      </w:r>
      <w:r w:rsidR="00EA42E4">
        <w:rPr>
          <w:rFonts w:ascii="Times New Roman" w:eastAsia="Times New Roman" w:hAnsi="Times New Roman" w:cs="Times New Roman"/>
          <w:color w:val="000000"/>
          <w:sz w:val="24"/>
          <w:szCs w:val="24"/>
          <w:lang w:eastAsia="hu-HU"/>
        </w:rPr>
        <w:t>oktatásban dolgozó</w:t>
      </w:r>
      <w:r w:rsidRPr="00581388">
        <w:rPr>
          <w:rFonts w:ascii="Times New Roman" w:eastAsia="Times New Roman" w:hAnsi="Times New Roman" w:cs="Times New Roman"/>
          <w:color w:val="000000"/>
          <w:sz w:val="24"/>
          <w:szCs w:val="24"/>
          <w:lang w:eastAsia="hu-HU"/>
        </w:rPr>
        <w:t xml:space="preserve"> tanár</w:t>
      </w:r>
      <w:r w:rsidR="00EA42E4">
        <w:rPr>
          <w:rFonts w:ascii="Times New Roman" w:eastAsia="Times New Roman" w:hAnsi="Times New Roman" w:cs="Times New Roman"/>
          <w:color w:val="000000"/>
          <w:sz w:val="24"/>
          <w:szCs w:val="24"/>
          <w:lang w:eastAsia="hu-HU"/>
        </w:rPr>
        <w:t>ok</w:t>
      </w:r>
      <w:r w:rsidRPr="00581388">
        <w:rPr>
          <w:rFonts w:ascii="Times New Roman" w:eastAsia="Times New Roman" w:hAnsi="Times New Roman" w:cs="Times New Roman"/>
          <w:color w:val="000000"/>
          <w:sz w:val="24"/>
          <w:szCs w:val="24"/>
          <w:lang w:eastAsia="hu-HU"/>
        </w:rPr>
        <w:t xml:space="preserve">, valamint a légi közlekedés személyzete, függetlenül attól, hogy a nemzeti jog szerint a </w:t>
      </w:r>
      <w:r w:rsidR="00EA42E4">
        <w:rPr>
          <w:rFonts w:ascii="Times New Roman" w:eastAsia="Times New Roman" w:hAnsi="Times New Roman" w:cs="Times New Roman"/>
          <w:color w:val="000000"/>
          <w:sz w:val="24"/>
          <w:szCs w:val="24"/>
          <w:lang w:eastAsia="hu-HU"/>
        </w:rPr>
        <w:t>közszolgálat</w:t>
      </w:r>
      <w:r w:rsidRPr="00581388">
        <w:rPr>
          <w:rFonts w:ascii="Times New Roman" w:eastAsia="Times New Roman" w:hAnsi="Times New Roman" w:cs="Times New Roman"/>
          <w:color w:val="000000"/>
          <w:sz w:val="24"/>
          <w:szCs w:val="24"/>
          <w:lang w:eastAsia="hu-HU"/>
        </w:rPr>
        <w:t xml:space="preserve"> kategóriájába tartoznak-e vagy sem.</w:t>
      </w:r>
      <w:r w:rsidR="00EA42E4">
        <w:rPr>
          <w:rStyle w:val="Lbjegyzet-hivatkozs"/>
          <w:rFonts w:ascii="Times New Roman" w:eastAsia="Times New Roman" w:hAnsi="Times New Roman" w:cs="Times New Roman"/>
          <w:color w:val="000000"/>
          <w:sz w:val="24"/>
          <w:szCs w:val="24"/>
          <w:lang w:eastAsia="hu-HU"/>
        </w:rPr>
        <w:footnoteReference w:id="14"/>
      </w:r>
      <w:r w:rsidR="00105343">
        <w:rPr>
          <w:rFonts w:ascii="Times New Roman" w:eastAsia="Times New Roman" w:hAnsi="Times New Roman" w:cs="Times New Roman"/>
          <w:color w:val="000000"/>
          <w:sz w:val="24"/>
          <w:szCs w:val="24"/>
          <w:lang w:eastAsia="hu-HU"/>
        </w:rPr>
        <w:t xml:space="preserve"> Hasonlóan szigorúan értelmezendő a fegyveres szervekre vonatkozó kivétel is. A rendfenntartó tevékenységben részt nem vevő civil alkalmazottakra ugyanis ez nem irányadó.</w:t>
      </w:r>
      <w:r w:rsidR="00105343">
        <w:rPr>
          <w:rStyle w:val="Lbjegyzet-hivatkozs"/>
          <w:rFonts w:ascii="Times New Roman" w:eastAsia="Times New Roman" w:hAnsi="Times New Roman" w:cs="Times New Roman"/>
          <w:color w:val="000000"/>
          <w:sz w:val="24"/>
          <w:szCs w:val="24"/>
          <w:lang w:eastAsia="hu-HU"/>
        </w:rPr>
        <w:footnoteReference w:id="15"/>
      </w:r>
    </w:p>
    <w:p w14:paraId="130F3542" w14:textId="22AFFEC4" w:rsidR="00EA42E4" w:rsidRDefault="00EA42E4" w:rsidP="00EA42E4">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kifejezetten a közszolgálatra </w:t>
      </w:r>
      <w:r w:rsidR="00105343">
        <w:rPr>
          <w:rFonts w:ascii="Times New Roman" w:eastAsia="Times New Roman" w:hAnsi="Times New Roman" w:cs="Times New Roman"/>
          <w:color w:val="000000"/>
          <w:sz w:val="24"/>
          <w:szCs w:val="24"/>
          <w:lang w:eastAsia="hu-HU"/>
        </w:rPr>
        <w:t>alkalmazandó</w:t>
      </w:r>
      <w:r>
        <w:rPr>
          <w:rFonts w:ascii="Times New Roman" w:eastAsia="Times New Roman" w:hAnsi="Times New Roman" w:cs="Times New Roman"/>
          <w:color w:val="000000"/>
          <w:sz w:val="24"/>
          <w:szCs w:val="24"/>
          <w:lang w:eastAsia="hu-HU"/>
        </w:rPr>
        <w:t xml:space="preserve"> </w:t>
      </w:r>
      <w:r w:rsidRPr="00DD102B">
        <w:rPr>
          <w:rFonts w:ascii="Times New Roman" w:eastAsia="Times New Roman" w:hAnsi="Times New Roman" w:cs="Times New Roman"/>
          <w:color w:val="000000"/>
          <w:sz w:val="24"/>
          <w:szCs w:val="24"/>
          <w:lang w:eastAsia="hu-HU"/>
        </w:rPr>
        <w:t>151. sz. Egyezmény</w:t>
      </w:r>
      <w:r>
        <w:rPr>
          <w:rFonts w:ascii="Times New Roman" w:eastAsia="Times New Roman" w:hAnsi="Times New Roman" w:cs="Times New Roman"/>
          <w:color w:val="000000"/>
          <w:sz w:val="24"/>
          <w:szCs w:val="24"/>
          <w:lang w:eastAsia="hu-HU"/>
        </w:rPr>
        <w:t xml:space="preserve"> (1978) </w:t>
      </w:r>
      <w:r w:rsidR="00105343">
        <w:rPr>
          <w:rFonts w:ascii="Times New Roman" w:eastAsia="Times New Roman" w:hAnsi="Times New Roman" w:cs="Times New Roman"/>
          <w:color w:val="000000"/>
          <w:sz w:val="24"/>
          <w:szCs w:val="24"/>
          <w:lang w:eastAsia="hu-HU"/>
        </w:rPr>
        <w:t xml:space="preserve">a fegyveres szerveken és a rendőrségen túl, a civil közszolgálatra irányadóan </w:t>
      </w:r>
      <w:r>
        <w:rPr>
          <w:rFonts w:ascii="Times New Roman" w:eastAsia="Times New Roman" w:hAnsi="Times New Roman" w:cs="Times New Roman"/>
          <w:color w:val="000000"/>
          <w:sz w:val="24"/>
          <w:szCs w:val="24"/>
          <w:lang w:eastAsia="hu-HU"/>
        </w:rPr>
        <w:t>három lehetséges kivételt</w:t>
      </w:r>
      <w:r w:rsidR="00105343">
        <w:rPr>
          <w:rFonts w:ascii="Times New Roman" w:eastAsia="Times New Roman" w:hAnsi="Times New Roman" w:cs="Times New Roman"/>
          <w:color w:val="000000"/>
          <w:sz w:val="24"/>
          <w:szCs w:val="24"/>
          <w:lang w:eastAsia="hu-HU"/>
        </w:rPr>
        <w:t xml:space="preserve"> nevesít.</w:t>
      </w:r>
      <w:r>
        <w:rPr>
          <w:rFonts w:ascii="Times New Roman" w:eastAsia="Times New Roman" w:hAnsi="Times New Roman" w:cs="Times New Roman"/>
          <w:color w:val="000000"/>
          <w:sz w:val="24"/>
          <w:szCs w:val="24"/>
          <w:lang w:eastAsia="hu-HU"/>
        </w:rPr>
        <w:t xml:space="preserve"> Eszerint a nemzeti jogalkotás döntheti el, hogy az</w:t>
      </w:r>
      <w:r w:rsidRPr="00581388">
        <w:rPr>
          <w:rFonts w:ascii="Times New Roman" w:eastAsia="Times New Roman" w:hAnsi="Times New Roman" w:cs="Times New Roman"/>
          <w:color w:val="000000"/>
          <w:sz w:val="24"/>
          <w:szCs w:val="24"/>
          <w:lang w:eastAsia="hu-HU"/>
        </w:rPr>
        <w:t xml:space="preserve"> Egyezményben meghatározott jogok mennyire irányadók azon magas beosztású munkavállalókra, akik</w:t>
      </w:r>
      <w:r>
        <w:rPr>
          <w:rFonts w:ascii="Times New Roman" w:eastAsia="Times New Roman" w:hAnsi="Times New Roman" w:cs="Times New Roman"/>
          <w:color w:val="000000"/>
          <w:sz w:val="24"/>
          <w:szCs w:val="24"/>
          <w:lang w:eastAsia="hu-HU"/>
        </w:rPr>
        <w:t>:</w:t>
      </w:r>
    </w:p>
    <w:p w14:paraId="497AE6EA" w14:textId="77777777" w:rsidR="00EA42E4" w:rsidRDefault="00EA42E4" w:rsidP="00EA42E4">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általános ügydöntő vagy</w:t>
      </w:r>
    </w:p>
    <w:p w14:paraId="0AF972DB" w14:textId="77777777" w:rsidR="00EA42E4" w:rsidRDefault="00EA42E4" w:rsidP="00EA42E4">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 xml:space="preserve">vezető feladatokat látnak el, illetve azokra, </w:t>
      </w:r>
    </w:p>
    <w:p w14:paraId="1EB7F8DA" w14:textId="77777777" w:rsidR="00EA42E4" w:rsidRPr="00581388" w:rsidRDefault="00EA42E4" w:rsidP="00EA42E4">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akiknek feladatai szigorúan bizalmas jellegűek.</w:t>
      </w:r>
      <w:r>
        <w:rPr>
          <w:rStyle w:val="Lbjegyzet-hivatkozs"/>
          <w:rFonts w:ascii="Times New Roman" w:eastAsia="Times New Roman" w:hAnsi="Times New Roman" w:cs="Times New Roman"/>
          <w:color w:val="000000"/>
          <w:sz w:val="24"/>
          <w:szCs w:val="24"/>
          <w:lang w:eastAsia="hu-HU"/>
        </w:rPr>
        <w:footnoteReference w:id="16"/>
      </w:r>
    </w:p>
    <w:p w14:paraId="57CE9280" w14:textId="77777777" w:rsidR="00BA311B" w:rsidRDefault="00105343"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Azok az államok tehát, amelyek ratifikálták ezt az Egyezményt is, a közszolgálaton belül is csak e három „magas beosztású” munkavállalói kategóriát vonhatják ki a kollektív alku joga alól. </w:t>
      </w:r>
      <w:r w:rsidR="00EA42E4" w:rsidRPr="007868A2">
        <w:rPr>
          <w:rFonts w:ascii="Times New Roman" w:eastAsia="Times New Roman" w:hAnsi="Times New Roman" w:cs="Times New Roman"/>
          <w:color w:val="000000"/>
          <w:sz w:val="24"/>
          <w:szCs w:val="24"/>
          <w:lang w:eastAsia="hu-HU"/>
        </w:rPr>
        <w:t>A Szervezkedési Szabadság Bizottság</w:t>
      </w:r>
      <w:r w:rsidR="00EA42E4">
        <w:rPr>
          <w:rFonts w:ascii="Times New Roman" w:eastAsia="Times New Roman" w:hAnsi="Times New Roman" w:cs="Times New Roman"/>
          <w:color w:val="000000"/>
          <w:sz w:val="24"/>
          <w:szCs w:val="24"/>
          <w:lang w:eastAsia="hu-HU"/>
        </w:rPr>
        <w:t>a ebben a tekintetben is megszorító értelmezést követ.  Eszerint mindhárom lehetséges kivétel alkalmazhatóságáról e</w:t>
      </w:r>
      <w:r w:rsidR="00EA42E4" w:rsidRPr="00EA42E4">
        <w:rPr>
          <w:rFonts w:ascii="Times New Roman" w:eastAsia="Times New Roman" w:hAnsi="Times New Roman" w:cs="Times New Roman"/>
          <w:color w:val="000000"/>
          <w:sz w:val="24"/>
          <w:szCs w:val="24"/>
          <w:lang w:eastAsia="hu-HU"/>
        </w:rPr>
        <w:t xml:space="preserve">seti alapon kell dönteni, </w:t>
      </w:r>
      <w:r w:rsidR="00EA42E4">
        <w:rPr>
          <w:rFonts w:ascii="Times New Roman" w:eastAsia="Times New Roman" w:hAnsi="Times New Roman" w:cs="Times New Roman"/>
          <w:color w:val="000000"/>
          <w:sz w:val="24"/>
          <w:szCs w:val="24"/>
          <w:lang w:eastAsia="hu-HU"/>
        </w:rPr>
        <w:lastRenderedPageBreak/>
        <w:t xml:space="preserve">mérlegelve például a szóban forgó állami alkalmazott </w:t>
      </w:r>
      <w:r w:rsidR="00EA42E4" w:rsidRPr="00EA42E4">
        <w:rPr>
          <w:rFonts w:ascii="Times New Roman" w:eastAsia="Times New Roman" w:hAnsi="Times New Roman" w:cs="Times New Roman"/>
          <w:color w:val="000000"/>
          <w:sz w:val="24"/>
          <w:szCs w:val="24"/>
          <w:lang w:eastAsia="hu-HU"/>
        </w:rPr>
        <w:t>szankcionálási jogkör</w:t>
      </w:r>
      <w:r w:rsidR="00EA42E4">
        <w:rPr>
          <w:rFonts w:ascii="Times New Roman" w:eastAsia="Times New Roman" w:hAnsi="Times New Roman" w:cs="Times New Roman"/>
          <w:color w:val="000000"/>
          <w:sz w:val="24"/>
          <w:szCs w:val="24"/>
          <w:lang w:eastAsia="hu-HU"/>
        </w:rPr>
        <w:t>ét</w:t>
      </w:r>
      <w:r w:rsidR="00EA42E4" w:rsidRPr="00EA42E4">
        <w:rPr>
          <w:rFonts w:ascii="Times New Roman" w:eastAsia="Times New Roman" w:hAnsi="Times New Roman" w:cs="Times New Roman"/>
          <w:color w:val="000000"/>
          <w:sz w:val="24"/>
          <w:szCs w:val="24"/>
          <w:lang w:eastAsia="hu-HU"/>
        </w:rPr>
        <w:t>, valamint az</w:t>
      </w:r>
      <w:r w:rsidR="00EA42E4">
        <w:rPr>
          <w:rFonts w:ascii="Times New Roman" w:eastAsia="Times New Roman" w:hAnsi="Times New Roman" w:cs="Times New Roman"/>
          <w:color w:val="000000"/>
          <w:sz w:val="24"/>
          <w:szCs w:val="24"/>
          <w:lang w:eastAsia="hu-HU"/>
        </w:rPr>
        <w:t>t</w:t>
      </w:r>
      <w:r w:rsidR="00EA42E4" w:rsidRPr="00EA42E4">
        <w:rPr>
          <w:rFonts w:ascii="Times New Roman" w:eastAsia="Times New Roman" w:hAnsi="Times New Roman" w:cs="Times New Roman"/>
          <w:color w:val="000000"/>
          <w:sz w:val="24"/>
          <w:szCs w:val="24"/>
          <w:lang w:eastAsia="hu-HU"/>
        </w:rPr>
        <w:t xml:space="preserve">, hogy munkaköri kötelezettségeik és felelősségi körük milyen mértékben terjed ki a normák és közigazgatási határozatok kiadására, az állam képviseletére, az államháztartás felügyeletére. Ezek a kritériumok tehát a tevékenység jellegén, valamint az érintett </w:t>
      </w:r>
      <w:r w:rsidR="00EA42E4">
        <w:rPr>
          <w:rFonts w:ascii="Times New Roman" w:eastAsia="Times New Roman" w:hAnsi="Times New Roman" w:cs="Times New Roman"/>
          <w:color w:val="000000"/>
          <w:sz w:val="24"/>
          <w:szCs w:val="24"/>
          <w:lang w:eastAsia="hu-HU"/>
        </w:rPr>
        <w:t>alkal</w:t>
      </w:r>
      <w:r>
        <w:rPr>
          <w:rFonts w:ascii="Times New Roman" w:eastAsia="Times New Roman" w:hAnsi="Times New Roman" w:cs="Times New Roman"/>
          <w:color w:val="000000"/>
          <w:sz w:val="24"/>
          <w:szCs w:val="24"/>
          <w:lang w:eastAsia="hu-HU"/>
        </w:rPr>
        <w:t>m</w:t>
      </w:r>
      <w:r w:rsidR="00EA42E4">
        <w:rPr>
          <w:rFonts w:ascii="Times New Roman" w:eastAsia="Times New Roman" w:hAnsi="Times New Roman" w:cs="Times New Roman"/>
          <w:color w:val="000000"/>
          <w:sz w:val="24"/>
          <w:szCs w:val="24"/>
          <w:lang w:eastAsia="hu-HU"/>
        </w:rPr>
        <w:t>azottak</w:t>
      </w:r>
      <w:r w:rsidR="00EA42E4" w:rsidRPr="00EA42E4">
        <w:rPr>
          <w:rFonts w:ascii="Times New Roman" w:eastAsia="Times New Roman" w:hAnsi="Times New Roman" w:cs="Times New Roman"/>
          <w:color w:val="000000"/>
          <w:sz w:val="24"/>
          <w:szCs w:val="24"/>
          <w:lang w:eastAsia="hu-HU"/>
        </w:rPr>
        <w:t xml:space="preserve"> hierarchiában elfoglalt pozícióján alapulnak, akiknek nagyfokú önállósággal kell rendelkezniük</w:t>
      </w:r>
      <w:r w:rsidR="00581388" w:rsidRPr="00197CAE">
        <w:rPr>
          <w:rFonts w:ascii="Times New Roman" w:eastAsia="Times New Roman" w:hAnsi="Times New Roman" w:cs="Times New Roman"/>
          <w:color w:val="000000"/>
          <w:sz w:val="24"/>
          <w:szCs w:val="24"/>
          <w:lang w:eastAsia="hu-HU"/>
        </w:rPr>
        <w:t>.</w:t>
      </w:r>
      <w:r w:rsidR="00581388">
        <w:rPr>
          <w:rStyle w:val="Lbjegyzet-hivatkozs"/>
          <w:rFonts w:ascii="Times New Roman" w:eastAsia="Times New Roman" w:hAnsi="Times New Roman" w:cs="Times New Roman"/>
          <w:color w:val="000000"/>
          <w:sz w:val="24"/>
          <w:szCs w:val="24"/>
          <w:lang w:eastAsia="hu-HU"/>
        </w:rPr>
        <w:footnoteReference w:id="17"/>
      </w:r>
    </w:p>
    <w:p w14:paraId="34B9F981" w14:textId="5FF1BC38" w:rsidR="00CF0DD1" w:rsidRDefault="00105343"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ILO jogrendjéhez h</w:t>
      </w:r>
      <w:r w:rsidR="00EA42E4" w:rsidRPr="00EA42E4">
        <w:rPr>
          <w:rFonts w:ascii="Times New Roman" w:eastAsia="Times New Roman" w:hAnsi="Times New Roman" w:cs="Times New Roman"/>
          <w:color w:val="000000"/>
          <w:sz w:val="24"/>
          <w:szCs w:val="24"/>
          <w:lang w:eastAsia="hu-HU"/>
        </w:rPr>
        <w:t>asonló</w:t>
      </w:r>
      <w:r w:rsidR="00EA42E4">
        <w:rPr>
          <w:rFonts w:ascii="Times New Roman" w:eastAsia="Times New Roman" w:hAnsi="Times New Roman" w:cs="Times New Roman"/>
          <w:color w:val="000000"/>
          <w:sz w:val="24"/>
          <w:szCs w:val="24"/>
          <w:lang w:eastAsia="hu-HU"/>
        </w:rPr>
        <w:t xml:space="preserve">an, </w:t>
      </w:r>
      <w:r w:rsidR="00EA42E4" w:rsidRPr="00EA42E4">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z Európai Szociális Charta </w:t>
      </w:r>
      <w:r w:rsidR="00BA311B">
        <w:rPr>
          <w:rFonts w:ascii="Times New Roman" w:eastAsia="Times New Roman" w:hAnsi="Times New Roman" w:cs="Times New Roman"/>
          <w:color w:val="000000"/>
          <w:sz w:val="24"/>
          <w:szCs w:val="24"/>
          <w:lang w:eastAsia="hu-HU"/>
        </w:rPr>
        <w:t>6. cikke is nevesíti a kollektív alkuhoz való jogot. Maga a Charta nem tartalmaz olyan kitételt, hogy ez a jogosultság az állami alkalmazottak egyes csoportjai tekintetében korlátozható lenne. Ugyanakkor a</w:t>
      </w:r>
      <w:r w:rsidR="00EA42E4" w:rsidRPr="00EA42E4">
        <w:rPr>
          <w:rFonts w:ascii="Times New Roman" w:eastAsia="Times New Roman" w:hAnsi="Times New Roman" w:cs="Times New Roman"/>
          <w:color w:val="000000"/>
          <w:sz w:val="24"/>
          <w:szCs w:val="24"/>
          <w:lang w:eastAsia="hu-HU"/>
        </w:rPr>
        <w:t xml:space="preserve"> Szociális Jogok Európai Bizottsága rámutatott, hogy a köztisztviselők tekintetében a kollektív </w:t>
      </w:r>
      <w:r w:rsidR="00EA42E4">
        <w:rPr>
          <w:rFonts w:ascii="Times New Roman" w:eastAsia="Times New Roman" w:hAnsi="Times New Roman" w:cs="Times New Roman"/>
          <w:color w:val="000000"/>
          <w:sz w:val="24"/>
          <w:szCs w:val="24"/>
          <w:lang w:eastAsia="hu-HU"/>
        </w:rPr>
        <w:t>alku joga a</w:t>
      </w:r>
      <w:r w:rsidR="00EA42E4" w:rsidRPr="00EA42E4">
        <w:rPr>
          <w:rFonts w:ascii="Times New Roman" w:eastAsia="Times New Roman" w:hAnsi="Times New Roman" w:cs="Times New Roman"/>
          <w:color w:val="000000"/>
          <w:sz w:val="24"/>
          <w:szCs w:val="24"/>
          <w:lang w:eastAsia="hu-HU"/>
        </w:rPr>
        <w:t xml:space="preserve"> törvény által meghatározott </w:t>
      </w:r>
      <w:r w:rsidR="00EA42E4">
        <w:rPr>
          <w:rFonts w:ascii="Times New Roman" w:eastAsia="Times New Roman" w:hAnsi="Times New Roman" w:cs="Times New Roman"/>
          <w:color w:val="000000"/>
          <w:sz w:val="24"/>
          <w:szCs w:val="24"/>
          <w:lang w:eastAsia="hu-HU"/>
        </w:rPr>
        <w:t>speciális előírások alá eshet</w:t>
      </w:r>
      <w:r w:rsidR="00EA42E4" w:rsidRPr="00EA42E4">
        <w:rPr>
          <w:rFonts w:ascii="Times New Roman" w:eastAsia="Times New Roman" w:hAnsi="Times New Roman" w:cs="Times New Roman"/>
          <w:color w:val="000000"/>
          <w:sz w:val="24"/>
          <w:szCs w:val="24"/>
          <w:lang w:eastAsia="hu-HU"/>
        </w:rPr>
        <w:t xml:space="preserve">. Mindazonáltal a munkavállalók e csoportjának </w:t>
      </w:r>
      <w:r w:rsidR="00EA42E4">
        <w:rPr>
          <w:rFonts w:ascii="Times New Roman" w:eastAsia="Times New Roman" w:hAnsi="Times New Roman" w:cs="Times New Roman"/>
          <w:color w:val="000000"/>
          <w:sz w:val="24"/>
          <w:szCs w:val="24"/>
          <w:lang w:eastAsia="hu-HU"/>
        </w:rPr>
        <w:t xml:space="preserve">is </w:t>
      </w:r>
      <w:r w:rsidR="00EA42E4" w:rsidRPr="00EA42E4">
        <w:rPr>
          <w:rFonts w:ascii="Times New Roman" w:eastAsia="Times New Roman" w:hAnsi="Times New Roman" w:cs="Times New Roman"/>
          <w:color w:val="000000"/>
          <w:sz w:val="24"/>
          <w:szCs w:val="24"/>
          <w:lang w:eastAsia="hu-HU"/>
        </w:rPr>
        <w:t>joga van ahhoz, hogy részt vegyen minden olyan folyamatban, amely közvetlenül érinti őket, és a szakszervezetnek meg kell őriznie azt a képességét, hogy a szociális párbeszéd legalább egy hatékony mechanizmusán keresztül érveljen tagjai nevében, míg a tárgyalási eredményről való puszta meghallgatás nem elegendő</w:t>
      </w:r>
      <w:r w:rsidR="00EA42E4">
        <w:rPr>
          <w:rFonts w:ascii="Times New Roman" w:eastAsia="Times New Roman" w:hAnsi="Times New Roman" w:cs="Times New Roman"/>
          <w:color w:val="000000"/>
          <w:sz w:val="24"/>
          <w:szCs w:val="24"/>
          <w:lang w:eastAsia="hu-HU"/>
        </w:rPr>
        <w:t>.</w:t>
      </w:r>
      <w:r w:rsidR="00EA42E4">
        <w:rPr>
          <w:rStyle w:val="Lbjegyzet-hivatkozs"/>
          <w:rFonts w:ascii="Times New Roman" w:hAnsi="Times New Roman" w:cs="Times New Roman"/>
          <w:sz w:val="24"/>
          <w:szCs w:val="24"/>
          <w:lang w:val="en-GB"/>
        </w:rPr>
        <w:footnoteReference w:id="18"/>
      </w:r>
    </w:p>
    <w:p w14:paraId="68B0AE7C" w14:textId="77777777" w:rsidR="00105343" w:rsidRDefault="00105343" w:rsidP="000E2EED">
      <w:pPr>
        <w:spacing w:after="0" w:line="360" w:lineRule="auto"/>
        <w:jc w:val="both"/>
        <w:rPr>
          <w:rFonts w:ascii="Times New Roman" w:eastAsia="Times New Roman" w:hAnsi="Times New Roman" w:cs="Times New Roman"/>
          <w:color w:val="000000"/>
          <w:sz w:val="24"/>
          <w:szCs w:val="24"/>
          <w:lang w:eastAsia="hu-HU"/>
        </w:rPr>
      </w:pPr>
    </w:p>
    <w:p w14:paraId="1B0D05BA" w14:textId="3DD17D73" w:rsidR="00105343" w:rsidRPr="00BA311B" w:rsidRDefault="00BA311B" w:rsidP="000E2EED">
      <w:pPr>
        <w:spacing w:after="0" w:line="360" w:lineRule="auto"/>
        <w:jc w:val="both"/>
        <w:rPr>
          <w:rFonts w:ascii="Times New Roman" w:eastAsia="Times New Roman" w:hAnsi="Times New Roman" w:cs="Times New Roman"/>
          <w:b/>
          <w:bCs/>
          <w:color w:val="000000"/>
          <w:sz w:val="24"/>
          <w:szCs w:val="24"/>
          <w:lang w:eastAsia="hu-HU"/>
        </w:rPr>
      </w:pPr>
      <w:r w:rsidRPr="00BA311B">
        <w:rPr>
          <w:rFonts w:ascii="Times New Roman" w:eastAsia="Times New Roman" w:hAnsi="Times New Roman" w:cs="Times New Roman"/>
          <w:b/>
          <w:bCs/>
          <w:color w:val="000000"/>
          <w:sz w:val="24"/>
          <w:szCs w:val="24"/>
          <w:lang w:eastAsia="hu-HU"/>
        </w:rPr>
        <w:t>3. Kollektív alku a közszférában a magyar jog szerint</w:t>
      </w:r>
    </w:p>
    <w:p w14:paraId="289E6DFD" w14:textId="77777777" w:rsidR="000B2F9E" w:rsidRDefault="000B2F9E" w:rsidP="000E2EED">
      <w:pPr>
        <w:spacing w:after="0" w:line="360" w:lineRule="auto"/>
        <w:jc w:val="both"/>
        <w:rPr>
          <w:rFonts w:ascii="Times New Roman" w:eastAsia="Times New Roman" w:hAnsi="Times New Roman" w:cs="Times New Roman"/>
          <w:color w:val="000000"/>
          <w:sz w:val="24"/>
          <w:szCs w:val="24"/>
          <w:lang w:eastAsia="hu-HU"/>
        </w:rPr>
      </w:pPr>
    </w:p>
    <w:p w14:paraId="3A971C9C" w14:textId="01A244FD" w:rsidR="000B2F9E" w:rsidRDefault="000B2F9E"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kelet európai EU tagállamokban a közszférában irányadó</w:t>
      </w:r>
      <w:r w:rsidRPr="000B2F9E">
        <w:rPr>
          <w:rFonts w:ascii="Times New Roman" w:eastAsia="Times New Roman" w:hAnsi="Times New Roman" w:cs="Times New Roman"/>
          <w:color w:val="000000"/>
          <w:sz w:val="24"/>
          <w:szCs w:val="24"/>
          <w:lang w:eastAsia="hu-HU"/>
        </w:rPr>
        <w:t xml:space="preserve"> béreket általában a kormány határozza meg, bár egyes esetekben ez decentralizáltan a helyi önkormányzatoknál történik. A kormányzati szektorban alacsony a szakszervezeti </w:t>
      </w:r>
      <w:r>
        <w:rPr>
          <w:rFonts w:ascii="Times New Roman" w:eastAsia="Times New Roman" w:hAnsi="Times New Roman" w:cs="Times New Roman"/>
          <w:color w:val="000000"/>
          <w:sz w:val="24"/>
          <w:szCs w:val="24"/>
          <w:lang w:eastAsia="hu-HU"/>
        </w:rPr>
        <w:t>szervezettség, a kollektív szerződések szerepe pedig csekély a munkafeltételek alakításában.</w:t>
      </w:r>
      <w:r>
        <w:rPr>
          <w:rStyle w:val="Lbjegyzet-hivatkozs"/>
          <w:rFonts w:ascii="Times New Roman" w:eastAsia="Times New Roman" w:hAnsi="Times New Roman" w:cs="Times New Roman"/>
          <w:color w:val="000000"/>
          <w:sz w:val="24"/>
          <w:szCs w:val="24"/>
          <w:lang w:eastAsia="hu-HU"/>
        </w:rPr>
        <w:footnoteReference w:id="19"/>
      </w:r>
      <w:r>
        <w:rPr>
          <w:rFonts w:ascii="Times New Roman" w:eastAsia="Times New Roman" w:hAnsi="Times New Roman" w:cs="Times New Roman"/>
          <w:color w:val="000000"/>
          <w:sz w:val="24"/>
          <w:szCs w:val="24"/>
          <w:lang w:eastAsia="hu-HU"/>
        </w:rPr>
        <w:t xml:space="preserve"> A magyar modell is beleillik ebbe az általános jellemzésbe, azzal, hogy a </w:t>
      </w:r>
      <w:r w:rsidR="000E2EED" w:rsidRPr="007868A2">
        <w:rPr>
          <w:rFonts w:ascii="Times New Roman" w:eastAsia="Times New Roman" w:hAnsi="Times New Roman" w:cs="Times New Roman"/>
          <w:color w:val="000000"/>
          <w:sz w:val="24"/>
          <w:szCs w:val="24"/>
          <w:lang w:eastAsia="hu-HU"/>
        </w:rPr>
        <w:t>magyar</w:t>
      </w:r>
      <w:r>
        <w:rPr>
          <w:rFonts w:ascii="Times New Roman" w:eastAsia="Times New Roman" w:hAnsi="Times New Roman" w:cs="Times New Roman"/>
          <w:color w:val="000000"/>
          <w:sz w:val="24"/>
          <w:szCs w:val="24"/>
          <w:lang w:eastAsia="hu-HU"/>
        </w:rPr>
        <w:t xml:space="preserve"> </w:t>
      </w:r>
      <w:r w:rsidR="000E2EED" w:rsidRPr="007868A2">
        <w:rPr>
          <w:rFonts w:ascii="Times New Roman" w:eastAsia="Times New Roman" w:hAnsi="Times New Roman" w:cs="Times New Roman"/>
          <w:color w:val="000000"/>
          <w:sz w:val="24"/>
          <w:szCs w:val="24"/>
          <w:lang w:eastAsia="hu-HU"/>
        </w:rPr>
        <w:t xml:space="preserve">munkajog </w:t>
      </w:r>
      <w:r>
        <w:rPr>
          <w:rFonts w:ascii="Times New Roman" w:eastAsia="Times New Roman" w:hAnsi="Times New Roman" w:cs="Times New Roman"/>
          <w:color w:val="000000"/>
          <w:sz w:val="24"/>
          <w:szCs w:val="24"/>
          <w:lang w:eastAsia="hu-HU"/>
        </w:rPr>
        <w:t>kirívóan</w:t>
      </w:r>
      <w:r w:rsidR="000E2EED" w:rsidRPr="007868A2">
        <w:rPr>
          <w:rFonts w:ascii="Times New Roman" w:eastAsia="Times New Roman" w:hAnsi="Times New Roman" w:cs="Times New Roman"/>
          <w:color w:val="000000"/>
          <w:sz w:val="24"/>
          <w:szCs w:val="24"/>
          <w:lang w:eastAsia="hu-HU"/>
        </w:rPr>
        <w:t xml:space="preserve"> leszűkíti a közszférában dolgozók kollektív alkuhoz való jogát</w:t>
      </w:r>
      <w:r w:rsidR="00185697">
        <w:rPr>
          <w:rFonts w:ascii="Times New Roman" w:eastAsia="Times New Roman" w:hAnsi="Times New Roman" w:cs="Times New Roman"/>
          <w:color w:val="000000"/>
          <w:sz w:val="24"/>
          <w:szCs w:val="24"/>
          <w:lang w:eastAsia="hu-HU"/>
        </w:rPr>
        <w:t xml:space="preserve"> (lásd az 1. táblázatban).</w:t>
      </w:r>
    </w:p>
    <w:p w14:paraId="4F54C1F9" w14:textId="489724EC" w:rsidR="00BA311B" w:rsidRDefault="000C5F34"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rendkívül széttagolt magyar közszférában egyrészt csak nagyon szűk körben, a közszolgáltatások bizonyos területein biztosított – több</w:t>
      </w:r>
      <w:r w:rsidR="00185697">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kevesebb korlátozással – a kollektív alku joga. </w:t>
      </w:r>
      <w:r w:rsidR="00185697">
        <w:rPr>
          <w:rFonts w:ascii="Times New Roman" w:eastAsia="Times New Roman" w:hAnsi="Times New Roman" w:cs="Times New Roman"/>
          <w:color w:val="000000"/>
          <w:sz w:val="24"/>
          <w:szCs w:val="24"/>
          <w:lang w:eastAsia="hu-HU"/>
        </w:rPr>
        <w:t>Ez a rendkívül megszorító szabályozás nem egyeztethető össze a 2. pontban bemutatott és Magyarország által is ratifikált nemzetközi egyezményekkel.</w:t>
      </w:r>
      <w:r w:rsidR="00185697">
        <w:rPr>
          <w:rStyle w:val="Lbjegyzet-hivatkozs"/>
          <w:rFonts w:ascii="Times New Roman" w:eastAsia="Times New Roman" w:hAnsi="Times New Roman" w:cs="Times New Roman"/>
          <w:color w:val="000000"/>
          <w:sz w:val="24"/>
          <w:szCs w:val="24"/>
          <w:lang w:eastAsia="hu-HU"/>
        </w:rPr>
        <w:footnoteReference w:id="20"/>
      </w:r>
      <w:r w:rsidR="00185697">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Másrészt, a </w:t>
      </w:r>
      <w:r>
        <w:rPr>
          <w:rFonts w:ascii="Times New Roman" w:eastAsia="Times New Roman" w:hAnsi="Times New Roman" w:cs="Times New Roman"/>
          <w:color w:val="000000"/>
          <w:sz w:val="24"/>
          <w:szCs w:val="24"/>
          <w:lang w:eastAsia="hu-HU"/>
        </w:rPr>
        <w:lastRenderedPageBreak/>
        <w:t xml:space="preserve">szabályozás e korlátozó szemlélete sem érvényesül következetesen. Így különösen, míg a közigazgatásban főszabály szerint nem köthető kollektív szerződés, a közigazgatási szervnél munkaviszonyban foglalkoztatott közigazgatási munkavállalónál ez a jog adott. Az ügyészség esetében </w:t>
      </w:r>
      <w:r w:rsidR="00185697">
        <w:rPr>
          <w:rFonts w:ascii="Times New Roman" w:eastAsia="Times New Roman" w:hAnsi="Times New Roman" w:cs="Times New Roman"/>
          <w:color w:val="000000"/>
          <w:sz w:val="24"/>
          <w:szCs w:val="24"/>
          <w:lang w:eastAsia="hu-HU"/>
        </w:rPr>
        <w:t>– az igazságszolgáltatás többi jogállásához hasonlóan – nincs kollektív alku, ám a legfőbb ügyész jogosult egy ahhoz hasonló szabályzat kiadására, „</w:t>
      </w:r>
      <w:r w:rsidR="00185697" w:rsidRPr="00185697">
        <w:rPr>
          <w:rFonts w:ascii="Times New Roman" w:eastAsia="Times New Roman" w:hAnsi="Times New Roman" w:cs="Times New Roman"/>
          <w:color w:val="000000"/>
          <w:sz w:val="24"/>
          <w:szCs w:val="24"/>
          <w:lang w:eastAsia="hu-HU"/>
        </w:rPr>
        <w:t>az érintett munkavállalói érdekképviseleti szervezetekkel egyetértésben</w:t>
      </w:r>
      <w:r w:rsidR="00185697">
        <w:rPr>
          <w:rFonts w:ascii="Times New Roman" w:eastAsia="Times New Roman" w:hAnsi="Times New Roman" w:cs="Times New Roman"/>
          <w:color w:val="000000"/>
          <w:sz w:val="24"/>
          <w:szCs w:val="24"/>
          <w:lang w:eastAsia="hu-HU"/>
        </w:rPr>
        <w:t xml:space="preserve">”. </w:t>
      </w:r>
    </w:p>
    <w:p w14:paraId="4CAD654F" w14:textId="77777777" w:rsidR="00185697" w:rsidRDefault="00185697" w:rsidP="000E2EED">
      <w:pPr>
        <w:spacing w:after="0" w:line="360" w:lineRule="auto"/>
        <w:jc w:val="both"/>
        <w:rPr>
          <w:rFonts w:ascii="Times New Roman" w:eastAsia="Times New Roman" w:hAnsi="Times New Roman" w:cs="Times New Roman"/>
          <w:color w:val="000000"/>
          <w:sz w:val="24"/>
          <w:szCs w:val="24"/>
          <w:lang w:eastAsia="hu-HU"/>
        </w:rPr>
      </w:pPr>
    </w:p>
    <w:tbl>
      <w:tblPr>
        <w:tblStyle w:val="Rcsostblzat"/>
        <w:tblW w:w="0" w:type="auto"/>
        <w:tblLook w:val="04A0" w:firstRow="1" w:lastRow="0" w:firstColumn="1" w:lastColumn="0" w:noHBand="0" w:noVBand="1"/>
      </w:tblPr>
      <w:tblGrid>
        <w:gridCol w:w="2176"/>
        <w:gridCol w:w="2647"/>
        <w:gridCol w:w="1893"/>
        <w:gridCol w:w="2346"/>
      </w:tblGrid>
      <w:tr w:rsidR="00185697" w:rsidRPr="00BA311B" w14:paraId="5B844B40" w14:textId="77777777" w:rsidTr="00974440">
        <w:tc>
          <w:tcPr>
            <w:tcW w:w="2176" w:type="dxa"/>
            <w:vAlign w:val="center"/>
          </w:tcPr>
          <w:p w14:paraId="1255763F" w14:textId="77777777" w:rsidR="00185697" w:rsidRPr="00BA311B" w:rsidRDefault="00185697" w:rsidP="00974440">
            <w:pPr>
              <w:rPr>
                <w:rFonts w:ascii="Times New Roman" w:hAnsi="Times New Roman" w:cs="Times New Roman"/>
                <w:sz w:val="24"/>
                <w:szCs w:val="24"/>
              </w:rPr>
            </w:pPr>
          </w:p>
        </w:tc>
        <w:tc>
          <w:tcPr>
            <w:tcW w:w="2647" w:type="dxa"/>
          </w:tcPr>
          <w:p w14:paraId="73A606C8" w14:textId="77777777" w:rsidR="00185697" w:rsidRPr="00BA311B" w:rsidRDefault="00185697" w:rsidP="00974440">
            <w:pPr>
              <w:jc w:val="center"/>
              <w:rPr>
                <w:rFonts w:ascii="Times New Roman" w:hAnsi="Times New Roman" w:cs="Times New Roman"/>
                <w:b/>
                <w:bCs/>
                <w:sz w:val="24"/>
                <w:szCs w:val="24"/>
              </w:rPr>
            </w:pPr>
            <w:r w:rsidRPr="00BA311B">
              <w:rPr>
                <w:rFonts w:ascii="Times New Roman" w:hAnsi="Times New Roman" w:cs="Times New Roman"/>
                <w:b/>
                <w:bCs/>
                <w:sz w:val="24"/>
                <w:szCs w:val="24"/>
              </w:rPr>
              <w:t>Munkáltató</w:t>
            </w:r>
          </w:p>
        </w:tc>
        <w:tc>
          <w:tcPr>
            <w:tcW w:w="1893" w:type="dxa"/>
          </w:tcPr>
          <w:p w14:paraId="435F13D4" w14:textId="77777777" w:rsidR="00185697" w:rsidRPr="00BA311B" w:rsidRDefault="00185697" w:rsidP="00974440">
            <w:pPr>
              <w:jc w:val="center"/>
              <w:rPr>
                <w:rFonts w:ascii="Times New Roman" w:hAnsi="Times New Roman" w:cs="Times New Roman"/>
                <w:b/>
                <w:bCs/>
                <w:sz w:val="24"/>
                <w:szCs w:val="24"/>
              </w:rPr>
            </w:pPr>
            <w:r w:rsidRPr="00BA311B">
              <w:rPr>
                <w:rFonts w:ascii="Times New Roman" w:hAnsi="Times New Roman" w:cs="Times New Roman"/>
                <w:b/>
                <w:bCs/>
                <w:sz w:val="24"/>
                <w:szCs w:val="24"/>
              </w:rPr>
              <w:t>Jogforrás</w:t>
            </w:r>
          </w:p>
        </w:tc>
        <w:tc>
          <w:tcPr>
            <w:tcW w:w="2346" w:type="dxa"/>
          </w:tcPr>
          <w:p w14:paraId="31887885" w14:textId="608B8E23" w:rsidR="00185697" w:rsidRPr="00BA311B" w:rsidRDefault="00C51D49" w:rsidP="00974440">
            <w:pPr>
              <w:jc w:val="center"/>
              <w:rPr>
                <w:rFonts w:ascii="Times New Roman" w:hAnsi="Times New Roman" w:cs="Times New Roman"/>
                <w:b/>
                <w:bCs/>
                <w:sz w:val="24"/>
                <w:szCs w:val="24"/>
              </w:rPr>
            </w:pPr>
            <w:r>
              <w:rPr>
                <w:rFonts w:ascii="Times New Roman" w:hAnsi="Times New Roman" w:cs="Times New Roman"/>
                <w:b/>
                <w:bCs/>
                <w:sz w:val="24"/>
                <w:szCs w:val="24"/>
              </w:rPr>
              <w:t>B</w:t>
            </w:r>
            <w:r w:rsidR="00185697" w:rsidRPr="00BA311B">
              <w:rPr>
                <w:rFonts w:ascii="Times New Roman" w:hAnsi="Times New Roman" w:cs="Times New Roman"/>
                <w:b/>
                <w:bCs/>
                <w:sz w:val="24"/>
                <w:szCs w:val="24"/>
              </w:rPr>
              <w:t>iztosított-e</w:t>
            </w:r>
            <w:r>
              <w:rPr>
                <w:rFonts w:ascii="Times New Roman" w:hAnsi="Times New Roman" w:cs="Times New Roman"/>
                <w:b/>
                <w:bCs/>
                <w:sz w:val="24"/>
                <w:szCs w:val="24"/>
              </w:rPr>
              <w:t xml:space="preserve"> a k</w:t>
            </w:r>
            <w:r w:rsidRPr="00BA311B">
              <w:rPr>
                <w:rFonts w:ascii="Times New Roman" w:hAnsi="Times New Roman" w:cs="Times New Roman"/>
                <w:b/>
                <w:bCs/>
                <w:sz w:val="24"/>
                <w:szCs w:val="24"/>
              </w:rPr>
              <w:t>ollektív alku</w:t>
            </w:r>
            <w:r>
              <w:rPr>
                <w:rFonts w:ascii="Times New Roman" w:hAnsi="Times New Roman" w:cs="Times New Roman"/>
                <w:b/>
                <w:bCs/>
                <w:sz w:val="24"/>
                <w:szCs w:val="24"/>
              </w:rPr>
              <w:t>?</w:t>
            </w:r>
          </w:p>
        </w:tc>
      </w:tr>
      <w:tr w:rsidR="00185697" w:rsidRPr="00BA311B" w14:paraId="45D042EC" w14:textId="77777777" w:rsidTr="00974440">
        <w:tc>
          <w:tcPr>
            <w:tcW w:w="2176" w:type="dxa"/>
            <w:vMerge w:val="restart"/>
            <w:vAlign w:val="center"/>
          </w:tcPr>
          <w:p w14:paraId="7D47B448" w14:textId="77777777" w:rsidR="00185697" w:rsidRPr="00BA311B" w:rsidRDefault="00185697" w:rsidP="00974440">
            <w:pPr>
              <w:rPr>
                <w:rFonts w:ascii="Times New Roman" w:hAnsi="Times New Roman" w:cs="Times New Roman"/>
                <w:b/>
                <w:bCs/>
                <w:sz w:val="24"/>
                <w:szCs w:val="24"/>
              </w:rPr>
            </w:pPr>
            <w:r w:rsidRPr="00BA311B">
              <w:rPr>
                <w:rFonts w:ascii="Times New Roman" w:hAnsi="Times New Roman" w:cs="Times New Roman"/>
                <w:b/>
                <w:bCs/>
                <w:sz w:val="24"/>
                <w:szCs w:val="24"/>
              </w:rPr>
              <w:t>Közszolgáltatások</w:t>
            </w:r>
          </w:p>
        </w:tc>
        <w:tc>
          <w:tcPr>
            <w:tcW w:w="2647" w:type="dxa"/>
          </w:tcPr>
          <w:p w14:paraId="42DC2CC9" w14:textId="7845F03B"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Költségvetési szervek (amelye</w:t>
            </w:r>
            <w:r w:rsidR="00C51D49">
              <w:rPr>
                <w:rFonts w:ascii="Times New Roman" w:hAnsi="Times New Roman" w:cs="Times New Roman"/>
                <w:sz w:val="24"/>
                <w:szCs w:val="24"/>
              </w:rPr>
              <w:t>k</w:t>
            </w:r>
            <w:r w:rsidRPr="00BA311B">
              <w:rPr>
                <w:rFonts w:ascii="Times New Roman" w:hAnsi="Times New Roman" w:cs="Times New Roman"/>
                <w:sz w:val="24"/>
                <w:szCs w:val="24"/>
              </w:rPr>
              <w:t xml:space="preserve"> nem esnek más törvény hatálya alá)</w:t>
            </w:r>
          </w:p>
        </w:tc>
        <w:tc>
          <w:tcPr>
            <w:tcW w:w="1893" w:type="dxa"/>
          </w:tcPr>
          <w:p w14:paraId="13AEF3F6"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1992. évi XXXIII. törvény</w:t>
            </w:r>
          </w:p>
        </w:tc>
        <w:tc>
          <w:tcPr>
            <w:tcW w:w="2346" w:type="dxa"/>
          </w:tcPr>
          <w:p w14:paraId="39D1EF25" w14:textId="01BD4560"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Igen,</w:t>
            </w:r>
            <w:r w:rsidR="00820B35">
              <w:rPr>
                <w:rFonts w:ascii="Times New Roman" w:hAnsi="Times New Roman" w:cs="Times New Roman"/>
                <w:sz w:val="24"/>
                <w:szCs w:val="24"/>
              </w:rPr>
              <w:t xml:space="preserve"> a </w:t>
            </w:r>
            <w:r w:rsidRPr="00BA311B">
              <w:rPr>
                <w:rFonts w:ascii="Times New Roman" w:hAnsi="Times New Roman" w:cs="Times New Roman"/>
                <w:sz w:val="24"/>
                <w:szCs w:val="24"/>
              </w:rPr>
              <w:t>13. § szerinti korlátozásokkal.</w:t>
            </w:r>
          </w:p>
        </w:tc>
      </w:tr>
      <w:tr w:rsidR="00185697" w:rsidRPr="00BA311B" w14:paraId="1A23CC32" w14:textId="77777777" w:rsidTr="00974440">
        <w:tc>
          <w:tcPr>
            <w:tcW w:w="2176" w:type="dxa"/>
            <w:vMerge/>
            <w:vAlign w:val="center"/>
          </w:tcPr>
          <w:p w14:paraId="61A42176" w14:textId="77777777" w:rsidR="00185697" w:rsidRPr="00BA311B" w:rsidRDefault="00185697" w:rsidP="00974440">
            <w:pPr>
              <w:rPr>
                <w:rFonts w:ascii="Times New Roman" w:hAnsi="Times New Roman" w:cs="Times New Roman"/>
                <w:b/>
                <w:bCs/>
                <w:sz w:val="24"/>
                <w:szCs w:val="24"/>
              </w:rPr>
            </w:pPr>
          </w:p>
        </w:tc>
        <w:tc>
          <w:tcPr>
            <w:tcW w:w="2647" w:type="dxa"/>
          </w:tcPr>
          <w:p w14:paraId="70A4A1E0"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Köznevelés</w:t>
            </w:r>
          </w:p>
        </w:tc>
        <w:tc>
          <w:tcPr>
            <w:tcW w:w="1893" w:type="dxa"/>
          </w:tcPr>
          <w:p w14:paraId="76E311CC"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2023. évi LII. törvény</w:t>
            </w:r>
          </w:p>
        </w:tc>
        <w:tc>
          <w:tcPr>
            <w:tcW w:w="2346" w:type="dxa"/>
          </w:tcPr>
          <w:p w14:paraId="002EB008" w14:textId="0D724300"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 xml:space="preserve">Igen, </w:t>
            </w:r>
            <w:r w:rsidR="00820B35">
              <w:rPr>
                <w:rFonts w:ascii="Times New Roman" w:hAnsi="Times New Roman" w:cs="Times New Roman"/>
                <w:sz w:val="24"/>
                <w:szCs w:val="24"/>
              </w:rPr>
              <w:t xml:space="preserve">a </w:t>
            </w:r>
            <w:r w:rsidRPr="00BA311B">
              <w:rPr>
                <w:rFonts w:ascii="Times New Roman" w:hAnsi="Times New Roman" w:cs="Times New Roman"/>
                <w:sz w:val="24"/>
                <w:szCs w:val="24"/>
              </w:rPr>
              <w:t>149. § szerint</w:t>
            </w:r>
            <w:r w:rsidR="00820B35">
              <w:rPr>
                <w:rFonts w:ascii="Times New Roman" w:hAnsi="Times New Roman" w:cs="Times New Roman"/>
                <w:sz w:val="24"/>
                <w:szCs w:val="24"/>
              </w:rPr>
              <w:t>i korlátozásokkal.</w:t>
            </w:r>
          </w:p>
        </w:tc>
      </w:tr>
      <w:tr w:rsidR="00185697" w:rsidRPr="00BA311B" w14:paraId="4532E7DE" w14:textId="77777777" w:rsidTr="00974440">
        <w:tc>
          <w:tcPr>
            <w:tcW w:w="2176" w:type="dxa"/>
            <w:vMerge/>
            <w:vAlign w:val="center"/>
          </w:tcPr>
          <w:p w14:paraId="6A5D50DC" w14:textId="77777777" w:rsidR="00185697" w:rsidRPr="00BA311B" w:rsidRDefault="00185697" w:rsidP="00974440">
            <w:pPr>
              <w:rPr>
                <w:rFonts w:ascii="Times New Roman" w:hAnsi="Times New Roman" w:cs="Times New Roman"/>
                <w:b/>
                <w:bCs/>
                <w:sz w:val="24"/>
                <w:szCs w:val="24"/>
              </w:rPr>
            </w:pPr>
          </w:p>
        </w:tc>
        <w:tc>
          <w:tcPr>
            <w:tcW w:w="2647" w:type="dxa"/>
          </w:tcPr>
          <w:p w14:paraId="18F4070F"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Közegészségügy</w:t>
            </w:r>
          </w:p>
        </w:tc>
        <w:tc>
          <w:tcPr>
            <w:tcW w:w="1893" w:type="dxa"/>
          </w:tcPr>
          <w:p w14:paraId="64BF8F28"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2020. évi C. törvény</w:t>
            </w:r>
          </w:p>
        </w:tc>
        <w:tc>
          <w:tcPr>
            <w:tcW w:w="2346" w:type="dxa"/>
          </w:tcPr>
          <w:p w14:paraId="23E3E107" w14:textId="738119FC"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Nem [15. § (10) bek.].</w:t>
            </w:r>
          </w:p>
          <w:p w14:paraId="783C87CE" w14:textId="77777777" w:rsidR="00185697" w:rsidRPr="00BA311B" w:rsidRDefault="00185697" w:rsidP="00974440">
            <w:pPr>
              <w:rPr>
                <w:rFonts w:ascii="Times New Roman" w:hAnsi="Times New Roman" w:cs="Times New Roman"/>
                <w:sz w:val="24"/>
                <w:szCs w:val="24"/>
              </w:rPr>
            </w:pPr>
          </w:p>
        </w:tc>
      </w:tr>
      <w:tr w:rsidR="00185697" w:rsidRPr="00BA311B" w14:paraId="47D612B7" w14:textId="77777777" w:rsidTr="00974440">
        <w:tc>
          <w:tcPr>
            <w:tcW w:w="2176" w:type="dxa"/>
            <w:vMerge w:val="restart"/>
            <w:vAlign w:val="center"/>
          </w:tcPr>
          <w:p w14:paraId="4CF5F734" w14:textId="77777777" w:rsidR="00185697" w:rsidRPr="00BA311B" w:rsidRDefault="00185697" w:rsidP="00974440">
            <w:pPr>
              <w:rPr>
                <w:rFonts w:ascii="Times New Roman" w:hAnsi="Times New Roman" w:cs="Times New Roman"/>
                <w:b/>
                <w:bCs/>
                <w:sz w:val="24"/>
                <w:szCs w:val="24"/>
              </w:rPr>
            </w:pPr>
            <w:r w:rsidRPr="00BA311B">
              <w:rPr>
                <w:rFonts w:ascii="Times New Roman" w:hAnsi="Times New Roman" w:cs="Times New Roman"/>
                <w:b/>
                <w:bCs/>
                <w:sz w:val="24"/>
                <w:szCs w:val="24"/>
              </w:rPr>
              <w:t>Közigazgatás</w:t>
            </w:r>
          </w:p>
        </w:tc>
        <w:tc>
          <w:tcPr>
            <w:tcW w:w="2647" w:type="dxa"/>
          </w:tcPr>
          <w:p w14:paraId="131971A4"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Önkormányzati igazgatás, intézményfenntartásra kijelölt szervek</w:t>
            </w:r>
          </w:p>
        </w:tc>
        <w:tc>
          <w:tcPr>
            <w:tcW w:w="1893" w:type="dxa"/>
          </w:tcPr>
          <w:p w14:paraId="52295BB2"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2011. évi CXCIX. törvény</w:t>
            </w:r>
          </w:p>
        </w:tc>
        <w:tc>
          <w:tcPr>
            <w:tcW w:w="2346" w:type="dxa"/>
          </w:tcPr>
          <w:p w14:paraId="17AFA192" w14:textId="64D8C5A1"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Csak a közigazgatási munkavállalónak (258. §)</w:t>
            </w:r>
            <w:r w:rsidR="00C51D49">
              <w:rPr>
                <w:rFonts w:ascii="Times New Roman" w:hAnsi="Times New Roman" w:cs="Times New Roman"/>
                <w:sz w:val="24"/>
                <w:szCs w:val="24"/>
              </w:rPr>
              <w:t>.</w:t>
            </w:r>
          </w:p>
        </w:tc>
      </w:tr>
      <w:tr w:rsidR="00185697" w:rsidRPr="00BA311B" w14:paraId="1C2250D0" w14:textId="77777777" w:rsidTr="00974440">
        <w:tc>
          <w:tcPr>
            <w:tcW w:w="2176" w:type="dxa"/>
            <w:vMerge/>
            <w:vAlign w:val="center"/>
          </w:tcPr>
          <w:p w14:paraId="7A98C48D" w14:textId="77777777" w:rsidR="00185697" w:rsidRPr="00BA311B" w:rsidRDefault="00185697" w:rsidP="00974440">
            <w:pPr>
              <w:rPr>
                <w:rFonts w:ascii="Times New Roman" w:hAnsi="Times New Roman" w:cs="Times New Roman"/>
                <w:b/>
                <w:bCs/>
                <w:sz w:val="24"/>
                <w:szCs w:val="24"/>
              </w:rPr>
            </w:pPr>
          </w:p>
        </w:tc>
        <w:tc>
          <w:tcPr>
            <w:tcW w:w="2647" w:type="dxa"/>
          </w:tcPr>
          <w:p w14:paraId="51B95FC4"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 xml:space="preserve">Kormányzati igazgatási szervek </w:t>
            </w:r>
          </w:p>
        </w:tc>
        <w:tc>
          <w:tcPr>
            <w:tcW w:w="1893" w:type="dxa"/>
          </w:tcPr>
          <w:p w14:paraId="4F9BB67F"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2018. évi CXXV. törvény</w:t>
            </w:r>
          </w:p>
        </w:tc>
        <w:tc>
          <w:tcPr>
            <w:tcW w:w="2346" w:type="dxa"/>
          </w:tcPr>
          <w:p w14:paraId="23B50D3D"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Csak a közigazgatási munkavállalónak</w:t>
            </w:r>
          </w:p>
          <w:p w14:paraId="73C9B499" w14:textId="6B22A76C"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(278. §)</w:t>
            </w:r>
            <w:r w:rsidR="00C51D49">
              <w:rPr>
                <w:rFonts w:ascii="Times New Roman" w:hAnsi="Times New Roman" w:cs="Times New Roman"/>
                <w:sz w:val="24"/>
                <w:szCs w:val="24"/>
              </w:rPr>
              <w:t>.</w:t>
            </w:r>
          </w:p>
        </w:tc>
      </w:tr>
      <w:tr w:rsidR="00185697" w:rsidRPr="00BA311B" w14:paraId="4E64B916" w14:textId="77777777" w:rsidTr="00974440">
        <w:tc>
          <w:tcPr>
            <w:tcW w:w="2176" w:type="dxa"/>
            <w:vMerge/>
            <w:vAlign w:val="center"/>
          </w:tcPr>
          <w:p w14:paraId="6B82FF85" w14:textId="77777777" w:rsidR="00185697" w:rsidRPr="00BA311B" w:rsidRDefault="00185697" w:rsidP="00974440">
            <w:pPr>
              <w:rPr>
                <w:rFonts w:ascii="Times New Roman" w:hAnsi="Times New Roman" w:cs="Times New Roman"/>
                <w:b/>
                <w:bCs/>
                <w:sz w:val="24"/>
                <w:szCs w:val="24"/>
              </w:rPr>
            </w:pPr>
          </w:p>
        </w:tc>
        <w:tc>
          <w:tcPr>
            <w:tcW w:w="2647" w:type="dxa"/>
          </w:tcPr>
          <w:p w14:paraId="1B9187DB"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Különleges jogállású közigazgatási szervek</w:t>
            </w:r>
          </w:p>
        </w:tc>
        <w:tc>
          <w:tcPr>
            <w:tcW w:w="1893" w:type="dxa"/>
          </w:tcPr>
          <w:p w14:paraId="39159DD2"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2019. évi CVII. törvény</w:t>
            </w:r>
          </w:p>
        </w:tc>
        <w:tc>
          <w:tcPr>
            <w:tcW w:w="2346" w:type="dxa"/>
          </w:tcPr>
          <w:p w14:paraId="0D546326"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 xml:space="preserve">Csak a közigazgatási munkavállalónak </w:t>
            </w:r>
          </w:p>
          <w:p w14:paraId="796C64D2" w14:textId="2B7DD6B1"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(101. §)</w:t>
            </w:r>
            <w:r w:rsidR="00C51D49">
              <w:rPr>
                <w:rFonts w:ascii="Times New Roman" w:hAnsi="Times New Roman" w:cs="Times New Roman"/>
                <w:sz w:val="24"/>
                <w:szCs w:val="24"/>
              </w:rPr>
              <w:t>.</w:t>
            </w:r>
          </w:p>
        </w:tc>
      </w:tr>
      <w:tr w:rsidR="00185697" w:rsidRPr="00BA311B" w14:paraId="33081CE3" w14:textId="77777777" w:rsidTr="00974440">
        <w:tc>
          <w:tcPr>
            <w:tcW w:w="2176" w:type="dxa"/>
            <w:vMerge/>
            <w:vAlign w:val="center"/>
          </w:tcPr>
          <w:p w14:paraId="091D50F2" w14:textId="77777777" w:rsidR="00185697" w:rsidRPr="00BA311B" w:rsidRDefault="00185697" w:rsidP="00974440">
            <w:pPr>
              <w:rPr>
                <w:rFonts w:ascii="Times New Roman" w:hAnsi="Times New Roman" w:cs="Times New Roman"/>
                <w:b/>
                <w:bCs/>
                <w:sz w:val="24"/>
                <w:szCs w:val="24"/>
              </w:rPr>
            </w:pPr>
          </w:p>
        </w:tc>
        <w:tc>
          <w:tcPr>
            <w:tcW w:w="2647" w:type="dxa"/>
          </w:tcPr>
          <w:p w14:paraId="44B7001F"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Nemzeti Adó- és Vámhivatal</w:t>
            </w:r>
          </w:p>
        </w:tc>
        <w:tc>
          <w:tcPr>
            <w:tcW w:w="1893" w:type="dxa"/>
          </w:tcPr>
          <w:p w14:paraId="3B8C858C"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2020. évi CXXX. törvény</w:t>
            </w:r>
          </w:p>
        </w:tc>
        <w:tc>
          <w:tcPr>
            <w:tcW w:w="2346" w:type="dxa"/>
          </w:tcPr>
          <w:p w14:paraId="18EC0EFF" w14:textId="15A212E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Csak a munkavállalónak [2. § (2) bek.]</w:t>
            </w:r>
            <w:r w:rsidR="00C51D49">
              <w:rPr>
                <w:rFonts w:ascii="Times New Roman" w:hAnsi="Times New Roman" w:cs="Times New Roman"/>
                <w:sz w:val="24"/>
                <w:szCs w:val="24"/>
              </w:rPr>
              <w:t>.</w:t>
            </w:r>
          </w:p>
        </w:tc>
      </w:tr>
      <w:tr w:rsidR="00185697" w:rsidRPr="00BA311B" w14:paraId="05F3B801" w14:textId="77777777" w:rsidTr="00974440">
        <w:tc>
          <w:tcPr>
            <w:tcW w:w="2176" w:type="dxa"/>
            <w:vMerge w:val="restart"/>
            <w:vAlign w:val="center"/>
          </w:tcPr>
          <w:p w14:paraId="5948F88B" w14:textId="77777777" w:rsidR="00185697" w:rsidRPr="00BA311B" w:rsidRDefault="00185697" w:rsidP="00974440">
            <w:pPr>
              <w:rPr>
                <w:rFonts w:ascii="Times New Roman" w:hAnsi="Times New Roman" w:cs="Times New Roman"/>
                <w:b/>
                <w:bCs/>
                <w:sz w:val="24"/>
                <w:szCs w:val="24"/>
              </w:rPr>
            </w:pPr>
            <w:r w:rsidRPr="00BA311B">
              <w:rPr>
                <w:rFonts w:ascii="Times New Roman" w:hAnsi="Times New Roman" w:cs="Times New Roman"/>
                <w:b/>
                <w:bCs/>
                <w:sz w:val="24"/>
                <w:szCs w:val="24"/>
              </w:rPr>
              <w:t>Fegyveres szervek, rendvédelem</w:t>
            </w:r>
          </w:p>
        </w:tc>
        <w:tc>
          <w:tcPr>
            <w:tcW w:w="2647" w:type="dxa"/>
          </w:tcPr>
          <w:p w14:paraId="5F73E2A8"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Rendvédelmi szervek</w:t>
            </w:r>
          </w:p>
        </w:tc>
        <w:tc>
          <w:tcPr>
            <w:tcW w:w="1893" w:type="dxa"/>
          </w:tcPr>
          <w:p w14:paraId="7BCB3207"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2015. évi XLII. törvény</w:t>
            </w:r>
          </w:p>
        </w:tc>
        <w:tc>
          <w:tcPr>
            <w:tcW w:w="2346" w:type="dxa"/>
          </w:tcPr>
          <w:p w14:paraId="3D4B1F12" w14:textId="05BBF02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Csak a munkavállalóknak (287/C. §)</w:t>
            </w:r>
            <w:r w:rsidR="00C51D49">
              <w:rPr>
                <w:rFonts w:ascii="Times New Roman" w:hAnsi="Times New Roman" w:cs="Times New Roman"/>
                <w:sz w:val="24"/>
                <w:szCs w:val="24"/>
              </w:rPr>
              <w:t>.</w:t>
            </w:r>
          </w:p>
        </w:tc>
      </w:tr>
      <w:tr w:rsidR="00185697" w:rsidRPr="00BA311B" w14:paraId="32F10CE3" w14:textId="77777777" w:rsidTr="00974440">
        <w:tc>
          <w:tcPr>
            <w:tcW w:w="2176" w:type="dxa"/>
            <w:vMerge/>
            <w:vAlign w:val="center"/>
          </w:tcPr>
          <w:p w14:paraId="71E6B642" w14:textId="77777777" w:rsidR="00185697" w:rsidRPr="00BA311B" w:rsidRDefault="00185697" w:rsidP="00974440">
            <w:pPr>
              <w:rPr>
                <w:rFonts w:ascii="Times New Roman" w:hAnsi="Times New Roman" w:cs="Times New Roman"/>
                <w:b/>
                <w:bCs/>
                <w:sz w:val="24"/>
                <w:szCs w:val="24"/>
              </w:rPr>
            </w:pPr>
          </w:p>
        </w:tc>
        <w:tc>
          <w:tcPr>
            <w:tcW w:w="2647" w:type="dxa"/>
          </w:tcPr>
          <w:p w14:paraId="3AEAEF26"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Honvédség</w:t>
            </w:r>
          </w:p>
        </w:tc>
        <w:tc>
          <w:tcPr>
            <w:tcW w:w="1893" w:type="dxa"/>
          </w:tcPr>
          <w:p w14:paraId="61E5514E"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2012. évi CCV. törvény</w:t>
            </w:r>
          </w:p>
        </w:tc>
        <w:tc>
          <w:tcPr>
            <w:tcW w:w="2346" w:type="dxa"/>
          </w:tcPr>
          <w:p w14:paraId="356D08A2"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Nem.</w:t>
            </w:r>
          </w:p>
        </w:tc>
      </w:tr>
      <w:tr w:rsidR="00185697" w:rsidRPr="00BA311B" w14:paraId="388F9FA1" w14:textId="77777777" w:rsidTr="00974440">
        <w:tc>
          <w:tcPr>
            <w:tcW w:w="2176" w:type="dxa"/>
            <w:vMerge/>
            <w:vAlign w:val="center"/>
          </w:tcPr>
          <w:p w14:paraId="648838BA" w14:textId="77777777" w:rsidR="00185697" w:rsidRPr="00BA311B" w:rsidRDefault="00185697" w:rsidP="00974440">
            <w:pPr>
              <w:rPr>
                <w:rFonts w:ascii="Times New Roman" w:hAnsi="Times New Roman" w:cs="Times New Roman"/>
                <w:b/>
                <w:bCs/>
                <w:sz w:val="24"/>
                <w:szCs w:val="24"/>
              </w:rPr>
            </w:pPr>
          </w:p>
        </w:tc>
        <w:tc>
          <w:tcPr>
            <w:tcW w:w="2647" w:type="dxa"/>
          </w:tcPr>
          <w:p w14:paraId="58F536B9"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Honvédelmi alkalmazott</w:t>
            </w:r>
          </w:p>
        </w:tc>
        <w:tc>
          <w:tcPr>
            <w:tcW w:w="1893" w:type="dxa"/>
          </w:tcPr>
          <w:p w14:paraId="52413A69"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2018. évi CXIV. törvény</w:t>
            </w:r>
          </w:p>
        </w:tc>
        <w:tc>
          <w:tcPr>
            <w:tcW w:w="2346" w:type="dxa"/>
          </w:tcPr>
          <w:p w14:paraId="2B6ABADE"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Nem.</w:t>
            </w:r>
          </w:p>
        </w:tc>
      </w:tr>
      <w:tr w:rsidR="00185697" w:rsidRPr="00BA311B" w14:paraId="501356C7" w14:textId="77777777" w:rsidTr="00974440">
        <w:tc>
          <w:tcPr>
            <w:tcW w:w="2176" w:type="dxa"/>
            <w:vMerge w:val="restart"/>
            <w:vAlign w:val="center"/>
          </w:tcPr>
          <w:p w14:paraId="78EBBA2D" w14:textId="77777777" w:rsidR="00185697" w:rsidRPr="00BA311B" w:rsidRDefault="00185697" w:rsidP="00974440">
            <w:pPr>
              <w:rPr>
                <w:rFonts w:ascii="Times New Roman" w:hAnsi="Times New Roman" w:cs="Times New Roman"/>
                <w:b/>
                <w:bCs/>
                <w:sz w:val="24"/>
                <w:szCs w:val="24"/>
              </w:rPr>
            </w:pPr>
            <w:r w:rsidRPr="00BA311B">
              <w:rPr>
                <w:rFonts w:ascii="Times New Roman" w:hAnsi="Times New Roman" w:cs="Times New Roman"/>
                <w:b/>
                <w:bCs/>
                <w:sz w:val="24"/>
                <w:szCs w:val="24"/>
              </w:rPr>
              <w:t>Igazságszolgáltatás</w:t>
            </w:r>
          </w:p>
        </w:tc>
        <w:tc>
          <w:tcPr>
            <w:tcW w:w="2647" w:type="dxa"/>
          </w:tcPr>
          <w:p w14:paraId="0652569F"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Ügyészség</w:t>
            </w:r>
          </w:p>
        </w:tc>
        <w:tc>
          <w:tcPr>
            <w:tcW w:w="1893" w:type="dxa"/>
          </w:tcPr>
          <w:p w14:paraId="1FD1D86C"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2011. évi CLXIV. törvény</w:t>
            </w:r>
          </w:p>
        </w:tc>
        <w:tc>
          <w:tcPr>
            <w:tcW w:w="2346" w:type="dxa"/>
          </w:tcPr>
          <w:p w14:paraId="506865B9" w14:textId="15F8BF8B" w:rsidR="00185697" w:rsidRPr="00BA311B" w:rsidRDefault="00820B35" w:rsidP="00974440">
            <w:pPr>
              <w:rPr>
                <w:rFonts w:ascii="Times New Roman" w:hAnsi="Times New Roman" w:cs="Times New Roman"/>
                <w:sz w:val="24"/>
                <w:szCs w:val="24"/>
              </w:rPr>
            </w:pPr>
            <w:r>
              <w:rPr>
                <w:rFonts w:ascii="Times New Roman" w:hAnsi="Times New Roman" w:cs="Times New Roman"/>
                <w:sz w:val="24"/>
                <w:szCs w:val="24"/>
              </w:rPr>
              <w:t>Nem, de lásd a</w:t>
            </w:r>
            <w:r w:rsidR="00185697" w:rsidRPr="00BA311B">
              <w:rPr>
                <w:rFonts w:ascii="Times New Roman" w:hAnsi="Times New Roman" w:cs="Times New Roman"/>
                <w:sz w:val="24"/>
                <w:szCs w:val="24"/>
              </w:rPr>
              <w:t xml:space="preserve"> 157. § szerinti speciális megállapodás</w:t>
            </w:r>
            <w:r>
              <w:rPr>
                <w:rFonts w:ascii="Times New Roman" w:hAnsi="Times New Roman" w:cs="Times New Roman"/>
                <w:sz w:val="24"/>
                <w:szCs w:val="24"/>
              </w:rPr>
              <w:t>t</w:t>
            </w:r>
            <w:r w:rsidR="00C51D49">
              <w:rPr>
                <w:rFonts w:ascii="Times New Roman" w:hAnsi="Times New Roman" w:cs="Times New Roman"/>
                <w:sz w:val="24"/>
                <w:szCs w:val="24"/>
              </w:rPr>
              <w:t>.</w:t>
            </w:r>
          </w:p>
        </w:tc>
      </w:tr>
      <w:tr w:rsidR="00185697" w:rsidRPr="00BA311B" w14:paraId="25301ABA" w14:textId="77777777" w:rsidTr="00974440">
        <w:tc>
          <w:tcPr>
            <w:tcW w:w="2176" w:type="dxa"/>
            <w:vMerge/>
            <w:vAlign w:val="center"/>
          </w:tcPr>
          <w:p w14:paraId="10F4F1B4" w14:textId="77777777" w:rsidR="00185697" w:rsidRPr="00BA311B" w:rsidRDefault="00185697" w:rsidP="00974440">
            <w:pPr>
              <w:rPr>
                <w:rFonts w:ascii="Times New Roman" w:hAnsi="Times New Roman" w:cs="Times New Roman"/>
                <w:sz w:val="24"/>
                <w:szCs w:val="24"/>
              </w:rPr>
            </w:pPr>
          </w:p>
        </w:tc>
        <w:tc>
          <w:tcPr>
            <w:tcW w:w="2647" w:type="dxa"/>
          </w:tcPr>
          <w:p w14:paraId="1FE93EF7"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Bíróságok</w:t>
            </w:r>
          </w:p>
        </w:tc>
        <w:tc>
          <w:tcPr>
            <w:tcW w:w="1893" w:type="dxa"/>
          </w:tcPr>
          <w:p w14:paraId="52214286"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2011. évi CLXII. törvény</w:t>
            </w:r>
          </w:p>
        </w:tc>
        <w:tc>
          <w:tcPr>
            <w:tcW w:w="2346" w:type="dxa"/>
          </w:tcPr>
          <w:p w14:paraId="610202BE"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Nem.</w:t>
            </w:r>
          </w:p>
        </w:tc>
      </w:tr>
      <w:tr w:rsidR="00185697" w:rsidRPr="00BA311B" w14:paraId="4166834B" w14:textId="77777777" w:rsidTr="00974440">
        <w:tc>
          <w:tcPr>
            <w:tcW w:w="2176" w:type="dxa"/>
            <w:vMerge/>
            <w:vAlign w:val="center"/>
          </w:tcPr>
          <w:p w14:paraId="417E1408" w14:textId="77777777" w:rsidR="00185697" w:rsidRPr="00BA311B" w:rsidRDefault="00185697" w:rsidP="00974440">
            <w:pPr>
              <w:rPr>
                <w:rFonts w:ascii="Times New Roman" w:hAnsi="Times New Roman" w:cs="Times New Roman"/>
                <w:sz w:val="24"/>
                <w:szCs w:val="24"/>
              </w:rPr>
            </w:pPr>
          </w:p>
        </w:tc>
        <w:tc>
          <w:tcPr>
            <w:tcW w:w="2647" w:type="dxa"/>
          </w:tcPr>
          <w:p w14:paraId="1CD3552B"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Egyéb igazságügyi alkalmazottak</w:t>
            </w:r>
          </w:p>
        </w:tc>
        <w:tc>
          <w:tcPr>
            <w:tcW w:w="1893" w:type="dxa"/>
          </w:tcPr>
          <w:p w14:paraId="7277196D"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1997. évi LXVIII. törvény</w:t>
            </w:r>
          </w:p>
        </w:tc>
        <w:tc>
          <w:tcPr>
            <w:tcW w:w="2346" w:type="dxa"/>
          </w:tcPr>
          <w:p w14:paraId="5E175D63" w14:textId="77777777" w:rsidR="00185697" w:rsidRPr="00BA311B" w:rsidRDefault="00185697" w:rsidP="00974440">
            <w:pPr>
              <w:rPr>
                <w:rFonts w:ascii="Times New Roman" w:hAnsi="Times New Roman" w:cs="Times New Roman"/>
                <w:sz w:val="24"/>
                <w:szCs w:val="24"/>
              </w:rPr>
            </w:pPr>
            <w:r w:rsidRPr="00BA311B">
              <w:rPr>
                <w:rFonts w:ascii="Times New Roman" w:hAnsi="Times New Roman" w:cs="Times New Roman"/>
                <w:sz w:val="24"/>
                <w:szCs w:val="24"/>
              </w:rPr>
              <w:t>Nem.</w:t>
            </w:r>
          </w:p>
        </w:tc>
      </w:tr>
      <w:tr w:rsidR="003B6741" w:rsidRPr="00BA311B" w14:paraId="04C17F2F" w14:textId="77777777" w:rsidTr="00376146">
        <w:tc>
          <w:tcPr>
            <w:tcW w:w="4823" w:type="dxa"/>
            <w:gridSpan w:val="2"/>
            <w:vAlign w:val="center"/>
          </w:tcPr>
          <w:p w14:paraId="7D040943" w14:textId="77777777" w:rsidR="003B6741" w:rsidRDefault="003B6741" w:rsidP="00974440">
            <w:pPr>
              <w:rPr>
                <w:rFonts w:ascii="Times New Roman" w:hAnsi="Times New Roman" w:cs="Times New Roman"/>
                <w:sz w:val="24"/>
                <w:szCs w:val="24"/>
              </w:rPr>
            </w:pPr>
          </w:p>
          <w:p w14:paraId="29C62B2B" w14:textId="3272E691" w:rsidR="003B6741" w:rsidRPr="003B6741" w:rsidRDefault="003B6741" w:rsidP="00974440">
            <w:pPr>
              <w:rPr>
                <w:rFonts w:ascii="Times New Roman" w:hAnsi="Times New Roman" w:cs="Times New Roman"/>
                <w:b/>
                <w:bCs/>
                <w:sz w:val="24"/>
                <w:szCs w:val="24"/>
              </w:rPr>
            </w:pPr>
            <w:r w:rsidRPr="003B6741">
              <w:rPr>
                <w:rFonts w:ascii="Times New Roman" w:hAnsi="Times New Roman" w:cs="Times New Roman"/>
                <w:b/>
                <w:bCs/>
                <w:sz w:val="24"/>
                <w:szCs w:val="24"/>
              </w:rPr>
              <w:t>Köztulajdonban álló munkáltatók</w:t>
            </w:r>
          </w:p>
          <w:p w14:paraId="21D9B4AA" w14:textId="03695290" w:rsidR="003B6741" w:rsidRPr="00BA311B" w:rsidRDefault="003B6741" w:rsidP="00974440">
            <w:pPr>
              <w:rPr>
                <w:rFonts w:ascii="Times New Roman" w:hAnsi="Times New Roman" w:cs="Times New Roman"/>
                <w:sz w:val="24"/>
                <w:szCs w:val="24"/>
              </w:rPr>
            </w:pPr>
          </w:p>
        </w:tc>
        <w:tc>
          <w:tcPr>
            <w:tcW w:w="1893" w:type="dxa"/>
          </w:tcPr>
          <w:p w14:paraId="37F4A2EB" w14:textId="125543CA" w:rsidR="003B6741" w:rsidRPr="00BA311B" w:rsidRDefault="003B6741" w:rsidP="00974440">
            <w:pPr>
              <w:rPr>
                <w:rFonts w:ascii="Times New Roman" w:hAnsi="Times New Roman" w:cs="Times New Roman"/>
                <w:sz w:val="24"/>
                <w:szCs w:val="24"/>
              </w:rPr>
            </w:pPr>
            <w:r>
              <w:rPr>
                <w:rFonts w:ascii="Times New Roman" w:hAnsi="Times New Roman" w:cs="Times New Roman"/>
                <w:sz w:val="24"/>
                <w:szCs w:val="24"/>
              </w:rPr>
              <w:t xml:space="preserve">2012. évi I. törvény </w:t>
            </w:r>
          </w:p>
        </w:tc>
        <w:tc>
          <w:tcPr>
            <w:tcW w:w="2346" w:type="dxa"/>
          </w:tcPr>
          <w:p w14:paraId="3F1ADDF3" w14:textId="10C7833B" w:rsidR="003B6741" w:rsidRPr="00BA311B" w:rsidRDefault="00A11AC6" w:rsidP="00974440">
            <w:pPr>
              <w:rPr>
                <w:rFonts w:ascii="Times New Roman" w:hAnsi="Times New Roman" w:cs="Times New Roman"/>
                <w:sz w:val="24"/>
                <w:szCs w:val="24"/>
              </w:rPr>
            </w:pPr>
            <w:r>
              <w:rPr>
                <w:rFonts w:ascii="Times New Roman" w:hAnsi="Times New Roman" w:cs="Times New Roman"/>
                <w:sz w:val="24"/>
                <w:szCs w:val="24"/>
              </w:rPr>
              <w:t>Igen, a 205-206. § szerinti korlátozásokkal.</w:t>
            </w:r>
          </w:p>
        </w:tc>
      </w:tr>
    </w:tbl>
    <w:p w14:paraId="4EB72752" w14:textId="108B988B" w:rsidR="00185697" w:rsidRPr="00185697" w:rsidRDefault="00185697" w:rsidP="00185697">
      <w:pPr>
        <w:spacing w:after="0" w:line="360" w:lineRule="auto"/>
        <w:jc w:val="right"/>
        <w:rPr>
          <w:rFonts w:ascii="Times New Roman" w:eastAsia="Times New Roman" w:hAnsi="Times New Roman" w:cs="Times New Roman"/>
          <w:i/>
          <w:iCs/>
          <w:color w:val="000000"/>
          <w:sz w:val="24"/>
          <w:szCs w:val="24"/>
          <w:lang w:eastAsia="hu-HU"/>
        </w:rPr>
      </w:pPr>
      <w:r w:rsidRPr="00185697">
        <w:rPr>
          <w:rFonts w:ascii="Times New Roman" w:eastAsia="Times New Roman" w:hAnsi="Times New Roman" w:cs="Times New Roman"/>
          <w:i/>
          <w:iCs/>
          <w:color w:val="000000"/>
          <w:sz w:val="24"/>
          <w:szCs w:val="24"/>
          <w:lang w:eastAsia="hu-HU"/>
        </w:rPr>
        <w:t>1. táblázat: Kollektív alku a magyar közszférában (saját szerkesztés)</w:t>
      </w:r>
    </w:p>
    <w:p w14:paraId="6372DD0D" w14:textId="77777777" w:rsidR="00185697" w:rsidRDefault="00185697" w:rsidP="000E2EED">
      <w:pPr>
        <w:spacing w:after="0" w:line="360" w:lineRule="auto"/>
        <w:jc w:val="both"/>
        <w:rPr>
          <w:rFonts w:ascii="Times New Roman" w:eastAsia="Times New Roman" w:hAnsi="Times New Roman" w:cs="Times New Roman"/>
          <w:color w:val="000000"/>
          <w:sz w:val="24"/>
          <w:szCs w:val="24"/>
          <w:lang w:eastAsia="hu-HU"/>
        </w:rPr>
      </w:pPr>
    </w:p>
    <w:p w14:paraId="43A1FB88" w14:textId="18FBABDF" w:rsidR="00185697" w:rsidRDefault="00185697"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 alábbiakban áttekintjük a közszféra egyes területeire vonatkozó szabályozást a kollektív alku szempontjából, és rámutatunk, hogy mely esetekben szükséges </w:t>
      </w:r>
      <w:r w:rsidR="00F5499C">
        <w:rPr>
          <w:rFonts w:ascii="Times New Roman" w:eastAsia="Times New Roman" w:hAnsi="Times New Roman" w:cs="Times New Roman"/>
          <w:color w:val="000000"/>
          <w:sz w:val="24"/>
          <w:szCs w:val="24"/>
          <w:lang w:eastAsia="hu-HU"/>
        </w:rPr>
        <w:t xml:space="preserve">a jelenlegi korlátozásokat feloldani </w:t>
      </w:r>
      <w:r>
        <w:rPr>
          <w:rFonts w:ascii="Times New Roman" w:eastAsia="Times New Roman" w:hAnsi="Times New Roman" w:cs="Times New Roman"/>
          <w:color w:val="000000"/>
          <w:sz w:val="24"/>
          <w:szCs w:val="24"/>
          <w:lang w:eastAsia="hu-HU"/>
        </w:rPr>
        <w:t>a nemzetközi kötelezettségekkel való összhang biztosítása céljából, illetve általában a kollektív alkuban rejlő lehetőségek jobb kihasználása okán.</w:t>
      </w:r>
    </w:p>
    <w:p w14:paraId="179CA8A4" w14:textId="4780678C" w:rsidR="00BA311B" w:rsidRDefault="00E3073A" w:rsidP="000E2EE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Előre kell bocsátani, hogy még egy radikális szabályozási fordulat mellett sem biztos, hogy rövidtávon mérhetően nőne a kollektív szerződéses lefedettség a magyar közszférában. Kétséges ugyanis, hány állami munkáltatónál lenne a megállapodás megkötésére jogosult szakszervezet.</w:t>
      </w:r>
      <w:r w:rsidR="00D52E0C">
        <w:rPr>
          <w:rStyle w:val="Lbjegyzet-hivatkozs"/>
          <w:rFonts w:ascii="Times New Roman" w:eastAsia="Times New Roman" w:hAnsi="Times New Roman" w:cs="Times New Roman"/>
          <w:color w:val="000000"/>
          <w:sz w:val="24"/>
          <w:szCs w:val="24"/>
          <w:lang w:eastAsia="hu-HU"/>
        </w:rPr>
        <w:footnoteReference w:id="21"/>
      </w:r>
      <w:r>
        <w:rPr>
          <w:rFonts w:ascii="Times New Roman" w:eastAsia="Times New Roman" w:hAnsi="Times New Roman" w:cs="Times New Roman"/>
          <w:color w:val="000000"/>
          <w:sz w:val="24"/>
          <w:szCs w:val="24"/>
          <w:lang w:eastAsia="hu-HU"/>
        </w:rPr>
        <w:t xml:space="preserve"> A közszféra szervezettségi mutatóiról kevés adatunk van. Kivételt képez a </w:t>
      </w:r>
      <w:r w:rsidR="00A85312" w:rsidRPr="00E3073A">
        <w:rPr>
          <w:rFonts w:ascii="Times New Roman" w:eastAsia="Times New Roman" w:hAnsi="Times New Roman" w:cs="Times New Roman"/>
          <w:color w:val="000000"/>
          <w:sz w:val="24"/>
          <w:szCs w:val="24"/>
          <w:lang w:eastAsia="hu-HU"/>
        </w:rPr>
        <w:t>közalkalmazotti reprezentativitás megállapításának kötelezettsége folytán a</w:t>
      </w:r>
      <w:r>
        <w:rPr>
          <w:rFonts w:ascii="Times New Roman" w:eastAsia="Times New Roman" w:hAnsi="Times New Roman" w:cs="Times New Roman"/>
          <w:color w:val="000000"/>
          <w:sz w:val="24"/>
          <w:szCs w:val="24"/>
          <w:lang w:eastAsia="hu-HU"/>
        </w:rPr>
        <w:t xml:space="preserve"> közalkalmazotti terület. Az Országos Reprezentativitást Megállapító Bizottság 2022. évi </w:t>
      </w:r>
      <w:r w:rsidR="00A85312" w:rsidRPr="00E3073A">
        <w:rPr>
          <w:rFonts w:ascii="Times New Roman" w:eastAsia="Times New Roman" w:hAnsi="Times New Roman" w:cs="Times New Roman"/>
          <w:color w:val="000000"/>
          <w:sz w:val="24"/>
          <w:szCs w:val="24"/>
          <w:lang w:eastAsia="hu-HU"/>
        </w:rPr>
        <w:t>jelentésből</w:t>
      </w:r>
      <w:r w:rsidR="00A85312" w:rsidRPr="00E3073A">
        <w:rPr>
          <w:rStyle w:val="Lbjegyzet-hivatkozs"/>
          <w:rFonts w:ascii="Times New Roman" w:eastAsia="Times New Roman" w:hAnsi="Times New Roman" w:cs="Times New Roman"/>
          <w:sz w:val="24"/>
          <w:szCs w:val="24"/>
          <w:lang w:eastAsia="hu-HU"/>
        </w:rPr>
        <w:footnoteReference w:id="22"/>
      </w:r>
      <w:r w:rsidR="00A85312" w:rsidRPr="00E3073A">
        <w:rPr>
          <w:rFonts w:ascii="Times New Roman" w:eastAsia="Times New Roman" w:hAnsi="Times New Roman" w:cs="Times New Roman"/>
          <w:color w:val="000000"/>
          <w:sz w:val="24"/>
          <w:szCs w:val="24"/>
          <w:lang w:eastAsia="hu-HU"/>
        </w:rPr>
        <w:t xml:space="preserve"> tudjuk, hogy a bejelentett közalkalmazott szakszervezeti</w:t>
      </w:r>
      <w:r w:rsidR="00A85312" w:rsidRPr="007868A2">
        <w:rPr>
          <w:rFonts w:ascii="Times New Roman" w:eastAsia="Times New Roman" w:hAnsi="Times New Roman" w:cs="Times New Roman"/>
          <w:sz w:val="24"/>
          <w:szCs w:val="24"/>
          <w:lang w:eastAsia="hu-HU"/>
        </w:rPr>
        <w:t xml:space="preserve"> tagok száma mindössze 13.512 fő, ami 5,1%-os szervezettséget jelent.</w:t>
      </w:r>
      <w:r>
        <w:rPr>
          <w:rStyle w:val="Lbjegyzet-hivatkozs"/>
          <w:rFonts w:ascii="Times New Roman" w:eastAsia="Times New Roman" w:hAnsi="Times New Roman" w:cs="Times New Roman"/>
          <w:sz w:val="24"/>
          <w:szCs w:val="24"/>
          <w:lang w:eastAsia="hu-HU"/>
        </w:rPr>
        <w:footnoteReference w:id="23"/>
      </w:r>
      <w:r w:rsidR="00101F51">
        <w:rPr>
          <w:rFonts w:ascii="Times New Roman" w:eastAsia="Times New Roman" w:hAnsi="Times New Roman" w:cs="Times New Roman"/>
          <w:sz w:val="24"/>
          <w:szCs w:val="24"/>
          <w:lang w:eastAsia="hu-HU"/>
        </w:rPr>
        <w:t xml:space="preserve"> Ugyanakkor az alacsony szervezettség álláspontunk szerint a „tyúk vagy a tojás” problémáját veti fel. Aligha várható ugyanis magas szervezettség olyan munkáltatóknál, ahol a legfontosabb érdekképviseleti jogosultság, a kollektív alku gyakorlását jogszabály kizárja. A jelenlegi korlátozások feloldása azonban hosszabb távon a szakszervezetek szervezkedési hatékonyságát is előmozdíthatja. </w:t>
      </w:r>
    </w:p>
    <w:p w14:paraId="07B2AE6E" w14:textId="77777777" w:rsidR="00E3073A" w:rsidRPr="00BA311B" w:rsidRDefault="00E3073A" w:rsidP="000E2EED">
      <w:pPr>
        <w:spacing w:after="0" w:line="360" w:lineRule="auto"/>
        <w:jc w:val="both"/>
        <w:rPr>
          <w:rFonts w:ascii="Times New Roman" w:eastAsia="Times New Roman" w:hAnsi="Times New Roman" w:cs="Times New Roman"/>
          <w:color w:val="000000"/>
          <w:sz w:val="24"/>
          <w:szCs w:val="24"/>
          <w:lang w:eastAsia="hu-HU"/>
        </w:rPr>
      </w:pPr>
    </w:p>
    <w:p w14:paraId="0EA96A08" w14:textId="29C1EA5D" w:rsidR="00BA311B" w:rsidRPr="00185697" w:rsidRDefault="00185697" w:rsidP="000E2EED">
      <w:pPr>
        <w:spacing w:after="0" w:line="360" w:lineRule="auto"/>
        <w:jc w:val="both"/>
        <w:rPr>
          <w:rFonts w:ascii="Times New Roman" w:eastAsia="Times New Roman" w:hAnsi="Times New Roman" w:cs="Times New Roman"/>
          <w:i/>
          <w:iCs/>
          <w:color w:val="000000"/>
          <w:sz w:val="24"/>
          <w:szCs w:val="24"/>
          <w:lang w:eastAsia="hu-HU"/>
        </w:rPr>
      </w:pPr>
      <w:r w:rsidRPr="00185697">
        <w:rPr>
          <w:rFonts w:ascii="Times New Roman" w:eastAsia="Times New Roman" w:hAnsi="Times New Roman" w:cs="Times New Roman"/>
          <w:i/>
          <w:iCs/>
          <w:color w:val="000000"/>
          <w:sz w:val="24"/>
          <w:szCs w:val="24"/>
          <w:lang w:eastAsia="hu-HU"/>
        </w:rPr>
        <w:t xml:space="preserve">3.1. </w:t>
      </w:r>
      <w:r>
        <w:rPr>
          <w:rFonts w:ascii="Times New Roman" w:eastAsia="Times New Roman" w:hAnsi="Times New Roman" w:cs="Times New Roman"/>
          <w:i/>
          <w:iCs/>
          <w:color w:val="000000"/>
          <w:sz w:val="24"/>
          <w:szCs w:val="24"/>
          <w:lang w:eastAsia="hu-HU"/>
        </w:rPr>
        <w:t>Közszolgáltatások</w:t>
      </w:r>
    </w:p>
    <w:p w14:paraId="75D55AAC" w14:textId="792945EF" w:rsidR="00A85312" w:rsidRDefault="000E7B31" w:rsidP="0018569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közszolgáltatást nyújtó, közhatalmat nem gyakorló, más törvény hatálya alá nem tartozó költségvetési szerv munkáltatókra korábban egységesen a közalkalmazottak jogállásáról szóló 1992. évi XXXIII. törvény (a továbbiakban: Kjt.) volt irányadó, mára ez a jogszabály lényegében csak a szociális szférára és a nem modellváltó felsőoktatási intézményekre alkalmazandó. A többi hajdani közalkalmazotti terület </w:t>
      </w:r>
      <w:r w:rsidR="00A85312">
        <w:rPr>
          <w:rFonts w:ascii="Times New Roman" w:eastAsia="Times New Roman" w:hAnsi="Times New Roman" w:cs="Times New Roman"/>
          <w:color w:val="000000"/>
          <w:sz w:val="24"/>
          <w:szCs w:val="24"/>
          <w:lang w:eastAsia="hu-HU"/>
        </w:rPr>
        <w:t xml:space="preserve">2019-től kezdődően </w:t>
      </w:r>
      <w:r>
        <w:rPr>
          <w:rFonts w:ascii="Times New Roman" w:eastAsia="Times New Roman" w:hAnsi="Times New Roman" w:cs="Times New Roman"/>
          <w:color w:val="000000"/>
          <w:sz w:val="24"/>
          <w:szCs w:val="24"/>
          <w:lang w:eastAsia="hu-HU"/>
        </w:rPr>
        <w:t xml:space="preserve">vagy külön </w:t>
      </w:r>
      <w:r>
        <w:rPr>
          <w:rFonts w:ascii="Times New Roman" w:eastAsia="Times New Roman" w:hAnsi="Times New Roman" w:cs="Times New Roman"/>
          <w:color w:val="000000"/>
          <w:sz w:val="24"/>
          <w:szCs w:val="24"/>
          <w:lang w:eastAsia="hu-HU"/>
        </w:rPr>
        <w:lastRenderedPageBreak/>
        <w:t xml:space="preserve">jogszabály hatálya alá került (köznevelés, közegészségügy), vagy ma már a munka törvénykönyvéről szóló 2012. évi I. törvény (a továbbiakban: Mt.) irányadó rájuk (szakképzés, kulturális szféra, </w:t>
      </w:r>
      <w:r w:rsidRPr="000E7B31">
        <w:rPr>
          <w:rFonts w:ascii="Times New Roman" w:eastAsia="Times New Roman" w:hAnsi="Times New Roman" w:cs="Times New Roman"/>
          <w:color w:val="000000"/>
          <w:sz w:val="24"/>
          <w:szCs w:val="24"/>
          <w:lang w:eastAsia="hu-HU"/>
        </w:rPr>
        <w:t>Eötvös Loránd Kutatási Hálózat</w:t>
      </w:r>
      <w:r>
        <w:rPr>
          <w:rFonts w:ascii="Times New Roman" w:eastAsia="Times New Roman" w:hAnsi="Times New Roman" w:cs="Times New Roman"/>
          <w:color w:val="000000"/>
          <w:sz w:val="24"/>
          <w:szCs w:val="24"/>
          <w:lang w:eastAsia="hu-HU"/>
        </w:rPr>
        <w:t>, alapítványi fenntartású egyetemek).</w:t>
      </w:r>
      <w:r>
        <w:rPr>
          <w:rStyle w:val="Lbjegyzet-hivatkozs"/>
          <w:rFonts w:ascii="Times New Roman" w:eastAsia="Times New Roman" w:hAnsi="Times New Roman" w:cs="Times New Roman"/>
          <w:color w:val="000000"/>
          <w:sz w:val="24"/>
          <w:szCs w:val="24"/>
          <w:lang w:eastAsia="hu-HU"/>
        </w:rPr>
        <w:footnoteReference w:id="24"/>
      </w:r>
      <w:r>
        <w:rPr>
          <w:rFonts w:ascii="Times New Roman" w:eastAsia="Times New Roman" w:hAnsi="Times New Roman" w:cs="Times New Roman"/>
          <w:color w:val="000000"/>
          <w:sz w:val="24"/>
          <w:szCs w:val="24"/>
          <w:lang w:eastAsia="hu-HU"/>
        </w:rPr>
        <w:t xml:space="preserve"> </w:t>
      </w:r>
      <w:r w:rsidR="00A85312">
        <w:rPr>
          <w:rFonts w:ascii="Times New Roman" w:eastAsia="Times New Roman" w:hAnsi="Times New Roman" w:cs="Times New Roman"/>
          <w:color w:val="000000"/>
          <w:sz w:val="24"/>
          <w:szCs w:val="24"/>
          <w:lang w:eastAsia="hu-HU"/>
        </w:rPr>
        <w:t>A korábbi közalkalmazotti szféra felaprózódásával ez a terület a kollektív alku szempontjából is rendkívül eltérő szabályok alá esik.</w:t>
      </w:r>
    </w:p>
    <w:p w14:paraId="05694782" w14:textId="73386134" w:rsidR="00A85312" w:rsidRDefault="00A85312" w:rsidP="00A85312">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Mt. hatálya alá kerülő intézményekben az Mt. általános szabályai szerint folytatható kollektív alku. Ezekről ebből eredően az alábbiakban részletesen nem írunk.</w:t>
      </w:r>
    </w:p>
    <w:p w14:paraId="69E28D6D" w14:textId="77777777" w:rsidR="00A85312" w:rsidRDefault="00A85312" w:rsidP="00A85312">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Kjt. hatálya alatt maradó munkáltatók esetén a Kjt. speciális rendelkezéseket ír elő a kollektív szerződésekre.</w:t>
      </w:r>
    </w:p>
    <w:p w14:paraId="2CCCACF1" w14:textId="48DBBD2C" w:rsidR="00A85312" w:rsidRDefault="00A85312" w:rsidP="00A85312">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külön törvény alá kerülő köznevelés esetén </w:t>
      </w:r>
      <w:r w:rsidRPr="00A85312">
        <w:rPr>
          <w:rFonts w:ascii="Times New Roman" w:eastAsia="Times New Roman" w:hAnsi="Times New Roman" w:cs="Times New Roman"/>
          <w:color w:val="000000"/>
          <w:sz w:val="24"/>
          <w:szCs w:val="24"/>
          <w:lang w:eastAsia="hu-HU"/>
        </w:rPr>
        <w:t>a pedagógusok új életpályájáról</w:t>
      </w:r>
      <w:r>
        <w:rPr>
          <w:rFonts w:ascii="Times New Roman" w:eastAsia="Times New Roman" w:hAnsi="Times New Roman" w:cs="Times New Roman"/>
          <w:color w:val="000000"/>
          <w:sz w:val="24"/>
          <w:szCs w:val="24"/>
          <w:lang w:eastAsia="hu-HU"/>
        </w:rPr>
        <w:t xml:space="preserve"> </w:t>
      </w:r>
      <w:r w:rsidRPr="00A85312">
        <w:rPr>
          <w:rFonts w:ascii="Times New Roman" w:eastAsia="Times New Roman" w:hAnsi="Times New Roman" w:cs="Times New Roman"/>
          <w:color w:val="000000"/>
          <w:sz w:val="24"/>
          <w:szCs w:val="24"/>
          <w:lang w:eastAsia="hu-HU"/>
        </w:rPr>
        <w:t>szóló 2023. évi LII. törvény</w:t>
      </w:r>
      <w:r>
        <w:rPr>
          <w:rFonts w:ascii="Times New Roman" w:eastAsia="Times New Roman" w:hAnsi="Times New Roman" w:cs="Times New Roman"/>
          <w:color w:val="000000"/>
          <w:sz w:val="24"/>
          <w:szCs w:val="24"/>
          <w:lang w:eastAsia="hu-HU"/>
        </w:rPr>
        <w:t xml:space="preserve"> (a továbbiakban: Péptv.) tartalmaz az Mt.-hez hasonló, de annál némileg korlátozóbb szabályokat.</w:t>
      </w:r>
    </w:p>
    <w:p w14:paraId="43837FD0" w14:textId="43AF70F1" w:rsidR="00A85312" w:rsidRPr="00A85312" w:rsidRDefault="00A85312" w:rsidP="00A85312">
      <w:pPr>
        <w:pStyle w:val="Listaszerbekezds"/>
        <w:numPr>
          <w:ilvl w:val="0"/>
          <w:numId w:val="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közegészségügyben az egészségügyi szolgálat jogviszonyról szóló 2020. évi C. törvény (a továbbiakban: Eszjtv.) hatálya alatt nem lehet kollektív szerződést kötni.</w:t>
      </w:r>
    </w:p>
    <w:p w14:paraId="532C1BAD" w14:textId="6E9AD302" w:rsidR="00185697" w:rsidRDefault="00185697" w:rsidP="0018569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Pr="007868A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Kjt.</w:t>
      </w:r>
      <w:r w:rsidRPr="007868A2">
        <w:rPr>
          <w:rFonts w:ascii="Times New Roman" w:eastAsia="Times New Roman" w:hAnsi="Times New Roman" w:cs="Times New Roman"/>
          <w:color w:val="000000"/>
          <w:sz w:val="24"/>
          <w:szCs w:val="24"/>
          <w:lang w:eastAsia="hu-HU"/>
        </w:rPr>
        <w:t xml:space="preserve"> hatálya alatt köthető kollektív szerződés – az Mt.-ben meghatározott feltételekkel –, ám a kollektív szerződés szabályozási tárgyköre jelentősen szűkebb, mint a munkaviszonyban. Így a kollektív szerződés a Kjt.-től és végrehajtási rendeleteitől csak akkor térhet el, ha az eltérésre ezek a jogszabályok kifejezett felhatalmazást adnak.</w:t>
      </w:r>
      <w:r w:rsidRPr="007868A2">
        <w:rPr>
          <w:rStyle w:val="Lbjegyzet-hivatkozs"/>
          <w:rFonts w:ascii="Times New Roman" w:eastAsia="Times New Roman" w:hAnsi="Times New Roman" w:cs="Times New Roman"/>
          <w:color w:val="000000"/>
          <w:sz w:val="24"/>
          <w:szCs w:val="24"/>
          <w:lang w:eastAsia="hu-HU"/>
        </w:rPr>
        <w:footnoteReference w:id="25"/>
      </w:r>
      <w:r w:rsidRPr="007868A2">
        <w:rPr>
          <w:rFonts w:ascii="Times New Roman" w:eastAsia="Times New Roman" w:hAnsi="Times New Roman" w:cs="Times New Roman"/>
          <w:color w:val="000000"/>
          <w:sz w:val="24"/>
          <w:szCs w:val="24"/>
          <w:lang w:eastAsia="hu-HU"/>
        </w:rPr>
        <w:t xml:space="preserve"> Első ránézésre az Mt. szabályaitól ugyanúgy megengedett az eltérés, mint a munkaviszonyban, ám ezt a Kjt. kiegészíti azzal a megkötéssel, hogy a kollektív szerződés az Mt. adott fejezetétől nem térhet el, ha a Kjt. az eltérő megállapodásra vonatkozó Mt.-beli rendelkezés alkalmazását kizárja.</w:t>
      </w:r>
      <w:r w:rsidRPr="007868A2">
        <w:rPr>
          <w:rStyle w:val="Lbjegyzet-hivatkozs"/>
          <w:rFonts w:ascii="Times New Roman" w:eastAsia="Times New Roman" w:hAnsi="Times New Roman" w:cs="Times New Roman"/>
          <w:color w:val="000000"/>
          <w:sz w:val="24"/>
          <w:szCs w:val="24"/>
          <w:lang w:eastAsia="hu-HU"/>
        </w:rPr>
        <w:footnoteReference w:id="26"/>
      </w:r>
      <w:r w:rsidRPr="007868A2">
        <w:rPr>
          <w:rFonts w:ascii="Times New Roman" w:eastAsia="Times New Roman" w:hAnsi="Times New Roman" w:cs="Times New Roman"/>
          <w:color w:val="000000"/>
          <w:sz w:val="24"/>
          <w:szCs w:val="24"/>
          <w:lang w:eastAsia="hu-HU"/>
        </w:rPr>
        <w:t xml:space="preserve"> Márpedig ilyen kizáró szabályt szinte minden fejezet kapcsán találunk. Például a munka díjazására vonatkozó rendelkezéseknél nincs eltérési lehetőség, mivel a kógens és relatív diszpozitív szabályokat felsoroló Mt. 165. § a Kjt. 80. § (1) bekezdése alapján nem alkalmazandó.</w:t>
      </w:r>
      <w:r w:rsidRPr="007868A2">
        <w:rPr>
          <w:rStyle w:val="Lbjegyzet-hivatkozs"/>
          <w:rFonts w:ascii="Times New Roman" w:eastAsia="Times New Roman" w:hAnsi="Times New Roman" w:cs="Times New Roman"/>
          <w:color w:val="000000"/>
          <w:sz w:val="24"/>
          <w:szCs w:val="24"/>
          <w:lang w:eastAsia="hu-HU"/>
        </w:rPr>
        <w:footnoteReference w:id="27"/>
      </w:r>
      <w:r w:rsidR="00A85312">
        <w:rPr>
          <w:rFonts w:ascii="Times New Roman" w:eastAsia="Times New Roman" w:hAnsi="Times New Roman" w:cs="Times New Roman"/>
          <w:color w:val="000000"/>
          <w:sz w:val="24"/>
          <w:szCs w:val="24"/>
          <w:lang w:eastAsia="hu-HU"/>
        </w:rPr>
        <w:t xml:space="preserve"> Ez összességében azt jelenti, hogy a Kjt. hatálya alá tartozó munkáltatónál az </w:t>
      </w:r>
      <w:r w:rsidRPr="007868A2">
        <w:rPr>
          <w:rFonts w:ascii="Times New Roman" w:eastAsia="Times New Roman" w:hAnsi="Times New Roman" w:cs="Times New Roman"/>
          <w:color w:val="000000"/>
          <w:sz w:val="24"/>
          <w:szCs w:val="24"/>
          <w:lang w:eastAsia="hu-HU"/>
        </w:rPr>
        <w:t>Mt. mindössze két fejezetétől lehet eltérni</w:t>
      </w:r>
      <w:r w:rsidR="00A85312">
        <w:rPr>
          <w:rFonts w:ascii="Times New Roman" w:eastAsia="Times New Roman" w:hAnsi="Times New Roman" w:cs="Times New Roman"/>
          <w:color w:val="000000"/>
          <w:sz w:val="24"/>
          <w:szCs w:val="24"/>
          <w:lang w:eastAsia="hu-HU"/>
        </w:rPr>
        <w:t xml:space="preserve"> a kollektív szerződésben</w:t>
      </w:r>
      <w:r w:rsidRPr="007868A2">
        <w:rPr>
          <w:rFonts w:ascii="Times New Roman" w:eastAsia="Times New Roman" w:hAnsi="Times New Roman" w:cs="Times New Roman"/>
          <w:color w:val="000000"/>
          <w:sz w:val="24"/>
          <w:szCs w:val="24"/>
          <w:lang w:eastAsia="hu-HU"/>
        </w:rPr>
        <w:t>: a munkáltató személyében bekövetkező változás</w:t>
      </w:r>
      <w:r w:rsidR="00F5499C">
        <w:rPr>
          <w:rFonts w:ascii="Times New Roman" w:eastAsia="Times New Roman" w:hAnsi="Times New Roman" w:cs="Times New Roman"/>
          <w:color w:val="000000"/>
          <w:sz w:val="24"/>
          <w:szCs w:val="24"/>
          <w:lang w:eastAsia="hu-HU"/>
        </w:rPr>
        <w:t xml:space="preserve">, illetve </w:t>
      </w:r>
      <w:r w:rsidRPr="007868A2">
        <w:rPr>
          <w:rFonts w:ascii="Times New Roman" w:eastAsia="Times New Roman" w:hAnsi="Times New Roman" w:cs="Times New Roman"/>
          <w:color w:val="000000"/>
          <w:sz w:val="24"/>
          <w:szCs w:val="24"/>
          <w:lang w:eastAsia="hu-HU"/>
        </w:rPr>
        <w:t>a munka- és pihenőidő fejezetek</w:t>
      </w:r>
      <w:r w:rsidR="00A85312">
        <w:rPr>
          <w:rFonts w:ascii="Times New Roman" w:eastAsia="Times New Roman" w:hAnsi="Times New Roman" w:cs="Times New Roman"/>
          <w:color w:val="000000"/>
          <w:sz w:val="24"/>
          <w:szCs w:val="24"/>
          <w:lang w:eastAsia="hu-HU"/>
        </w:rPr>
        <w:t xml:space="preserve"> esetén</w:t>
      </w:r>
      <w:r w:rsidRPr="007868A2">
        <w:rPr>
          <w:rFonts w:ascii="Times New Roman" w:eastAsia="Times New Roman" w:hAnsi="Times New Roman" w:cs="Times New Roman"/>
          <w:color w:val="000000"/>
          <w:sz w:val="24"/>
          <w:szCs w:val="24"/>
          <w:lang w:eastAsia="hu-HU"/>
        </w:rPr>
        <w:t>. Minden más fejezet teljes egészében eltérést nem engedő (kógens). Ez a rendszer jelentősen szűkíti a felek mozgásterét, hiszen nincs mód a</w:t>
      </w:r>
      <w:r w:rsidR="00A85312">
        <w:rPr>
          <w:rFonts w:ascii="Times New Roman" w:eastAsia="Times New Roman" w:hAnsi="Times New Roman" w:cs="Times New Roman"/>
          <w:color w:val="000000"/>
          <w:sz w:val="24"/>
          <w:szCs w:val="24"/>
          <w:lang w:eastAsia="hu-HU"/>
        </w:rPr>
        <w:t xml:space="preserve">z Mt.-től </w:t>
      </w:r>
      <w:r w:rsidRPr="007868A2">
        <w:rPr>
          <w:rFonts w:ascii="Times New Roman" w:eastAsia="Times New Roman" w:hAnsi="Times New Roman" w:cs="Times New Roman"/>
          <w:color w:val="000000"/>
          <w:sz w:val="24"/>
          <w:szCs w:val="24"/>
          <w:lang w:eastAsia="hu-HU"/>
        </w:rPr>
        <w:t xml:space="preserve">való bármiféle eltérésre olyan stratégiai fontosságú területeken, mint a jogviszony megszüntetése, </w:t>
      </w:r>
      <w:r w:rsidRPr="007868A2">
        <w:rPr>
          <w:rFonts w:ascii="Times New Roman" w:eastAsia="Times New Roman" w:hAnsi="Times New Roman" w:cs="Times New Roman"/>
          <w:color w:val="000000"/>
          <w:sz w:val="24"/>
          <w:szCs w:val="24"/>
          <w:lang w:eastAsia="hu-HU"/>
        </w:rPr>
        <w:lastRenderedPageBreak/>
        <w:t xml:space="preserve">vagy a </w:t>
      </w:r>
      <w:r w:rsidRPr="00D52E0C">
        <w:rPr>
          <w:rFonts w:ascii="Times New Roman" w:eastAsia="Times New Roman" w:hAnsi="Times New Roman" w:cs="Times New Roman"/>
          <w:color w:val="000000"/>
          <w:sz w:val="24"/>
          <w:szCs w:val="24"/>
          <w:lang w:eastAsia="hu-HU"/>
        </w:rPr>
        <w:t>díjazás. Ezek alól csak az a néhány rendelkezés kivétel, ahol maga a Kjt. teszi lehetővé az eltérést. A javaslatunk a kollektív alku tárgykörének jelentős bővítése, azzal, hogy ahol ez költségvetési szempontból érzékeny lehet, ott a törvény az Mt.-hez képest ennek szigorúbb határokat szabhatna.</w:t>
      </w:r>
    </w:p>
    <w:p w14:paraId="748001BD" w14:textId="13E25F07" w:rsidR="00B34828" w:rsidRDefault="00B34828" w:rsidP="0018569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köznevelésre 2024. január 1-jétől hatályos szabályozás lényegében az Mt.-vel azonosan rendezi a kollektív szerződésekre vonatkozó szabályokat.</w:t>
      </w:r>
      <w:r w:rsidR="00820B35">
        <w:rPr>
          <w:rStyle w:val="Lbjegyzet-hivatkozs"/>
          <w:rFonts w:ascii="Times New Roman" w:eastAsia="Times New Roman" w:hAnsi="Times New Roman" w:cs="Times New Roman"/>
          <w:color w:val="000000"/>
          <w:sz w:val="24"/>
          <w:szCs w:val="24"/>
          <w:lang w:eastAsia="hu-HU"/>
        </w:rPr>
        <w:footnoteReference w:id="28"/>
      </w:r>
      <w:r>
        <w:rPr>
          <w:rFonts w:ascii="Times New Roman" w:eastAsia="Times New Roman" w:hAnsi="Times New Roman" w:cs="Times New Roman"/>
          <w:color w:val="000000"/>
          <w:sz w:val="24"/>
          <w:szCs w:val="24"/>
          <w:lang w:eastAsia="hu-HU"/>
        </w:rPr>
        <w:t xml:space="preserve"> Fontos kivétel azonban, hogy </w:t>
      </w:r>
      <w:r w:rsidRPr="00B34828">
        <w:rPr>
          <w:rFonts w:ascii="Times New Roman" w:eastAsia="Times New Roman" w:hAnsi="Times New Roman" w:cs="Times New Roman"/>
          <w:color w:val="000000"/>
          <w:sz w:val="24"/>
          <w:szCs w:val="24"/>
          <w:lang w:eastAsia="hu-HU"/>
        </w:rPr>
        <w:t xml:space="preserve">a köznevelési foglalkoztatotti jogviszony vonatkozásában a törvényi és rendeleti szintű szabályozás elsődlegessége érvényesül, </w:t>
      </w:r>
      <w:r>
        <w:rPr>
          <w:rFonts w:ascii="Times New Roman" w:eastAsia="Times New Roman" w:hAnsi="Times New Roman" w:cs="Times New Roman"/>
          <w:color w:val="000000"/>
          <w:sz w:val="24"/>
          <w:szCs w:val="24"/>
          <w:lang w:eastAsia="hu-HU"/>
        </w:rPr>
        <w:t>így a k</w:t>
      </w:r>
      <w:r w:rsidRPr="00B34828">
        <w:rPr>
          <w:rFonts w:ascii="Times New Roman" w:eastAsia="Times New Roman" w:hAnsi="Times New Roman" w:cs="Times New Roman"/>
          <w:color w:val="000000"/>
          <w:sz w:val="24"/>
          <w:szCs w:val="24"/>
          <w:lang w:eastAsia="hu-HU"/>
        </w:rPr>
        <w:t xml:space="preserve">ollektív szerződés </w:t>
      </w:r>
      <w:r>
        <w:rPr>
          <w:rFonts w:ascii="Times New Roman" w:eastAsia="Times New Roman" w:hAnsi="Times New Roman" w:cs="Times New Roman"/>
          <w:color w:val="000000"/>
          <w:sz w:val="24"/>
          <w:szCs w:val="24"/>
          <w:lang w:eastAsia="hu-HU"/>
        </w:rPr>
        <w:t>a Péptv.</w:t>
      </w:r>
      <w:r w:rsidRPr="00B34828">
        <w:rPr>
          <w:rFonts w:ascii="Times New Roman" w:eastAsia="Times New Roman" w:hAnsi="Times New Roman" w:cs="Times New Roman"/>
          <w:color w:val="000000"/>
          <w:sz w:val="24"/>
          <w:szCs w:val="24"/>
          <w:lang w:eastAsia="hu-HU"/>
        </w:rPr>
        <w:t xml:space="preserve"> és </w:t>
      </w:r>
      <w:r>
        <w:rPr>
          <w:rFonts w:ascii="Times New Roman" w:eastAsia="Times New Roman" w:hAnsi="Times New Roman" w:cs="Times New Roman"/>
          <w:color w:val="000000"/>
          <w:sz w:val="24"/>
          <w:szCs w:val="24"/>
          <w:lang w:eastAsia="hu-HU"/>
        </w:rPr>
        <w:t>a</w:t>
      </w:r>
      <w:r w:rsidRPr="00B34828">
        <w:rPr>
          <w:rFonts w:ascii="Times New Roman" w:eastAsia="Times New Roman" w:hAnsi="Times New Roman" w:cs="Times New Roman"/>
          <w:color w:val="000000"/>
          <w:sz w:val="24"/>
          <w:szCs w:val="24"/>
          <w:lang w:eastAsia="hu-HU"/>
        </w:rPr>
        <w:t xml:space="preserve"> felhatalmazása alapján kiadott rendeletek előírásaitól </w:t>
      </w:r>
      <w:r>
        <w:rPr>
          <w:rFonts w:ascii="Times New Roman" w:eastAsia="Times New Roman" w:hAnsi="Times New Roman" w:cs="Times New Roman"/>
          <w:color w:val="000000"/>
          <w:sz w:val="24"/>
          <w:szCs w:val="24"/>
          <w:lang w:eastAsia="hu-HU"/>
        </w:rPr>
        <w:t xml:space="preserve">csak </w:t>
      </w:r>
      <w:r w:rsidRPr="00B34828">
        <w:rPr>
          <w:rFonts w:ascii="Times New Roman" w:eastAsia="Times New Roman" w:hAnsi="Times New Roman" w:cs="Times New Roman"/>
          <w:color w:val="000000"/>
          <w:sz w:val="24"/>
          <w:szCs w:val="24"/>
          <w:lang w:eastAsia="hu-HU"/>
        </w:rPr>
        <w:t>akkor térhet el, ha erre e jogszabályok felhatalmazást adnak.</w:t>
      </w:r>
      <w:r w:rsidRPr="00B34828">
        <w:t xml:space="preserve"> </w:t>
      </w:r>
      <w:r w:rsidRPr="00B34828">
        <w:rPr>
          <w:rFonts w:ascii="Times New Roman" w:eastAsia="Times New Roman" w:hAnsi="Times New Roman" w:cs="Times New Roman"/>
          <w:color w:val="000000"/>
          <w:sz w:val="24"/>
          <w:szCs w:val="24"/>
          <w:lang w:eastAsia="hu-HU"/>
        </w:rPr>
        <w:t xml:space="preserve">A köznevelés területén létesített munkaviszonyra vonatkozóan </w:t>
      </w:r>
      <w:r>
        <w:rPr>
          <w:rFonts w:ascii="Times New Roman" w:eastAsia="Times New Roman" w:hAnsi="Times New Roman" w:cs="Times New Roman"/>
          <w:color w:val="000000"/>
          <w:sz w:val="24"/>
          <w:szCs w:val="24"/>
          <w:lang w:eastAsia="hu-HU"/>
        </w:rPr>
        <w:t xml:space="preserve">pedig </w:t>
      </w:r>
      <w:r w:rsidRPr="00B34828">
        <w:rPr>
          <w:rFonts w:ascii="Times New Roman" w:eastAsia="Times New Roman" w:hAnsi="Times New Roman" w:cs="Times New Roman"/>
          <w:color w:val="000000"/>
          <w:sz w:val="24"/>
          <w:szCs w:val="24"/>
          <w:lang w:eastAsia="hu-HU"/>
        </w:rPr>
        <w:t xml:space="preserve">az Mt.-től az ott meghatározottak szerint lehet, a II–III. és V. Fejezetben foglaltaktól </w:t>
      </w:r>
      <w:r>
        <w:rPr>
          <w:rFonts w:ascii="Times New Roman" w:eastAsia="Times New Roman" w:hAnsi="Times New Roman" w:cs="Times New Roman"/>
          <w:color w:val="000000"/>
          <w:sz w:val="24"/>
          <w:szCs w:val="24"/>
          <w:lang w:eastAsia="hu-HU"/>
        </w:rPr>
        <w:t xml:space="preserve">viszont </w:t>
      </w:r>
      <w:r w:rsidRPr="00B34828">
        <w:rPr>
          <w:rFonts w:ascii="Times New Roman" w:eastAsia="Times New Roman" w:hAnsi="Times New Roman" w:cs="Times New Roman"/>
          <w:color w:val="000000"/>
          <w:sz w:val="24"/>
          <w:szCs w:val="24"/>
          <w:lang w:eastAsia="hu-HU"/>
        </w:rPr>
        <w:t>nem lehet eltérni.</w:t>
      </w:r>
      <w:r>
        <w:rPr>
          <w:rStyle w:val="Lbjegyzet-hivatkozs"/>
          <w:rFonts w:ascii="Times New Roman" w:eastAsia="Times New Roman" w:hAnsi="Times New Roman" w:cs="Times New Roman"/>
          <w:color w:val="000000"/>
          <w:sz w:val="24"/>
          <w:szCs w:val="24"/>
          <w:lang w:eastAsia="hu-HU"/>
        </w:rPr>
        <w:footnoteReference w:id="29"/>
      </w:r>
      <w:r>
        <w:rPr>
          <w:rFonts w:ascii="Times New Roman" w:eastAsia="Times New Roman" w:hAnsi="Times New Roman" w:cs="Times New Roman"/>
          <w:color w:val="000000"/>
          <w:sz w:val="24"/>
          <w:szCs w:val="24"/>
          <w:lang w:eastAsia="hu-HU"/>
        </w:rPr>
        <w:t xml:space="preserve"> Ez a megoldás tehát a köznevelési foglalkoztatási jogviszony esetén a Kjt.-hez </w:t>
      </w:r>
      <w:r w:rsidR="00820B35">
        <w:rPr>
          <w:rFonts w:ascii="Times New Roman" w:eastAsia="Times New Roman" w:hAnsi="Times New Roman" w:cs="Times New Roman"/>
          <w:color w:val="000000"/>
          <w:sz w:val="24"/>
          <w:szCs w:val="24"/>
          <w:lang w:eastAsia="hu-HU"/>
        </w:rPr>
        <w:t>képest korlátozottabb mozgásteret ad a kollektív alkunak</w:t>
      </w:r>
      <w:r>
        <w:rPr>
          <w:rFonts w:ascii="Times New Roman" w:eastAsia="Times New Roman" w:hAnsi="Times New Roman" w:cs="Times New Roman"/>
          <w:color w:val="000000"/>
          <w:sz w:val="24"/>
          <w:szCs w:val="24"/>
          <w:lang w:eastAsia="hu-HU"/>
        </w:rPr>
        <w:t xml:space="preserve"> </w:t>
      </w:r>
      <w:r w:rsidR="00820B35">
        <w:rPr>
          <w:rFonts w:ascii="Times New Roman" w:eastAsia="Times New Roman" w:hAnsi="Times New Roman" w:cs="Times New Roman"/>
          <w:color w:val="000000"/>
          <w:sz w:val="24"/>
          <w:szCs w:val="24"/>
          <w:lang w:eastAsia="hu-HU"/>
        </w:rPr>
        <w:t>(hiszen az</w:t>
      </w:r>
      <w:r>
        <w:rPr>
          <w:rFonts w:ascii="Times New Roman" w:eastAsia="Times New Roman" w:hAnsi="Times New Roman" w:cs="Times New Roman"/>
          <w:color w:val="000000"/>
          <w:sz w:val="24"/>
          <w:szCs w:val="24"/>
          <w:lang w:eastAsia="hu-HU"/>
        </w:rPr>
        <w:t xml:space="preserve"> Mt.-től, mivel nem általánosan alkalmazandó háttérszabály, itt egyáltalán nem lehet eltérni), a köznevelésben munkaviszonyban dolgozók esetében pedig </w:t>
      </w:r>
      <w:r w:rsidR="00820B35">
        <w:rPr>
          <w:rFonts w:ascii="Times New Roman" w:eastAsia="Times New Roman" w:hAnsi="Times New Roman" w:cs="Times New Roman"/>
          <w:color w:val="000000"/>
          <w:sz w:val="24"/>
          <w:szCs w:val="24"/>
          <w:lang w:eastAsia="hu-HU"/>
        </w:rPr>
        <w:t>szintén szűkebb a szabályozási tárgykör, mint az Mt. esetében.</w:t>
      </w:r>
      <w:r w:rsidR="00F5499C">
        <w:rPr>
          <w:rFonts w:ascii="Times New Roman" w:eastAsia="Times New Roman" w:hAnsi="Times New Roman" w:cs="Times New Roman"/>
          <w:color w:val="000000"/>
          <w:sz w:val="24"/>
          <w:szCs w:val="24"/>
          <w:lang w:eastAsia="hu-HU"/>
        </w:rPr>
        <w:t xml:space="preserve"> A szabályozást a Kjt. hatálya alatti kollektív alkuval egyezően javasolt kialakítani.</w:t>
      </w:r>
    </w:p>
    <w:p w14:paraId="793BD082" w14:textId="17F242C4" w:rsidR="00185697" w:rsidRPr="007868A2" w:rsidRDefault="00185697" w:rsidP="00185697">
      <w:pPr>
        <w:spacing w:after="0" w:line="360"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 fentieken túl további korlátozást jelent, hogy a közegészségügyben 2021. január 1-jétől nem köthető kollektív szerződés, az ekkor hatályos kollektív szerződések pedig – a törvény erejénél fogva – hatályon kívül kerültek.</w:t>
      </w:r>
      <w:r w:rsidRPr="007868A2">
        <w:rPr>
          <w:rStyle w:val="Lbjegyzet-hivatkozs"/>
          <w:rFonts w:ascii="Times New Roman" w:eastAsia="Times New Roman" w:hAnsi="Times New Roman" w:cs="Times New Roman"/>
          <w:color w:val="000000"/>
          <w:sz w:val="24"/>
          <w:szCs w:val="24"/>
          <w:lang w:eastAsia="hu-HU"/>
        </w:rPr>
        <w:footnoteReference w:id="30"/>
      </w:r>
      <w:r w:rsidRPr="007868A2">
        <w:rPr>
          <w:rFonts w:ascii="Times New Roman" w:eastAsia="Times New Roman" w:hAnsi="Times New Roman" w:cs="Times New Roman"/>
          <w:color w:val="000000"/>
          <w:sz w:val="24"/>
          <w:szCs w:val="24"/>
          <w:lang w:eastAsia="hu-HU"/>
        </w:rPr>
        <w:t xml:space="preserve"> A</w:t>
      </w:r>
      <w:r w:rsidR="00820B35">
        <w:rPr>
          <w:rFonts w:ascii="Times New Roman" w:eastAsia="Times New Roman" w:hAnsi="Times New Roman" w:cs="Times New Roman"/>
          <w:color w:val="000000"/>
          <w:sz w:val="24"/>
          <w:szCs w:val="24"/>
          <w:lang w:eastAsia="hu-HU"/>
        </w:rPr>
        <w:t xml:space="preserve"> 2. pontban kifejtettek alapján, </w:t>
      </w:r>
      <w:r w:rsidRPr="007868A2">
        <w:rPr>
          <w:rFonts w:ascii="Times New Roman" w:eastAsia="Times New Roman" w:hAnsi="Times New Roman" w:cs="Times New Roman"/>
          <w:color w:val="000000"/>
          <w:sz w:val="24"/>
          <w:szCs w:val="24"/>
          <w:lang w:eastAsia="hu-HU"/>
        </w:rPr>
        <w:t>ez a kategorikus tilalom, illetve nyers beavatkozás a már megkötött kollektív szerződésekbe ellentétes a kollektív alku jogával, amit a</w:t>
      </w:r>
      <w:r w:rsidR="00820B35">
        <w:rPr>
          <w:rFonts w:ascii="Times New Roman" w:eastAsia="Times New Roman" w:hAnsi="Times New Roman" w:cs="Times New Roman"/>
          <w:color w:val="000000"/>
          <w:sz w:val="24"/>
          <w:szCs w:val="24"/>
          <w:lang w:eastAsia="hu-HU"/>
        </w:rPr>
        <w:t>z ILO</w:t>
      </w:r>
      <w:r w:rsidRPr="007868A2">
        <w:rPr>
          <w:rFonts w:ascii="Times New Roman" w:eastAsia="Times New Roman" w:hAnsi="Times New Roman" w:cs="Times New Roman"/>
          <w:color w:val="000000"/>
          <w:sz w:val="24"/>
          <w:szCs w:val="24"/>
          <w:lang w:eastAsia="hu-HU"/>
        </w:rPr>
        <w:t xml:space="preserve"> Szervezkedési Szabadság Bizottsága meg is állapított 3399. számú döntésében (2022).</w:t>
      </w:r>
      <w:r w:rsidR="00820B35">
        <w:rPr>
          <w:rFonts w:ascii="Times New Roman" w:eastAsia="Times New Roman" w:hAnsi="Times New Roman" w:cs="Times New Roman"/>
          <w:color w:val="000000"/>
          <w:sz w:val="24"/>
          <w:szCs w:val="24"/>
          <w:lang w:eastAsia="hu-HU"/>
        </w:rPr>
        <w:t xml:space="preserve"> A közegészségügy nem minősül ugyanis a közszolgálat olyan területének, ahol a Magyarország által ratifikált ILO Egyezmények alapján mód lenne a kollektív alku jogának korlátozására, nemhogy kizárására.</w:t>
      </w:r>
      <w:r w:rsidRPr="007868A2">
        <w:rPr>
          <w:rStyle w:val="Lbjegyzet-hivatkozs"/>
          <w:rFonts w:ascii="Times New Roman" w:eastAsia="Times New Roman" w:hAnsi="Times New Roman" w:cs="Times New Roman"/>
          <w:color w:val="000000"/>
          <w:sz w:val="24"/>
          <w:szCs w:val="24"/>
          <w:lang w:eastAsia="hu-HU"/>
        </w:rPr>
        <w:footnoteReference w:id="31"/>
      </w:r>
      <w:r w:rsidRPr="007868A2">
        <w:rPr>
          <w:rFonts w:ascii="Times New Roman" w:eastAsia="Times New Roman" w:hAnsi="Times New Roman" w:cs="Times New Roman"/>
          <w:color w:val="000000"/>
          <w:sz w:val="24"/>
          <w:szCs w:val="24"/>
          <w:lang w:eastAsia="hu-HU"/>
        </w:rPr>
        <w:t xml:space="preserve"> Hozzátehetjük, ez a rendelkezés az Alaptörvény XVII. cikk (2) bekezdését is sérti, hiszen aligha lehet a kollektív alku, mint alkotmányos jog szükséges és arányos korlátozásának tekinteni a minden munkavállalóra kiterjedő teljes tilalmat. </w:t>
      </w:r>
      <w:r>
        <w:rPr>
          <w:rFonts w:ascii="Times New Roman" w:eastAsia="Times New Roman" w:hAnsi="Times New Roman" w:cs="Times New Roman"/>
          <w:color w:val="000000"/>
          <w:sz w:val="24"/>
          <w:szCs w:val="24"/>
          <w:lang w:eastAsia="hu-HU"/>
        </w:rPr>
        <w:t xml:space="preserve">Ezen a ponton álláspontunk szerint a jogalkotás vitathatatlan lépéskényszerben van: </w:t>
      </w:r>
      <w:r>
        <w:rPr>
          <w:rFonts w:ascii="Times New Roman" w:eastAsia="Times New Roman" w:hAnsi="Times New Roman" w:cs="Times New Roman"/>
          <w:color w:val="000000"/>
          <w:sz w:val="24"/>
          <w:szCs w:val="24"/>
          <w:lang w:eastAsia="hu-HU"/>
        </w:rPr>
        <w:lastRenderedPageBreak/>
        <w:t>mielőbb fel kell oldani az alapjogi kollíziót, és visszavezetni a kollektív szerződés jogintézményét az egészségügybe.</w:t>
      </w:r>
    </w:p>
    <w:p w14:paraId="5E2EAFD6" w14:textId="77777777" w:rsidR="00185697" w:rsidRDefault="00185697" w:rsidP="00185697">
      <w:pPr>
        <w:spacing w:after="0" w:line="360" w:lineRule="auto"/>
        <w:jc w:val="both"/>
        <w:rPr>
          <w:rFonts w:ascii="Times New Roman" w:eastAsia="Times New Roman" w:hAnsi="Times New Roman" w:cs="Times New Roman"/>
          <w:color w:val="000000"/>
          <w:sz w:val="24"/>
          <w:szCs w:val="24"/>
          <w:lang w:eastAsia="hu-HU"/>
        </w:rPr>
      </w:pPr>
    </w:p>
    <w:p w14:paraId="1F9ACEE9" w14:textId="6196894E" w:rsidR="00820B35" w:rsidRPr="00185697" w:rsidRDefault="00820B35" w:rsidP="00820B35">
      <w:pPr>
        <w:spacing w:after="0" w:line="360" w:lineRule="auto"/>
        <w:jc w:val="both"/>
        <w:rPr>
          <w:rFonts w:ascii="Times New Roman" w:eastAsia="Times New Roman" w:hAnsi="Times New Roman" w:cs="Times New Roman"/>
          <w:i/>
          <w:iCs/>
          <w:color w:val="000000"/>
          <w:sz w:val="24"/>
          <w:szCs w:val="24"/>
          <w:lang w:eastAsia="hu-HU"/>
        </w:rPr>
      </w:pPr>
      <w:r w:rsidRPr="00185697">
        <w:rPr>
          <w:rFonts w:ascii="Times New Roman" w:eastAsia="Times New Roman" w:hAnsi="Times New Roman" w:cs="Times New Roman"/>
          <w:i/>
          <w:iCs/>
          <w:color w:val="000000"/>
          <w:sz w:val="24"/>
          <w:szCs w:val="24"/>
          <w:lang w:eastAsia="hu-HU"/>
        </w:rPr>
        <w:t>3.</w:t>
      </w:r>
      <w:r>
        <w:rPr>
          <w:rFonts w:ascii="Times New Roman" w:eastAsia="Times New Roman" w:hAnsi="Times New Roman" w:cs="Times New Roman"/>
          <w:i/>
          <w:iCs/>
          <w:color w:val="000000"/>
          <w:sz w:val="24"/>
          <w:szCs w:val="24"/>
          <w:lang w:eastAsia="hu-HU"/>
        </w:rPr>
        <w:t>2</w:t>
      </w:r>
      <w:r w:rsidRPr="00185697">
        <w:rPr>
          <w:rFonts w:ascii="Times New Roman" w:eastAsia="Times New Roman" w:hAnsi="Times New Roman" w:cs="Times New Roman"/>
          <w:i/>
          <w:iCs/>
          <w:color w:val="000000"/>
          <w:sz w:val="24"/>
          <w:szCs w:val="24"/>
          <w:lang w:eastAsia="hu-HU"/>
        </w:rPr>
        <w:t xml:space="preserve">. </w:t>
      </w:r>
      <w:r>
        <w:rPr>
          <w:rFonts w:ascii="Times New Roman" w:eastAsia="Times New Roman" w:hAnsi="Times New Roman" w:cs="Times New Roman"/>
          <w:i/>
          <w:iCs/>
          <w:color w:val="000000"/>
          <w:sz w:val="24"/>
          <w:szCs w:val="24"/>
          <w:lang w:eastAsia="hu-HU"/>
        </w:rPr>
        <w:t>Közigazgatás</w:t>
      </w:r>
    </w:p>
    <w:p w14:paraId="1E71A6D9" w14:textId="43F91135" w:rsidR="0087200D" w:rsidRDefault="00820B35" w:rsidP="0087200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0E2EED" w:rsidRPr="007868A2">
        <w:rPr>
          <w:rFonts w:ascii="Times New Roman" w:eastAsia="Times New Roman" w:hAnsi="Times New Roman" w:cs="Times New Roman"/>
          <w:color w:val="000000"/>
          <w:sz w:val="24"/>
          <w:szCs w:val="24"/>
          <w:lang w:eastAsia="hu-HU"/>
        </w:rPr>
        <w:t xml:space="preserve"> közigazgatásban egyáltalán nem lehet kollektív szerződést kötni. </w:t>
      </w:r>
      <w:r w:rsidR="0087200D">
        <w:rPr>
          <w:rFonts w:ascii="Times New Roman" w:eastAsia="Times New Roman" w:hAnsi="Times New Roman" w:cs="Times New Roman"/>
          <w:color w:val="000000"/>
          <w:sz w:val="24"/>
          <w:szCs w:val="24"/>
          <w:lang w:eastAsia="hu-HU"/>
        </w:rPr>
        <w:t xml:space="preserve">Mivel Magyarország a 151. sz. </w:t>
      </w:r>
      <w:r w:rsidR="00F5499C">
        <w:rPr>
          <w:rFonts w:ascii="Times New Roman" w:eastAsia="Times New Roman" w:hAnsi="Times New Roman" w:cs="Times New Roman"/>
          <w:color w:val="000000"/>
          <w:sz w:val="24"/>
          <w:szCs w:val="24"/>
          <w:lang w:eastAsia="hu-HU"/>
        </w:rPr>
        <w:t xml:space="preserve">ILO </w:t>
      </w:r>
      <w:r w:rsidR="0087200D">
        <w:rPr>
          <w:rFonts w:ascii="Times New Roman" w:eastAsia="Times New Roman" w:hAnsi="Times New Roman" w:cs="Times New Roman"/>
          <w:color w:val="000000"/>
          <w:sz w:val="24"/>
          <w:szCs w:val="24"/>
          <w:lang w:eastAsia="hu-HU"/>
        </w:rPr>
        <w:t xml:space="preserve">Egyezményt is ratifikálta, a kollektív alku kizárására csak </w:t>
      </w:r>
      <w:r w:rsidR="0087200D" w:rsidRPr="0087200D">
        <w:rPr>
          <w:rFonts w:ascii="Times New Roman" w:eastAsia="Times New Roman" w:hAnsi="Times New Roman" w:cs="Times New Roman"/>
          <w:color w:val="000000"/>
          <w:sz w:val="24"/>
          <w:szCs w:val="24"/>
          <w:lang w:eastAsia="hu-HU"/>
        </w:rPr>
        <w:t>azon magas beosztású munkavállalók</w:t>
      </w:r>
      <w:r w:rsidR="0087200D">
        <w:rPr>
          <w:rFonts w:ascii="Times New Roman" w:eastAsia="Times New Roman" w:hAnsi="Times New Roman" w:cs="Times New Roman"/>
          <w:color w:val="000000"/>
          <w:sz w:val="24"/>
          <w:szCs w:val="24"/>
          <w:lang w:eastAsia="hu-HU"/>
        </w:rPr>
        <w:t xml:space="preserve"> esetén lenne lehetőség</w:t>
      </w:r>
      <w:r w:rsidR="0087200D" w:rsidRPr="0087200D">
        <w:rPr>
          <w:rFonts w:ascii="Times New Roman" w:eastAsia="Times New Roman" w:hAnsi="Times New Roman" w:cs="Times New Roman"/>
          <w:color w:val="000000"/>
          <w:sz w:val="24"/>
          <w:szCs w:val="24"/>
          <w:lang w:eastAsia="hu-HU"/>
        </w:rPr>
        <w:t>, akik</w:t>
      </w:r>
      <w:r w:rsidR="0087200D">
        <w:rPr>
          <w:rFonts w:ascii="Times New Roman" w:eastAsia="Times New Roman" w:hAnsi="Times New Roman" w:cs="Times New Roman"/>
          <w:color w:val="000000"/>
          <w:sz w:val="24"/>
          <w:szCs w:val="24"/>
          <w:lang w:eastAsia="hu-HU"/>
        </w:rPr>
        <w:t xml:space="preserve"> </w:t>
      </w:r>
      <w:r w:rsidR="0087200D" w:rsidRPr="0087200D">
        <w:rPr>
          <w:rFonts w:ascii="Times New Roman" w:eastAsia="Times New Roman" w:hAnsi="Times New Roman" w:cs="Times New Roman"/>
          <w:color w:val="000000"/>
          <w:sz w:val="24"/>
          <w:szCs w:val="24"/>
          <w:lang w:eastAsia="hu-HU"/>
        </w:rPr>
        <w:tab/>
        <w:t>általános ügydöntő vagy</w:t>
      </w:r>
      <w:r w:rsidR="0087200D">
        <w:rPr>
          <w:rFonts w:ascii="Times New Roman" w:eastAsia="Times New Roman" w:hAnsi="Times New Roman" w:cs="Times New Roman"/>
          <w:color w:val="000000"/>
          <w:sz w:val="24"/>
          <w:szCs w:val="24"/>
          <w:lang w:eastAsia="hu-HU"/>
        </w:rPr>
        <w:t xml:space="preserve"> </w:t>
      </w:r>
      <w:r w:rsidR="0087200D" w:rsidRPr="0087200D">
        <w:rPr>
          <w:rFonts w:ascii="Times New Roman" w:eastAsia="Times New Roman" w:hAnsi="Times New Roman" w:cs="Times New Roman"/>
          <w:color w:val="000000"/>
          <w:sz w:val="24"/>
          <w:szCs w:val="24"/>
          <w:lang w:eastAsia="hu-HU"/>
        </w:rPr>
        <w:t xml:space="preserve">vezető feladatokat látnak el, illetve </w:t>
      </w:r>
      <w:r w:rsidR="0087200D">
        <w:rPr>
          <w:rFonts w:ascii="Times New Roman" w:eastAsia="Times New Roman" w:hAnsi="Times New Roman" w:cs="Times New Roman"/>
          <w:color w:val="000000"/>
          <w:sz w:val="24"/>
          <w:szCs w:val="24"/>
          <w:lang w:eastAsia="hu-HU"/>
        </w:rPr>
        <w:t>a</w:t>
      </w:r>
      <w:r w:rsidR="0087200D" w:rsidRPr="0087200D">
        <w:rPr>
          <w:rFonts w:ascii="Times New Roman" w:eastAsia="Times New Roman" w:hAnsi="Times New Roman" w:cs="Times New Roman"/>
          <w:color w:val="000000"/>
          <w:sz w:val="24"/>
          <w:szCs w:val="24"/>
          <w:lang w:eastAsia="hu-HU"/>
        </w:rPr>
        <w:t>kiknek feladatai szigorúan bizalmas jellegűek</w:t>
      </w:r>
      <w:r w:rsidR="0087200D">
        <w:rPr>
          <w:rFonts w:ascii="Times New Roman" w:eastAsia="Times New Roman" w:hAnsi="Times New Roman" w:cs="Times New Roman"/>
          <w:color w:val="000000"/>
          <w:sz w:val="24"/>
          <w:szCs w:val="24"/>
          <w:lang w:eastAsia="hu-HU"/>
        </w:rPr>
        <w:t>.</w:t>
      </w:r>
      <w:r w:rsidR="0087200D" w:rsidRPr="0087200D">
        <w:rPr>
          <w:rFonts w:ascii="Times New Roman" w:eastAsia="Times New Roman" w:hAnsi="Times New Roman" w:cs="Times New Roman"/>
          <w:color w:val="000000"/>
          <w:sz w:val="24"/>
          <w:szCs w:val="24"/>
          <w:lang w:eastAsia="hu-HU"/>
        </w:rPr>
        <w:t xml:space="preserve"> </w:t>
      </w:r>
      <w:r w:rsidR="0087200D">
        <w:rPr>
          <w:rFonts w:ascii="Times New Roman" w:eastAsia="Times New Roman" w:hAnsi="Times New Roman" w:cs="Times New Roman"/>
          <w:color w:val="000000"/>
          <w:sz w:val="24"/>
          <w:szCs w:val="24"/>
          <w:lang w:eastAsia="hu-HU"/>
        </w:rPr>
        <w:t>Ráadásul a szabályozás n</w:t>
      </w:r>
      <w:r w:rsidR="0087200D" w:rsidRPr="007868A2">
        <w:rPr>
          <w:rFonts w:ascii="Times New Roman" w:eastAsia="Times New Roman" w:hAnsi="Times New Roman" w:cs="Times New Roman"/>
          <w:color w:val="000000"/>
          <w:sz w:val="24"/>
          <w:szCs w:val="24"/>
          <w:lang w:eastAsia="hu-HU"/>
        </w:rPr>
        <w:t xml:space="preserve">em koherens, mert a közigazgatási munkavállalók viszont </w:t>
      </w:r>
      <w:r w:rsidR="0087200D">
        <w:rPr>
          <w:rFonts w:ascii="Times New Roman" w:eastAsia="Times New Roman" w:hAnsi="Times New Roman" w:cs="Times New Roman"/>
          <w:color w:val="000000"/>
          <w:sz w:val="24"/>
          <w:szCs w:val="24"/>
          <w:lang w:eastAsia="hu-HU"/>
        </w:rPr>
        <w:t>valamennyi törvény hatálya alatt az</w:t>
      </w:r>
      <w:r w:rsidR="0087200D" w:rsidRPr="007868A2">
        <w:rPr>
          <w:rFonts w:ascii="Times New Roman" w:eastAsia="Times New Roman" w:hAnsi="Times New Roman" w:cs="Times New Roman"/>
          <w:color w:val="000000"/>
          <w:sz w:val="24"/>
          <w:szCs w:val="24"/>
          <w:lang w:eastAsia="hu-HU"/>
        </w:rPr>
        <w:t xml:space="preserve"> Mt. szerint jogosultak kollektív szerződést kötni.</w:t>
      </w:r>
      <w:r w:rsidR="0087200D">
        <w:rPr>
          <w:rFonts w:ascii="Times New Roman" w:eastAsia="Times New Roman" w:hAnsi="Times New Roman" w:cs="Times New Roman"/>
          <w:color w:val="000000"/>
          <w:sz w:val="24"/>
          <w:szCs w:val="24"/>
          <w:lang w:eastAsia="hu-HU"/>
        </w:rPr>
        <w:t xml:space="preserve"> Hozzá kell tenni, ez a jogállás meglehetősen parttalan, mivel egyik törvény sem határozza meg pontosan, milyen pozíciók tölthetők be munkaviszonyban, így ez nem csak a fizikai, kisegítő munkakörökben lehetséges, hanem a közhatalom gyakorlásával nem járó, de magas végzettséget igénylő feladatok esetén is (pl. informatika, pénzügyi terület).</w:t>
      </w:r>
    </w:p>
    <w:p w14:paraId="55F1D93B" w14:textId="77777777" w:rsidR="00C70987" w:rsidRDefault="0087200D" w:rsidP="0087200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nemzetközi egyezményekkel való összhang biztosítása céljából mindenképpen felül kell vizsgálni a jelenlegi szabályozást. Javasoljuk, hogy a civil közigazgatásban főszabály szerint legyen lehetőség a kollektív alkura</w:t>
      </w:r>
      <w:r w:rsidR="00C70987">
        <w:rPr>
          <w:rFonts w:ascii="Times New Roman" w:eastAsia="Times New Roman" w:hAnsi="Times New Roman" w:cs="Times New Roman"/>
          <w:color w:val="000000"/>
          <w:sz w:val="24"/>
          <w:szCs w:val="24"/>
          <w:lang w:eastAsia="hu-HU"/>
        </w:rPr>
        <w:t xml:space="preserve">, ami alól csak az ILO szerint megengedett magas beosztású pozíciókban (lényegében vezetők esetén) legyen kivétel. </w:t>
      </w:r>
    </w:p>
    <w:p w14:paraId="7FF1E2F2" w14:textId="7D443994" w:rsidR="0087200D" w:rsidRDefault="00C70987" w:rsidP="0087200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Ugyanakkor fenn kell tartani a közszolgálatra vonatkozó szabályozás kógens jellegét, azaz a kollektív szerződés csak kifejezett felhatalmazás esetén térhetne el a jogszabálytól. Ilyen felhatalmazás azonban számos esetben megadható volna. Hangsúlyozzuk, hogy hatályos közszolgálati jogunk jelenleg sem felel meg a kógens szabályozástól elvárható kiszámíthatóság, átláthatóság követelményének, mivel a szabályozás </w:t>
      </w:r>
      <w:r w:rsidR="0087200D">
        <w:rPr>
          <w:rFonts w:ascii="Times New Roman" w:eastAsia="Times New Roman" w:hAnsi="Times New Roman" w:cs="Times New Roman"/>
          <w:color w:val="000000"/>
          <w:sz w:val="24"/>
          <w:szCs w:val="24"/>
          <w:lang w:eastAsia="hu-HU"/>
        </w:rPr>
        <w:t>szinte parttalan munkáltatói hatalmat biztosít</w:t>
      </w:r>
      <w:r>
        <w:rPr>
          <w:rFonts w:ascii="Times New Roman" w:eastAsia="Times New Roman" w:hAnsi="Times New Roman" w:cs="Times New Roman"/>
          <w:color w:val="000000"/>
          <w:sz w:val="24"/>
          <w:szCs w:val="24"/>
          <w:lang w:eastAsia="hu-HU"/>
        </w:rPr>
        <w:t>. E</w:t>
      </w:r>
      <w:r w:rsidR="0087200D">
        <w:rPr>
          <w:rFonts w:ascii="Times New Roman" w:eastAsia="Times New Roman" w:hAnsi="Times New Roman" w:cs="Times New Roman"/>
          <w:color w:val="000000"/>
          <w:sz w:val="24"/>
          <w:szCs w:val="24"/>
          <w:lang w:eastAsia="hu-HU"/>
        </w:rPr>
        <w:t>legendő ehelyütt röviden utalni arra, hogy a munkáltató a kinevezés egyoldalú módosításával lényegében bármely munkafeltételt saját igényei szerint</w:t>
      </w:r>
      <w:r>
        <w:rPr>
          <w:rFonts w:ascii="Times New Roman" w:eastAsia="Times New Roman" w:hAnsi="Times New Roman" w:cs="Times New Roman"/>
          <w:color w:val="000000"/>
          <w:sz w:val="24"/>
          <w:szCs w:val="24"/>
          <w:lang w:eastAsia="hu-HU"/>
        </w:rPr>
        <w:t>, indokolás nélkül</w:t>
      </w:r>
      <w:r w:rsidR="0087200D">
        <w:rPr>
          <w:rFonts w:ascii="Times New Roman" w:eastAsia="Times New Roman" w:hAnsi="Times New Roman" w:cs="Times New Roman"/>
          <w:color w:val="000000"/>
          <w:sz w:val="24"/>
          <w:szCs w:val="24"/>
          <w:lang w:eastAsia="hu-HU"/>
        </w:rPr>
        <w:t xml:space="preserve"> alakít</w:t>
      </w:r>
      <w:r>
        <w:rPr>
          <w:rFonts w:ascii="Times New Roman" w:eastAsia="Times New Roman" w:hAnsi="Times New Roman" w:cs="Times New Roman"/>
          <w:color w:val="000000"/>
          <w:sz w:val="24"/>
          <w:szCs w:val="24"/>
          <w:lang w:eastAsia="hu-HU"/>
        </w:rPr>
        <w:t>hat</w:t>
      </w:r>
      <w:r w:rsidR="0087200D">
        <w:rPr>
          <w:rFonts w:ascii="Times New Roman" w:eastAsia="Times New Roman" w:hAnsi="Times New Roman" w:cs="Times New Roman"/>
          <w:color w:val="000000"/>
          <w:sz w:val="24"/>
          <w:szCs w:val="24"/>
          <w:lang w:eastAsia="hu-HU"/>
        </w:rPr>
        <w:t xml:space="preserve"> (pl. a munkakör vagy álláshely, a munkavégzés helye, a munkaidő mértéke, a jogviszony határozott vagy határozatlan jellege, a beosztás vezetői vagy nem vezetői jellege, vagy az illetmény mértéke).</w:t>
      </w:r>
      <w:r w:rsidR="002717AA">
        <w:rPr>
          <w:rStyle w:val="Lbjegyzet-hivatkozs"/>
          <w:rFonts w:ascii="Times New Roman" w:eastAsia="Times New Roman" w:hAnsi="Times New Roman" w:cs="Times New Roman"/>
          <w:color w:val="000000"/>
          <w:sz w:val="24"/>
          <w:szCs w:val="24"/>
          <w:lang w:eastAsia="hu-HU"/>
        </w:rPr>
        <w:footnoteReference w:id="32"/>
      </w:r>
      <w:r>
        <w:rPr>
          <w:rFonts w:ascii="Times New Roman" w:eastAsia="Times New Roman" w:hAnsi="Times New Roman" w:cs="Times New Roman"/>
          <w:color w:val="000000"/>
          <w:sz w:val="24"/>
          <w:szCs w:val="24"/>
          <w:lang w:eastAsia="hu-HU"/>
        </w:rPr>
        <w:t xml:space="preserve"> Utóbbi kapcsán, az újabb közszolgálati törvényeink olyan „sávos” illetményrendszert vezettek be, amely</w:t>
      </w:r>
      <w:r w:rsidRPr="007868A2">
        <w:rPr>
          <w:rFonts w:ascii="Times New Roman" w:eastAsia="Times New Roman" w:hAnsi="Times New Roman" w:cs="Times New Roman"/>
          <w:color w:val="000000"/>
          <w:sz w:val="24"/>
          <w:szCs w:val="24"/>
          <w:lang w:eastAsia="hu-HU"/>
        </w:rPr>
        <w:t xml:space="preserve"> az illetményt csak alsó- és felső határokkal</w:t>
      </w:r>
      <w:r>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lastRenderedPageBreak/>
        <w:t xml:space="preserve">rögzíti, de amely </w:t>
      </w:r>
      <w:r w:rsidR="00F5499C">
        <w:rPr>
          <w:rFonts w:ascii="Times New Roman" w:eastAsia="Times New Roman" w:hAnsi="Times New Roman" w:cs="Times New Roman"/>
          <w:color w:val="000000"/>
          <w:sz w:val="24"/>
          <w:szCs w:val="24"/>
          <w:lang w:eastAsia="hu-HU"/>
        </w:rPr>
        <w:t xml:space="preserve">(meglehetősen tág) </w:t>
      </w:r>
      <w:r>
        <w:rPr>
          <w:rFonts w:ascii="Times New Roman" w:eastAsia="Times New Roman" w:hAnsi="Times New Roman" w:cs="Times New Roman"/>
          <w:color w:val="000000"/>
          <w:sz w:val="24"/>
          <w:szCs w:val="24"/>
          <w:lang w:eastAsia="hu-HU"/>
        </w:rPr>
        <w:t>keretek között a munkáltató egyoldalúan dönt az illetmény mértékéről.</w:t>
      </w:r>
      <w:r w:rsidRPr="007868A2">
        <w:rPr>
          <w:rStyle w:val="Lbjegyzet-hivatkozs"/>
          <w:rFonts w:ascii="Times New Roman" w:eastAsia="Times New Roman" w:hAnsi="Times New Roman" w:cs="Times New Roman"/>
          <w:color w:val="000000"/>
          <w:sz w:val="24"/>
          <w:szCs w:val="24"/>
          <w:lang w:eastAsia="hu-HU"/>
        </w:rPr>
        <w:footnoteReference w:id="33"/>
      </w:r>
      <w:r>
        <w:rPr>
          <w:rFonts w:ascii="Times New Roman" w:eastAsia="Times New Roman" w:hAnsi="Times New Roman" w:cs="Times New Roman"/>
          <w:color w:val="000000"/>
          <w:sz w:val="24"/>
          <w:szCs w:val="24"/>
          <w:lang w:eastAsia="hu-HU"/>
        </w:rPr>
        <w:t xml:space="preserve"> </w:t>
      </w:r>
    </w:p>
    <w:p w14:paraId="07700830" w14:textId="3D61D0D6" w:rsidR="0087200D" w:rsidRDefault="00C70987" w:rsidP="0087200D">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Álláspontunk szerint a</w:t>
      </w:r>
      <w:r w:rsidR="0087200D">
        <w:rPr>
          <w:rFonts w:ascii="Times New Roman" w:eastAsia="Times New Roman" w:hAnsi="Times New Roman" w:cs="Times New Roman"/>
          <w:color w:val="000000"/>
          <w:sz w:val="24"/>
          <w:szCs w:val="24"/>
          <w:lang w:eastAsia="hu-HU"/>
        </w:rPr>
        <w:t xml:space="preserve"> kollektív szerződések fontos szerepet játszanának abban, hogy a jelenleg a munkáltató </w:t>
      </w:r>
      <w:r>
        <w:rPr>
          <w:rFonts w:ascii="Times New Roman" w:eastAsia="Times New Roman" w:hAnsi="Times New Roman" w:cs="Times New Roman"/>
          <w:color w:val="000000"/>
          <w:sz w:val="24"/>
          <w:szCs w:val="24"/>
          <w:lang w:eastAsia="hu-HU"/>
        </w:rPr>
        <w:t>szinte korlátlan</w:t>
      </w:r>
      <w:r w:rsidR="0087200D">
        <w:rPr>
          <w:rFonts w:ascii="Times New Roman" w:eastAsia="Times New Roman" w:hAnsi="Times New Roman" w:cs="Times New Roman"/>
          <w:color w:val="000000"/>
          <w:sz w:val="24"/>
          <w:szCs w:val="24"/>
          <w:lang w:eastAsia="hu-HU"/>
        </w:rPr>
        <w:t xml:space="preserve"> döntési szabadságára bízott kérdések átláthatóbbak, kiszámíthatóbbak legyenek, mint például az illetmény pontos meghatározása, a kinevezés munkáltatói módosításának lehetséges esetei, vagy az, mikor kell egy kötelezettségszegést fegyelmi eljárásban kivizsgálni, és mikor lehet anélkül is egyéb szankcióval élni (pl. felmentéssel, a kinevezés hátrányos egyoldalú módosításával).</w:t>
      </w:r>
      <w:r>
        <w:rPr>
          <w:rFonts w:ascii="Times New Roman" w:eastAsia="Times New Roman" w:hAnsi="Times New Roman" w:cs="Times New Roman"/>
          <w:color w:val="000000"/>
          <w:sz w:val="24"/>
          <w:szCs w:val="24"/>
          <w:lang w:eastAsia="hu-HU"/>
        </w:rPr>
        <w:t xml:space="preserve"> Mindez a jelenlegi rendszerhez képest azt a döntő különbséget hozná, hogy a tág jogszabályi keretek között nem a munkáltató dönthetne egyoldalúan a foglalkoztatási kérdésekről, hanem a tisztviselői oldallal közösen, kollektív szerződésben.</w:t>
      </w:r>
    </w:p>
    <w:p w14:paraId="3FF9C8FD" w14:textId="77777777" w:rsidR="00F1370B" w:rsidRDefault="00F1370B" w:rsidP="00C70987">
      <w:pPr>
        <w:spacing w:after="0" w:line="360" w:lineRule="auto"/>
        <w:jc w:val="both"/>
        <w:rPr>
          <w:rFonts w:ascii="Times New Roman" w:eastAsia="Times New Roman" w:hAnsi="Times New Roman" w:cs="Times New Roman"/>
          <w:i/>
          <w:iCs/>
          <w:color w:val="000000"/>
          <w:sz w:val="24"/>
          <w:szCs w:val="24"/>
          <w:lang w:eastAsia="hu-HU"/>
        </w:rPr>
      </w:pPr>
    </w:p>
    <w:p w14:paraId="189D8C8E" w14:textId="55808EF9" w:rsidR="00C70987" w:rsidRPr="00C70987" w:rsidRDefault="00C70987" w:rsidP="00C70987">
      <w:pPr>
        <w:spacing w:after="0" w:line="360" w:lineRule="auto"/>
        <w:jc w:val="both"/>
        <w:rPr>
          <w:rFonts w:ascii="Times New Roman" w:eastAsia="Times New Roman" w:hAnsi="Times New Roman" w:cs="Times New Roman"/>
          <w:i/>
          <w:iCs/>
          <w:color w:val="000000"/>
          <w:sz w:val="24"/>
          <w:szCs w:val="24"/>
          <w:lang w:eastAsia="hu-HU"/>
        </w:rPr>
      </w:pPr>
      <w:r w:rsidRPr="00C70987">
        <w:rPr>
          <w:rFonts w:ascii="Times New Roman" w:eastAsia="Times New Roman" w:hAnsi="Times New Roman" w:cs="Times New Roman"/>
          <w:i/>
          <w:iCs/>
          <w:color w:val="000000"/>
          <w:sz w:val="24"/>
          <w:szCs w:val="24"/>
          <w:lang w:eastAsia="hu-HU"/>
        </w:rPr>
        <w:t>3.3. Fegyveres szervek, rendvédelem</w:t>
      </w:r>
      <w:r w:rsidRPr="00C70987">
        <w:rPr>
          <w:rFonts w:ascii="Times New Roman" w:eastAsia="Times New Roman" w:hAnsi="Times New Roman" w:cs="Times New Roman"/>
          <w:i/>
          <w:iCs/>
          <w:color w:val="000000"/>
          <w:sz w:val="24"/>
          <w:szCs w:val="24"/>
          <w:lang w:eastAsia="hu-HU"/>
        </w:rPr>
        <w:tab/>
      </w:r>
    </w:p>
    <w:p w14:paraId="74D97593" w14:textId="12C8E5BB" w:rsidR="00F1370B" w:rsidRDefault="00F1370B" w:rsidP="00C7098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Ahogy a 2. pont alatt láthattuk, a fegyveres szervek és a rendőrség tekintetében az ILO nem tiltja a kollektív alku kizárását, tekintettel e szervek speciális tevékenységére. A magyar szabályozás e körben főszabály szerint nem biztosítja a kollektív alku jogát, a rendvédelmi szerveknél foglalkoztatott munkavállalók kivételével.</w:t>
      </w:r>
    </w:p>
    <w:p w14:paraId="27462A95" w14:textId="42BC18E9" w:rsidR="00F1370B" w:rsidRDefault="00F1370B" w:rsidP="00C7098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szabályozás felülvizsgálatát ezúttal is az ILO követelményeinek való megfelelés felől érdemes elkezdeni. Miközben 2019 óta a magyar jogban is külön jogállás alá esnek a honvédelmi és rendvédelmi igazgatási (civil) alkalmazottak,</w:t>
      </w:r>
      <w:r>
        <w:rPr>
          <w:rStyle w:val="Lbjegyzet-hivatkozs"/>
          <w:rFonts w:ascii="Times New Roman" w:eastAsia="Times New Roman" w:hAnsi="Times New Roman" w:cs="Times New Roman"/>
          <w:color w:val="000000"/>
          <w:sz w:val="24"/>
          <w:szCs w:val="24"/>
          <w:lang w:eastAsia="hu-HU"/>
        </w:rPr>
        <w:footnoteReference w:id="34"/>
      </w:r>
      <w:r>
        <w:rPr>
          <w:rFonts w:ascii="Times New Roman" w:eastAsia="Times New Roman" w:hAnsi="Times New Roman" w:cs="Times New Roman"/>
          <w:color w:val="000000"/>
          <w:sz w:val="24"/>
          <w:szCs w:val="24"/>
          <w:lang w:eastAsia="hu-HU"/>
        </w:rPr>
        <w:t xml:space="preserve"> a szabályozás az ő esetükben sem biztosítja a kollektív alku jogát. Ez nem felel meg az ILO joggyakorlatának, és a hazai szabályozás koherenciája céljából is szükséges lenne a kollektív szerződéskötés lehetőségét bevezetni valamennyi civil alkalmazott esetén.</w:t>
      </w:r>
    </w:p>
    <w:p w14:paraId="440FB244" w14:textId="77777777" w:rsidR="00F1370B" w:rsidRDefault="00F1370B" w:rsidP="00C70987">
      <w:pPr>
        <w:spacing w:after="0" w:line="360" w:lineRule="auto"/>
        <w:jc w:val="both"/>
        <w:rPr>
          <w:rFonts w:ascii="Times New Roman" w:eastAsia="Times New Roman" w:hAnsi="Times New Roman" w:cs="Times New Roman"/>
          <w:i/>
          <w:iCs/>
          <w:color w:val="000000"/>
          <w:sz w:val="24"/>
          <w:szCs w:val="24"/>
          <w:lang w:eastAsia="hu-HU"/>
        </w:rPr>
      </w:pPr>
    </w:p>
    <w:p w14:paraId="4972C3CA" w14:textId="78C8A285" w:rsidR="00C70987" w:rsidRPr="00C70987" w:rsidRDefault="00C70987" w:rsidP="00C70987">
      <w:pPr>
        <w:spacing w:after="0" w:line="360" w:lineRule="auto"/>
        <w:jc w:val="both"/>
        <w:rPr>
          <w:rFonts w:ascii="Times New Roman" w:eastAsia="Times New Roman" w:hAnsi="Times New Roman" w:cs="Times New Roman"/>
          <w:i/>
          <w:iCs/>
          <w:color w:val="000000"/>
          <w:sz w:val="24"/>
          <w:szCs w:val="24"/>
          <w:lang w:eastAsia="hu-HU"/>
        </w:rPr>
      </w:pPr>
      <w:r w:rsidRPr="00C70987">
        <w:rPr>
          <w:rFonts w:ascii="Times New Roman" w:eastAsia="Times New Roman" w:hAnsi="Times New Roman" w:cs="Times New Roman"/>
          <w:i/>
          <w:iCs/>
          <w:color w:val="000000"/>
          <w:sz w:val="24"/>
          <w:szCs w:val="24"/>
          <w:lang w:eastAsia="hu-HU"/>
        </w:rPr>
        <w:t>3.4. Igazságszolgáltatás</w:t>
      </w:r>
      <w:r w:rsidRPr="00C70987">
        <w:rPr>
          <w:rFonts w:ascii="Times New Roman" w:eastAsia="Times New Roman" w:hAnsi="Times New Roman" w:cs="Times New Roman"/>
          <w:i/>
          <w:iCs/>
          <w:color w:val="000000"/>
          <w:sz w:val="24"/>
          <w:szCs w:val="24"/>
          <w:lang w:eastAsia="hu-HU"/>
        </w:rPr>
        <w:tab/>
      </w:r>
    </w:p>
    <w:p w14:paraId="457F56F2" w14:textId="67AC966C" w:rsidR="00C70987" w:rsidRDefault="001C3E96" w:rsidP="00C7098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ILO nem követeli meg a kollektív alku jogának biztosítását a bíróságok esetén.</w:t>
      </w:r>
      <w:r>
        <w:rPr>
          <w:rStyle w:val="Lbjegyzet-hivatkozs"/>
          <w:rFonts w:ascii="Times New Roman" w:eastAsia="Times New Roman" w:hAnsi="Times New Roman" w:cs="Times New Roman"/>
          <w:color w:val="000000"/>
          <w:sz w:val="24"/>
          <w:szCs w:val="24"/>
          <w:lang w:eastAsia="hu-HU"/>
        </w:rPr>
        <w:footnoteReference w:id="35"/>
      </w:r>
      <w:r>
        <w:rPr>
          <w:rFonts w:ascii="Times New Roman" w:eastAsia="Times New Roman" w:hAnsi="Times New Roman" w:cs="Times New Roman"/>
          <w:color w:val="000000"/>
          <w:sz w:val="24"/>
          <w:szCs w:val="24"/>
          <w:lang w:eastAsia="hu-HU"/>
        </w:rPr>
        <w:t xml:space="preserve"> A kivételek szűk értelmezése alapján ez esetben is megfontolandó, hogy a tilalom ne terjedjen ki a bírónak vagy ügyésznek nem tekintendő egyéb igazságügyi alkalmazottakra (pl. fogalmazók, leírók, tanácsadók, funkcionális területen alkalmazottak).</w:t>
      </w:r>
    </w:p>
    <w:p w14:paraId="3BBA579E" w14:textId="1F865B30" w:rsidR="003B6741" w:rsidRPr="00F5499C" w:rsidRDefault="001C3E96" w:rsidP="00084D31">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Sajátos megoldással él a szabályozás az ügyészek esetén. Eszerint, az Mt.-ből, mint háttérjogszabályból a kollektív szerződésre vonatkozó szabályokat nem lehet alkalmazni, ám a</w:t>
      </w:r>
      <w:r w:rsidRPr="001C3E96">
        <w:rPr>
          <w:rFonts w:ascii="Times New Roman" w:eastAsia="Times New Roman" w:hAnsi="Times New Roman" w:cs="Times New Roman"/>
          <w:color w:val="000000"/>
          <w:sz w:val="24"/>
          <w:szCs w:val="24"/>
          <w:lang w:eastAsia="hu-HU"/>
        </w:rPr>
        <w:t xml:space="preserve">z ügyészségi alkalmazottak ügyészségi szolgálati viszonyával kapcsolatban a legfőbb ügyész – az érintett munkavállalói érdekképviseleti szervezetekkel egyetértésben – szabályokat állapíthat meg az olyan kérdésekben, amelyeket </w:t>
      </w:r>
      <w:r>
        <w:rPr>
          <w:rFonts w:ascii="Times New Roman" w:eastAsia="Times New Roman" w:hAnsi="Times New Roman" w:cs="Times New Roman"/>
          <w:color w:val="000000"/>
          <w:sz w:val="24"/>
          <w:szCs w:val="24"/>
          <w:lang w:eastAsia="hu-HU"/>
        </w:rPr>
        <w:t>az ügyészi</w:t>
      </w:r>
      <w:r w:rsidRPr="001C3E96">
        <w:rPr>
          <w:rFonts w:ascii="Times New Roman" w:eastAsia="Times New Roman" w:hAnsi="Times New Roman" w:cs="Times New Roman"/>
          <w:color w:val="000000"/>
          <w:sz w:val="24"/>
          <w:szCs w:val="24"/>
          <w:lang w:eastAsia="hu-HU"/>
        </w:rPr>
        <w:t xml:space="preserve"> </w:t>
      </w:r>
      <w:r w:rsidR="00F5499C">
        <w:rPr>
          <w:rFonts w:ascii="Times New Roman" w:eastAsia="Times New Roman" w:hAnsi="Times New Roman" w:cs="Times New Roman"/>
          <w:color w:val="000000"/>
          <w:sz w:val="24"/>
          <w:szCs w:val="24"/>
          <w:lang w:eastAsia="hu-HU"/>
        </w:rPr>
        <w:t xml:space="preserve">jogállási </w:t>
      </w:r>
      <w:r w:rsidRPr="001C3E96">
        <w:rPr>
          <w:rFonts w:ascii="Times New Roman" w:eastAsia="Times New Roman" w:hAnsi="Times New Roman" w:cs="Times New Roman"/>
          <w:color w:val="000000"/>
          <w:sz w:val="24"/>
          <w:szCs w:val="24"/>
          <w:lang w:eastAsia="hu-HU"/>
        </w:rPr>
        <w:t xml:space="preserve">törvény nem szabályoz, és a munka törvénykönyve szerint a kollektív szerződés keretébe tartozhatnak. Azokban az </w:t>
      </w:r>
      <w:r w:rsidRPr="00084D31">
        <w:rPr>
          <w:rFonts w:ascii="Times New Roman" w:eastAsia="Times New Roman" w:hAnsi="Times New Roman" w:cs="Times New Roman"/>
          <w:color w:val="000000"/>
          <w:sz w:val="24"/>
          <w:szCs w:val="24"/>
          <w:lang w:eastAsia="hu-HU"/>
        </w:rPr>
        <w:t>esetekben, ahol a</w:t>
      </w:r>
      <w:r w:rsidR="00F5499C">
        <w:rPr>
          <w:rFonts w:ascii="Times New Roman" w:eastAsia="Times New Roman" w:hAnsi="Times New Roman" w:cs="Times New Roman"/>
          <w:color w:val="000000"/>
          <w:sz w:val="24"/>
          <w:szCs w:val="24"/>
          <w:lang w:eastAsia="hu-HU"/>
        </w:rPr>
        <w:t xml:space="preserve">z Mt. </w:t>
      </w:r>
      <w:r w:rsidRPr="00084D31">
        <w:rPr>
          <w:rFonts w:ascii="Times New Roman" w:eastAsia="Times New Roman" w:hAnsi="Times New Roman" w:cs="Times New Roman"/>
          <w:color w:val="000000"/>
          <w:sz w:val="24"/>
          <w:szCs w:val="24"/>
          <w:lang w:eastAsia="hu-HU"/>
        </w:rPr>
        <w:t>a kollektív szerződés keretébe tartozó kérdésben csak a munkavállaló javára enged eltérést, a legfőbb ügyész sem állapíthat meg az ügyészségi alkalmazottakra nézve hátrányosabb szabályokat.</w:t>
      </w:r>
      <w:r w:rsidRPr="00084D31">
        <w:rPr>
          <w:rStyle w:val="Lbjegyzet-hivatkozs"/>
          <w:rFonts w:ascii="Times New Roman" w:eastAsia="Times New Roman" w:hAnsi="Times New Roman" w:cs="Times New Roman"/>
          <w:color w:val="000000"/>
          <w:sz w:val="24"/>
          <w:szCs w:val="24"/>
          <w:lang w:eastAsia="hu-HU"/>
        </w:rPr>
        <w:footnoteReference w:id="36"/>
      </w:r>
      <w:r w:rsidR="00084D31">
        <w:rPr>
          <w:rFonts w:ascii="Times New Roman" w:eastAsia="Times New Roman" w:hAnsi="Times New Roman" w:cs="Times New Roman"/>
          <w:color w:val="000000"/>
          <w:sz w:val="24"/>
          <w:szCs w:val="24"/>
          <w:lang w:eastAsia="hu-HU"/>
        </w:rPr>
        <w:t xml:space="preserve"> </w:t>
      </w:r>
      <w:r w:rsidR="00084D31" w:rsidRPr="00084D31">
        <w:rPr>
          <w:rFonts w:ascii="Times New Roman" w:eastAsia="Times New Roman" w:hAnsi="Times New Roman" w:cs="Times New Roman"/>
          <w:color w:val="000000"/>
          <w:sz w:val="24"/>
          <w:szCs w:val="24"/>
          <w:lang w:eastAsia="hu-HU"/>
        </w:rPr>
        <w:t xml:space="preserve">E felhatalmazás alapján született meg </w:t>
      </w:r>
      <w:r w:rsidR="00084D31" w:rsidRPr="00084D31">
        <w:rPr>
          <w:rFonts w:ascii="Times New Roman" w:hAnsi="Times New Roman" w:cs="Times New Roman"/>
          <w:sz w:val="24"/>
          <w:szCs w:val="24"/>
        </w:rPr>
        <w:t xml:space="preserve">az ügyészségi alkalmazottak jogállásával kapcsolatos egyes kérdésekről szóló </w:t>
      </w:r>
      <w:r w:rsidR="00E04970" w:rsidRPr="00084D31">
        <w:rPr>
          <w:rFonts w:ascii="Times New Roman" w:hAnsi="Times New Roman" w:cs="Times New Roman"/>
          <w:sz w:val="24"/>
          <w:szCs w:val="24"/>
        </w:rPr>
        <w:t>4/2012. (I. 6.) LÜ utasítás</w:t>
      </w:r>
      <w:r w:rsidR="00084D31" w:rsidRPr="00084D31">
        <w:rPr>
          <w:rFonts w:ascii="Times New Roman" w:hAnsi="Times New Roman" w:cs="Times New Roman"/>
          <w:sz w:val="24"/>
          <w:szCs w:val="24"/>
        </w:rPr>
        <w:t>, amelynek azonban csak három – kisebb jelentőségű – szabálya született „az érdekképviseletekkel egyetértésben”.</w:t>
      </w:r>
      <w:r w:rsidR="00084D31" w:rsidRPr="00084D31">
        <w:rPr>
          <w:rStyle w:val="Lbjegyzet-hivatkozs"/>
          <w:rFonts w:ascii="Times New Roman" w:hAnsi="Times New Roman" w:cs="Times New Roman"/>
          <w:sz w:val="24"/>
          <w:szCs w:val="24"/>
        </w:rPr>
        <w:footnoteReference w:id="37"/>
      </w:r>
    </w:p>
    <w:p w14:paraId="42AD7BDE" w14:textId="2609F3BA" w:rsidR="00084D31" w:rsidRDefault="003B6741" w:rsidP="00084D31">
      <w:pPr>
        <w:spacing w:after="0" w:line="360" w:lineRule="auto"/>
        <w:jc w:val="both"/>
        <w:rPr>
          <w:rFonts w:ascii="Times New Roman" w:eastAsia="Times New Roman" w:hAnsi="Times New Roman" w:cs="Times New Roman"/>
          <w:color w:val="000000"/>
          <w:sz w:val="24"/>
          <w:szCs w:val="24"/>
          <w:lang w:eastAsia="hu-HU"/>
        </w:rPr>
      </w:pPr>
      <w:r>
        <w:rPr>
          <w:rFonts w:ascii="Times New Roman" w:hAnsi="Times New Roman" w:cs="Times New Roman"/>
          <w:sz w:val="24"/>
          <w:szCs w:val="24"/>
        </w:rPr>
        <w:t xml:space="preserve">Álláspontunk szerint ez a kvázi-kollektív szerződés elhibázott koncepció. Miközben ugyanis a megállapodás a kollektív szerződésre emlékeztető körben térhet el a jogszabálytól, a megkötésére vonatkozóan semmilyen alkalmazandó szabály nincs. Így nem tudható, kik azok az érdekképviseleti szervek munkavállalói oldalon, akik e megállapodás megkötését kezdeményezhetik, vagy tárgyalási joggal bírnak, mi több, kik és milyen feltételek mellett jogosultak megköti azt. Miközben a 151. ILO Egyezmény 7. cikke elismeri a munkafeltételek meghatározásának a kollektív szerződéstől eltérő, alternatív módjait is, a vonatkozó 159. Ajánlás (1978) rámutat, hogy a </w:t>
      </w:r>
      <w:r w:rsidRPr="00084D31">
        <w:rPr>
          <w:rFonts w:ascii="Times New Roman" w:eastAsia="Times New Roman" w:hAnsi="Times New Roman" w:cs="Times New Roman"/>
          <w:color w:val="000000"/>
          <w:sz w:val="24"/>
          <w:szCs w:val="24"/>
          <w:lang w:eastAsia="hu-HU"/>
        </w:rPr>
        <w:t>vonatkozó eljárásokat nemzeti törvények vagy rendelkezések útján, vagy más megfelelő módon kell meghatározni</w:t>
      </w:r>
      <w:r>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38"/>
      </w:r>
      <w:r>
        <w:rPr>
          <w:rFonts w:ascii="Times New Roman" w:eastAsia="Times New Roman" w:hAnsi="Times New Roman" w:cs="Times New Roman"/>
          <w:color w:val="000000"/>
          <w:sz w:val="24"/>
          <w:szCs w:val="24"/>
          <w:lang w:eastAsia="hu-HU"/>
        </w:rPr>
        <w:t xml:space="preserve"> Mindez megfelelő átláthatóságot, a hátrányos megkülönböztetést kizáró szabályozást követel meg,</w:t>
      </w:r>
      <w:r>
        <w:rPr>
          <w:rStyle w:val="Lbjegyzet-hivatkozs"/>
          <w:rFonts w:ascii="Times New Roman" w:eastAsia="Times New Roman" w:hAnsi="Times New Roman" w:cs="Times New Roman"/>
          <w:color w:val="000000"/>
          <w:sz w:val="24"/>
          <w:szCs w:val="24"/>
          <w:lang w:eastAsia="hu-HU"/>
        </w:rPr>
        <w:footnoteReference w:id="39"/>
      </w:r>
      <w:r>
        <w:rPr>
          <w:rFonts w:ascii="Times New Roman" w:eastAsia="Times New Roman" w:hAnsi="Times New Roman" w:cs="Times New Roman"/>
          <w:color w:val="000000"/>
          <w:sz w:val="24"/>
          <w:szCs w:val="24"/>
          <w:lang w:eastAsia="hu-HU"/>
        </w:rPr>
        <w:t xml:space="preserve"> aminek a hatályos magyar szabályozás nem felel meg.</w:t>
      </w:r>
    </w:p>
    <w:p w14:paraId="01FFEE18" w14:textId="1536FCEB" w:rsidR="003B6741" w:rsidRDefault="003B6741" w:rsidP="00084D31">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u-HU"/>
        </w:rPr>
        <w:t>Álláspontunk szerint ez a homályosan szabályozott, „kollektív szerződés-szerű” megoldás felesleges, ami helyett az ügyészségi alkalmazottak az Mt.-ben meghatározott feltételekkel kellene biztosítani (valódi) kollektív szerződés megkötését. A kollektív szerződés tárgyköre tekintetében pedig fenntartható lenne a jelenlegi megoldás, ami így a jogi szabályozás kógens jellegére épülne.</w:t>
      </w:r>
    </w:p>
    <w:p w14:paraId="1E9FAE08" w14:textId="1BCA3E4D" w:rsidR="00084D31" w:rsidRDefault="003B6741" w:rsidP="00192F26">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p>
    <w:p w14:paraId="30629017" w14:textId="413C65A3" w:rsidR="003B6741" w:rsidRPr="00C70987" w:rsidRDefault="003B6741" w:rsidP="003B6741">
      <w:pPr>
        <w:spacing w:after="0" w:line="360" w:lineRule="auto"/>
        <w:jc w:val="both"/>
        <w:rPr>
          <w:rFonts w:ascii="Times New Roman" w:eastAsia="Times New Roman" w:hAnsi="Times New Roman" w:cs="Times New Roman"/>
          <w:i/>
          <w:iCs/>
          <w:color w:val="000000"/>
          <w:sz w:val="24"/>
          <w:szCs w:val="24"/>
          <w:lang w:eastAsia="hu-HU"/>
        </w:rPr>
      </w:pPr>
      <w:r w:rsidRPr="00C70987">
        <w:rPr>
          <w:rFonts w:ascii="Times New Roman" w:eastAsia="Times New Roman" w:hAnsi="Times New Roman" w:cs="Times New Roman"/>
          <w:i/>
          <w:iCs/>
          <w:color w:val="000000"/>
          <w:sz w:val="24"/>
          <w:szCs w:val="24"/>
          <w:lang w:eastAsia="hu-HU"/>
        </w:rPr>
        <w:t>3.</w:t>
      </w:r>
      <w:r>
        <w:rPr>
          <w:rFonts w:ascii="Times New Roman" w:eastAsia="Times New Roman" w:hAnsi="Times New Roman" w:cs="Times New Roman"/>
          <w:i/>
          <w:iCs/>
          <w:color w:val="000000"/>
          <w:sz w:val="24"/>
          <w:szCs w:val="24"/>
          <w:lang w:eastAsia="hu-HU"/>
        </w:rPr>
        <w:t>5</w:t>
      </w:r>
      <w:r w:rsidRPr="00C70987">
        <w:rPr>
          <w:rFonts w:ascii="Times New Roman" w:eastAsia="Times New Roman" w:hAnsi="Times New Roman" w:cs="Times New Roman"/>
          <w:i/>
          <w:iCs/>
          <w:color w:val="000000"/>
          <w:sz w:val="24"/>
          <w:szCs w:val="24"/>
          <w:lang w:eastAsia="hu-HU"/>
        </w:rPr>
        <w:t xml:space="preserve">. </w:t>
      </w:r>
      <w:r>
        <w:rPr>
          <w:rFonts w:ascii="Times New Roman" w:eastAsia="Times New Roman" w:hAnsi="Times New Roman" w:cs="Times New Roman"/>
          <w:i/>
          <w:iCs/>
          <w:color w:val="000000"/>
          <w:sz w:val="24"/>
          <w:szCs w:val="24"/>
          <w:lang w:eastAsia="hu-HU"/>
        </w:rPr>
        <w:t>Köztulajdonban álló munkáltatók</w:t>
      </w:r>
    </w:p>
    <w:p w14:paraId="43C7E33E" w14:textId="1E823BA9" w:rsidR="00084D31" w:rsidRDefault="00A11AC6" w:rsidP="00192F26">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Tág értelemben a közszférához sorolhatók azok az egyébként az Mt. hatálya alá eső munkáltatók is, amelyek köztulajdonban állnak (pl. közműszolgáltatók, tömegközlekedési cégek, erőművek). Miközben ezekre a munkáltatókra az Mt. szabályait kell alkalmazni, a közpénzekkel való felelős gazdálkodás céljából speciális előírások alá is esnek. Egyrészt, e munkáltatók esetén több a kógens szabály, amelyektől a munkavállaló javára sem lehet eltérni megállapodásban. Ide tartoznak a felmondási idő és a végkielégítés szabályai, illetve a kollektív munkajogi rendelkezések.</w:t>
      </w:r>
      <w:r w:rsidRPr="007868A2">
        <w:rPr>
          <w:rStyle w:val="Lbjegyzet-hivatkozs"/>
          <w:rFonts w:ascii="Times New Roman" w:eastAsia="Times New Roman" w:hAnsi="Times New Roman" w:cs="Times New Roman"/>
          <w:color w:val="000000"/>
          <w:sz w:val="24"/>
          <w:szCs w:val="24"/>
          <w:lang w:eastAsia="hu-HU"/>
        </w:rPr>
        <w:footnoteReference w:id="40"/>
      </w:r>
      <w:r>
        <w:rPr>
          <w:rFonts w:ascii="Times New Roman" w:eastAsia="Times New Roman" w:hAnsi="Times New Roman" w:cs="Times New Roman"/>
          <w:color w:val="000000"/>
          <w:sz w:val="24"/>
          <w:szCs w:val="24"/>
          <w:lang w:eastAsia="hu-HU"/>
        </w:rPr>
        <w:t xml:space="preserve"> Másrészt, bizonyos munkáltatói jogköröket nem maga a munkáltató, hanem a tulajdonosi jogköröket gyakorló szerv gyakorolhat.</w:t>
      </w:r>
      <w:r>
        <w:rPr>
          <w:rStyle w:val="Lbjegyzet-hivatkozs"/>
          <w:rFonts w:ascii="Times New Roman" w:eastAsia="Times New Roman" w:hAnsi="Times New Roman" w:cs="Times New Roman"/>
          <w:color w:val="000000"/>
          <w:sz w:val="24"/>
          <w:szCs w:val="24"/>
          <w:lang w:eastAsia="hu-HU"/>
        </w:rPr>
        <w:footnoteReference w:id="41"/>
      </w:r>
      <w:r>
        <w:rPr>
          <w:rFonts w:ascii="Times New Roman" w:eastAsia="Times New Roman" w:hAnsi="Times New Roman" w:cs="Times New Roman"/>
          <w:color w:val="000000"/>
          <w:sz w:val="24"/>
          <w:szCs w:val="24"/>
          <w:lang w:eastAsia="hu-HU"/>
        </w:rPr>
        <w:t xml:space="preserve"> </w:t>
      </w:r>
    </w:p>
    <w:p w14:paraId="42903498" w14:textId="77777777" w:rsidR="00A11AC6" w:rsidRDefault="00C70987" w:rsidP="00C70987">
      <w:pPr>
        <w:spacing w:after="0" w:line="360"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 xml:space="preserve">A szakirodalomban régóta vitatott, mennyiben indokolt a köztulajdonban álló munkáltatóknál </w:t>
      </w:r>
      <w:r w:rsidR="00A11AC6">
        <w:rPr>
          <w:rFonts w:ascii="Times New Roman" w:eastAsia="Times New Roman" w:hAnsi="Times New Roman" w:cs="Times New Roman"/>
          <w:color w:val="000000"/>
          <w:sz w:val="24"/>
          <w:szCs w:val="24"/>
          <w:lang w:eastAsia="hu-HU"/>
        </w:rPr>
        <w:t xml:space="preserve">a fentiek szerint </w:t>
      </w:r>
      <w:r w:rsidRPr="007868A2">
        <w:rPr>
          <w:rFonts w:ascii="Times New Roman" w:eastAsia="Times New Roman" w:hAnsi="Times New Roman" w:cs="Times New Roman"/>
          <w:color w:val="000000"/>
          <w:sz w:val="24"/>
          <w:szCs w:val="24"/>
          <w:lang w:eastAsia="hu-HU"/>
        </w:rPr>
        <w:t>korlátozni a kollektív alku tárgyköreit. Vitatható, mennyiben indokolható a közpénzekkel való átlátható és takarékos gazdálkodással az, hogy egyes kógens szabályok nem csak a vezetőkre, hanem minden munkavállalóra alkalmazandók, illetve, hogy a szakszervezet</w:t>
      </w:r>
      <w:r w:rsidR="00A11AC6">
        <w:rPr>
          <w:rFonts w:ascii="Times New Roman" w:eastAsia="Times New Roman" w:hAnsi="Times New Roman" w:cs="Times New Roman"/>
          <w:color w:val="000000"/>
          <w:sz w:val="24"/>
          <w:szCs w:val="24"/>
          <w:lang w:eastAsia="hu-HU"/>
        </w:rPr>
        <w:t xml:space="preserve"> vagy az üzemi tanács</w:t>
      </w:r>
      <w:r w:rsidRPr="007868A2">
        <w:rPr>
          <w:rFonts w:ascii="Times New Roman" w:eastAsia="Times New Roman" w:hAnsi="Times New Roman" w:cs="Times New Roman"/>
          <w:color w:val="000000"/>
          <w:sz w:val="24"/>
          <w:szCs w:val="24"/>
          <w:lang w:eastAsia="hu-HU"/>
        </w:rPr>
        <w:t xml:space="preserve"> jogai sem bővíthetők a törvényhez képest.</w:t>
      </w:r>
      <w:r w:rsidRPr="007868A2">
        <w:rPr>
          <w:rStyle w:val="Lbjegyzet-hivatkozs"/>
          <w:rFonts w:ascii="Times New Roman" w:eastAsia="Times New Roman" w:hAnsi="Times New Roman" w:cs="Times New Roman"/>
          <w:color w:val="000000"/>
          <w:sz w:val="24"/>
          <w:szCs w:val="24"/>
          <w:lang w:eastAsia="hu-HU"/>
        </w:rPr>
        <w:footnoteReference w:id="42"/>
      </w:r>
      <w:r w:rsidRPr="007868A2">
        <w:rPr>
          <w:rFonts w:ascii="Times New Roman" w:eastAsia="Times New Roman" w:hAnsi="Times New Roman" w:cs="Times New Roman"/>
          <w:color w:val="000000"/>
          <w:sz w:val="24"/>
          <w:szCs w:val="24"/>
          <w:lang w:eastAsia="hu-HU"/>
        </w:rPr>
        <w:t xml:space="preserve"> </w:t>
      </w:r>
    </w:p>
    <w:p w14:paraId="48498DB0" w14:textId="17BEC637" w:rsidR="00A11AC6" w:rsidRDefault="00A11AC6" w:rsidP="00C70987">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Módosítást két tekintetben javaslunk. Egyrészt, semmi indokát nem látjuk, hogy a köztulajdonban álló munkáltató esetében miért nem lehet eltérni az Mt. kollektív munkajogi fejezeteitől. Ez lényegében kiüresíti a kollektív szerződések kötelmi részét ezeknél a munkáltatóknál, miközben a felek közötti szorosabb együttműködés mindkét fél érdeke. Ezért ezt a tilalmat fel kell oldani, és a kollektív szerződésben való eltérést az általános szabályok szerint biztosítani. </w:t>
      </w:r>
      <w:r w:rsidR="000D790D">
        <w:rPr>
          <w:rFonts w:ascii="Times New Roman" w:eastAsia="Times New Roman" w:hAnsi="Times New Roman" w:cs="Times New Roman"/>
          <w:color w:val="000000"/>
          <w:sz w:val="24"/>
          <w:szCs w:val="24"/>
          <w:lang w:eastAsia="hu-HU"/>
        </w:rPr>
        <w:t>Másrészt,</w:t>
      </w:r>
      <w:r>
        <w:rPr>
          <w:rFonts w:ascii="Times New Roman" w:eastAsia="Times New Roman" w:hAnsi="Times New Roman" w:cs="Times New Roman"/>
          <w:color w:val="000000"/>
          <w:sz w:val="24"/>
          <w:szCs w:val="24"/>
          <w:lang w:eastAsia="hu-HU"/>
        </w:rPr>
        <w:t xml:space="preserve"> az egyéni munkaviszonyt érintő korlátozásokat csak a vezető állású munkavállalók vonatkozásában célszerű fenntartani, hiszen aligha sérül a közvagyon védelme, ha a munkáltató és a szakszervezet megállapodása a többi munkavállalónak biztosít a törvényhez képest kedvezőbb jogokat. Ha ez a finanszírozás oldaláról nehézséget jelentene, a munkáltató nyilván elutasíthatja a megállapodás megkötését, a vezetőkre pedig egyébként sem terjed ki a kollektív szerződés hatálya.</w:t>
      </w:r>
      <w:r>
        <w:rPr>
          <w:rStyle w:val="Lbjegyzet-hivatkozs"/>
          <w:rFonts w:ascii="Times New Roman" w:eastAsia="Times New Roman" w:hAnsi="Times New Roman" w:cs="Times New Roman"/>
          <w:color w:val="000000"/>
          <w:sz w:val="24"/>
          <w:szCs w:val="24"/>
          <w:lang w:eastAsia="hu-HU"/>
        </w:rPr>
        <w:footnoteReference w:id="43"/>
      </w:r>
    </w:p>
    <w:p w14:paraId="29914075" w14:textId="77777777" w:rsidR="00A11AC6" w:rsidRDefault="00A11AC6" w:rsidP="00C70987">
      <w:pPr>
        <w:spacing w:after="0" w:line="360" w:lineRule="auto"/>
        <w:jc w:val="both"/>
        <w:rPr>
          <w:rFonts w:ascii="Times New Roman" w:eastAsia="Times New Roman" w:hAnsi="Times New Roman" w:cs="Times New Roman"/>
          <w:color w:val="000000"/>
          <w:sz w:val="24"/>
          <w:szCs w:val="24"/>
          <w:lang w:eastAsia="hu-HU"/>
        </w:rPr>
      </w:pPr>
    </w:p>
    <w:p w14:paraId="08B3E7F7" w14:textId="12AB8A04" w:rsidR="00197CAE" w:rsidRPr="00A11AC6" w:rsidRDefault="00A11AC6" w:rsidP="00192F26">
      <w:pPr>
        <w:spacing w:after="0" w:line="360" w:lineRule="auto"/>
        <w:jc w:val="both"/>
        <w:rPr>
          <w:rFonts w:ascii="Times New Roman" w:eastAsia="Times New Roman" w:hAnsi="Times New Roman" w:cs="Times New Roman"/>
          <w:b/>
          <w:bCs/>
          <w:color w:val="000000"/>
          <w:sz w:val="24"/>
          <w:szCs w:val="24"/>
          <w:lang w:eastAsia="hu-HU"/>
        </w:rPr>
      </w:pPr>
      <w:r w:rsidRPr="00A11AC6">
        <w:rPr>
          <w:rFonts w:ascii="Times New Roman" w:eastAsia="Times New Roman" w:hAnsi="Times New Roman" w:cs="Times New Roman"/>
          <w:b/>
          <w:bCs/>
          <w:color w:val="000000"/>
          <w:sz w:val="24"/>
          <w:szCs w:val="24"/>
          <w:lang w:eastAsia="hu-HU"/>
        </w:rPr>
        <w:t xml:space="preserve">4. Összefoglalás </w:t>
      </w:r>
    </w:p>
    <w:p w14:paraId="14035076" w14:textId="63334DAB" w:rsidR="00155D16" w:rsidRDefault="00155D16" w:rsidP="00820B35">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kollektív alku jogának jelentős kiterjesztése a közszférában mindenekelőtt elengedhetetlen ahhoz, hogy Magyarország megfeleljen az általa is ratifikált ILO Egyezményeknek, és ezzel előmozdítsa az ILO részese államaként a magából a szervezetbeli tagságból eredő elkötelezettségét a kollektív alku jogának tiszteletben tartására.</w:t>
      </w:r>
    </w:p>
    <w:p w14:paraId="25468D02" w14:textId="1E9C5E5E" w:rsidR="00155D16" w:rsidRDefault="00155D16" w:rsidP="00820B35">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E </w:t>
      </w:r>
      <w:r w:rsidR="00820B35" w:rsidRPr="007868A2">
        <w:rPr>
          <w:rFonts w:ascii="Times New Roman" w:eastAsia="Times New Roman" w:hAnsi="Times New Roman" w:cs="Times New Roman"/>
          <w:color w:val="000000"/>
          <w:sz w:val="24"/>
          <w:szCs w:val="24"/>
          <w:lang w:eastAsia="hu-HU"/>
        </w:rPr>
        <w:t>megfontolásoktól függetlenül is leszögezhető</w:t>
      </w:r>
      <w:r>
        <w:rPr>
          <w:rFonts w:ascii="Times New Roman" w:eastAsia="Times New Roman" w:hAnsi="Times New Roman" w:cs="Times New Roman"/>
          <w:color w:val="000000"/>
          <w:sz w:val="24"/>
          <w:szCs w:val="24"/>
          <w:lang w:eastAsia="hu-HU"/>
        </w:rPr>
        <w:t xml:space="preserve"> azonban</w:t>
      </w:r>
      <w:r w:rsidR="00820B35" w:rsidRPr="007868A2">
        <w:rPr>
          <w:rFonts w:ascii="Times New Roman" w:eastAsia="Times New Roman" w:hAnsi="Times New Roman" w:cs="Times New Roman"/>
          <w:color w:val="000000"/>
          <w:sz w:val="24"/>
          <w:szCs w:val="24"/>
          <w:lang w:eastAsia="hu-HU"/>
        </w:rPr>
        <w:t xml:space="preserve">, hogy a kollektív alku jogának kizárása, </w:t>
      </w:r>
      <w:r w:rsidR="00820B35">
        <w:rPr>
          <w:rFonts w:ascii="Times New Roman" w:eastAsia="Times New Roman" w:hAnsi="Times New Roman" w:cs="Times New Roman"/>
          <w:color w:val="000000"/>
          <w:sz w:val="24"/>
          <w:szCs w:val="24"/>
          <w:lang w:eastAsia="hu-HU"/>
        </w:rPr>
        <w:t>illetve</w:t>
      </w:r>
      <w:r w:rsidR="00820B35" w:rsidRPr="007868A2">
        <w:rPr>
          <w:rFonts w:ascii="Times New Roman" w:eastAsia="Times New Roman" w:hAnsi="Times New Roman" w:cs="Times New Roman"/>
          <w:color w:val="000000"/>
          <w:sz w:val="24"/>
          <w:szCs w:val="24"/>
          <w:lang w:eastAsia="hu-HU"/>
        </w:rPr>
        <w:t xml:space="preserve"> a kö</w:t>
      </w:r>
      <w:r w:rsidR="00DC65EE">
        <w:rPr>
          <w:rFonts w:ascii="Times New Roman" w:eastAsia="Times New Roman" w:hAnsi="Times New Roman" w:cs="Times New Roman"/>
          <w:color w:val="000000"/>
          <w:sz w:val="24"/>
          <w:szCs w:val="24"/>
          <w:lang w:eastAsia="hu-HU"/>
        </w:rPr>
        <w:t>zszolgálatások, köztulajdonban álló munkáltatók</w:t>
      </w:r>
      <w:r w:rsidR="00820B35" w:rsidRPr="007868A2">
        <w:rPr>
          <w:rFonts w:ascii="Times New Roman" w:eastAsia="Times New Roman" w:hAnsi="Times New Roman" w:cs="Times New Roman"/>
          <w:color w:val="000000"/>
          <w:sz w:val="24"/>
          <w:szCs w:val="24"/>
          <w:lang w:eastAsia="hu-HU"/>
        </w:rPr>
        <w:t xml:space="preserve"> esetén </w:t>
      </w:r>
      <w:r w:rsidR="00820B35">
        <w:rPr>
          <w:rFonts w:ascii="Times New Roman" w:eastAsia="Times New Roman" w:hAnsi="Times New Roman" w:cs="Times New Roman"/>
          <w:color w:val="000000"/>
          <w:sz w:val="24"/>
          <w:szCs w:val="24"/>
          <w:lang w:eastAsia="hu-HU"/>
        </w:rPr>
        <w:t xml:space="preserve">annak </w:t>
      </w:r>
      <w:r>
        <w:rPr>
          <w:rFonts w:ascii="Times New Roman" w:eastAsia="Times New Roman" w:hAnsi="Times New Roman" w:cs="Times New Roman"/>
          <w:color w:val="000000"/>
          <w:sz w:val="24"/>
          <w:szCs w:val="24"/>
          <w:lang w:eastAsia="hu-HU"/>
        </w:rPr>
        <w:t xml:space="preserve">jelentős </w:t>
      </w:r>
      <w:r w:rsidR="00820B35" w:rsidRPr="007868A2">
        <w:rPr>
          <w:rFonts w:ascii="Times New Roman" w:eastAsia="Times New Roman" w:hAnsi="Times New Roman" w:cs="Times New Roman"/>
          <w:color w:val="000000"/>
          <w:sz w:val="24"/>
          <w:szCs w:val="24"/>
          <w:lang w:eastAsia="hu-HU"/>
        </w:rPr>
        <w:t xml:space="preserve">korlátozása azt jelenti, hogy ezekben a szektorokban a munkáltatói oldal is elveszíti a kollektív alkuhoz kötődő előnyöket. </w:t>
      </w:r>
      <w:r>
        <w:rPr>
          <w:rFonts w:ascii="Times New Roman" w:eastAsia="Times New Roman" w:hAnsi="Times New Roman" w:cs="Times New Roman"/>
          <w:color w:val="000000"/>
          <w:sz w:val="24"/>
          <w:szCs w:val="24"/>
          <w:lang w:eastAsia="hu-HU"/>
        </w:rPr>
        <w:t>A kollektív alku nem egy szükséges rossz, amit nemzetközi kötelezettségekből eredően kell biztosítani, hanem egy olyan szabályozási eszköz, amelynek előnyeit hiba kiaknázatlanul hagyni a közszférában. A</w:t>
      </w:r>
      <w:r w:rsidR="00820B35" w:rsidRPr="007868A2">
        <w:rPr>
          <w:rFonts w:ascii="Times New Roman" w:eastAsia="Times New Roman" w:hAnsi="Times New Roman" w:cs="Times New Roman"/>
          <w:color w:val="000000"/>
          <w:sz w:val="24"/>
          <w:szCs w:val="24"/>
          <w:lang w:eastAsia="hu-HU"/>
        </w:rPr>
        <w:t xml:space="preserve"> munkafeltételek javítása, a helyi (ágazati) igényekre reagáló, gyors szabályozás érdekében a kollektív alku jelenlegi korlátozását a</w:t>
      </w:r>
      <w:r>
        <w:rPr>
          <w:rFonts w:ascii="Times New Roman" w:eastAsia="Times New Roman" w:hAnsi="Times New Roman" w:cs="Times New Roman"/>
          <w:color w:val="000000"/>
          <w:sz w:val="24"/>
          <w:szCs w:val="24"/>
          <w:lang w:eastAsia="hu-HU"/>
        </w:rPr>
        <w:t xml:space="preserve"> nemzetközi </w:t>
      </w:r>
      <w:r w:rsidR="00820B35" w:rsidRPr="007868A2">
        <w:rPr>
          <w:rFonts w:ascii="Times New Roman" w:eastAsia="Times New Roman" w:hAnsi="Times New Roman" w:cs="Times New Roman"/>
          <w:color w:val="000000"/>
          <w:sz w:val="24"/>
          <w:szCs w:val="24"/>
          <w:lang w:eastAsia="hu-HU"/>
        </w:rPr>
        <w:t>jogi aggályoktól függetlenül is indokolt feloldani a közszférában.</w:t>
      </w:r>
    </w:p>
    <w:p w14:paraId="5D531366" w14:textId="16E47C50" w:rsidR="00155D16" w:rsidRDefault="00155D16" w:rsidP="00820B35">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Ehhez az átfogó reform folyamathoz az alábbiakat javasoljuk</w:t>
      </w:r>
      <w:r w:rsidR="009E0CEF">
        <w:rPr>
          <w:rFonts w:ascii="Times New Roman" w:eastAsia="Times New Roman" w:hAnsi="Times New Roman" w:cs="Times New Roman"/>
          <w:color w:val="000000"/>
          <w:sz w:val="24"/>
          <w:szCs w:val="24"/>
          <w:lang w:eastAsia="hu-HU"/>
        </w:rPr>
        <w:t xml:space="preserve"> (összefoglalóan lásd a 2. táblázatban).</w:t>
      </w:r>
    </w:p>
    <w:p w14:paraId="12F2600B" w14:textId="6173270E" w:rsidR="00155D16" w:rsidRDefault="00155D16" w:rsidP="00155D16">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1. Első lépésként </w:t>
      </w:r>
      <w:r w:rsidR="000D790D">
        <w:rPr>
          <w:rFonts w:ascii="Times New Roman" w:eastAsia="Times New Roman" w:hAnsi="Times New Roman" w:cs="Times New Roman"/>
          <w:color w:val="000000"/>
          <w:sz w:val="24"/>
          <w:szCs w:val="24"/>
          <w:lang w:eastAsia="hu-HU"/>
        </w:rPr>
        <w:t>meg kell szüntetni</w:t>
      </w:r>
      <w:r>
        <w:rPr>
          <w:rFonts w:ascii="Times New Roman" w:eastAsia="Times New Roman" w:hAnsi="Times New Roman" w:cs="Times New Roman"/>
          <w:color w:val="000000"/>
          <w:sz w:val="24"/>
          <w:szCs w:val="24"/>
          <w:lang w:eastAsia="hu-HU"/>
        </w:rPr>
        <w:t xml:space="preserve"> a kollektív alku tilalmát azokban az ágazatokban, ahol ezt semmi nem indokolja. </w:t>
      </w:r>
      <w:r w:rsidR="009E0CEF">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 kollektív szerződések kizárását egyedül a fegyveres és rendvédelmi szervek, illetve a bírói kar esetében tartjuk fenntarthatónak. A közigazgatásban, a fegyveres és rendvédelmi szerveknél foglalkoztatott civil alkalmazottak és az egyéb igazságügyi alkalmazottak esetén a kollektív alku joga kizárható a „magas beosztású” munkavállalók esetén. </w:t>
      </w:r>
      <w:r w:rsidR="009E0CEF">
        <w:rPr>
          <w:rFonts w:ascii="Times New Roman" w:eastAsia="Times New Roman" w:hAnsi="Times New Roman" w:cs="Times New Roman"/>
          <w:color w:val="000000"/>
          <w:sz w:val="24"/>
          <w:szCs w:val="24"/>
          <w:lang w:eastAsia="hu-HU"/>
        </w:rPr>
        <w:t xml:space="preserve">A közszolgálatások és köztulajdonban álló munkáltatóknál a vezetőkre szintén nem terjedne ki a kollektív szerződés hatálya. </w:t>
      </w:r>
      <w:r>
        <w:rPr>
          <w:rFonts w:ascii="Times New Roman" w:eastAsia="Times New Roman" w:hAnsi="Times New Roman" w:cs="Times New Roman"/>
          <w:color w:val="000000"/>
          <w:sz w:val="24"/>
          <w:szCs w:val="24"/>
          <w:lang w:eastAsia="hu-HU"/>
        </w:rPr>
        <w:t xml:space="preserve">Minden más területen a kollektív alku lehetővé tételét javasoljuk. </w:t>
      </w:r>
    </w:p>
    <w:p w14:paraId="49FF008D" w14:textId="168AA572" w:rsidR="00155D16" w:rsidRDefault="00155D16" w:rsidP="00155D16">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 Jelenleg azokban az ágazatokban sincs eltérő szabályozás a kollektív szerződéskötési jog feltételeire, ahol megengedett a kollektív alku. Ezt célszerű megőrizni, és a közszférában is az Mt. megoldását alapul véve 10%-os szervezettséghez kötni a szakszervezet kollektív szerződéskötési jogát. Amennyiben ezen a jogalkotó – javaslataink alapján – változtat, azt át kell vezetni a közszféra jogállási törvényein is.</w:t>
      </w:r>
    </w:p>
    <w:p w14:paraId="772F8FE7" w14:textId="79BEBB16" w:rsidR="003E11B1" w:rsidRDefault="00155D16" w:rsidP="00192F26">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A kollektív szerződés szintje vonatkozásában, centralizált tárgyalásokat és megállapodást javaslunk minden olyan területen, ahol az állami szervek szigorú hierarchikus rendben, közös humánpolitikai keretek mellett működnek, és ahol az egyes szervek nem élveznek érdemi anyagi önállóságot. Így célszerű országos szinten, a teljes szervezettrendszerre kiterjedően megnyitni a kollektív alkut a kormánynak alárendelt közigazgatás, a fegyveres és rendvédelmi szervek civil alkalmazottai, az ügyészi szervezet és az egyéb igazságügyi alkalmazottak vonatkozásában. </w:t>
      </w:r>
      <w:r w:rsidR="003E11B1">
        <w:rPr>
          <w:rFonts w:ascii="Times New Roman" w:eastAsia="Times New Roman" w:hAnsi="Times New Roman" w:cs="Times New Roman"/>
          <w:color w:val="000000"/>
          <w:sz w:val="24"/>
          <w:szCs w:val="24"/>
          <w:lang w:eastAsia="hu-HU"/>
        </w:rPr>
        <w:t>Az autonóm jogállású közigazgatási szerveknél és az önkormányzati igazgatásnál – tekintettel a munkáltatók relatív önállóságára – a decentralizált, helyi szintű alkut szükséges biztosítani</w:t>
      </w:r>
      <w:r w:rsidR="00192F26">
        <w:rPr>
          <w:rFonts w:ascii="Times New Roman" w:eastAsia="Times New Roman" w:hAnsi="Times New Roman" w:cs="Times New Roman"/>
          <w:color w:val="000000"/>
          <w:sz w:val="24"/>
          <w:szCs w:val="24"/>
          <w:lang w:eastAsia="hu-HU"/>
        </w:rPr>
        <w:t>.</w:t>
      </w:r>
      <w:r w:rsidR="00192F26">
        <w:rPr>
          <w:rStyle w:val="Lbjegyzet-hivatkozs"/>
          <w:rFonts w:ascii="Times New Roman" w:eastAsia="Times New Roman" w:hAnsi="Times New Roman" w:cs="Times New Roman"/>
          <w:color w:val="000000"/>
          <w:sz w:val="24"/>
          <w:szCs w:val="24"/>
          <w:lang w:eastAsia="hu-HU"/>
        </w:rPr>
        <w:footnoteReference w:id="44"/>
      </w:r>
      <w:r w:rsidR="003E11B1">
        <w:rPr>
          <w:rFonts w:ascii="Times New Roman" w:eastAsia="Times New Roman" w:hAnsi="Times New Roman" w:cs="Times New Roman"/>
          <w:color w:val="000000"/>
          <w:sz w:val="24"/>
          <w:szCs w:val="24"/>
          <w:lang w:eastAsia="hu-HU"/>
        </w:rPr>
        <w:t xml:space="preserve"> A közszolgáltatások és a köztulajdonban álló munkáltatók esetén </w:t>
      </w:r>
      <w:r w:rsidR="003E11B1">
        <w:rPr>
          <w:rFonts w:ascii="Times New Roman" w:eastAsia="Times New Roman" w:hAnsi="Times New Roman" w:cs="Times New Roman"/>
          <w:color w:val="000000"/>
          <w:sz w:val="24"/>
          <w:szCs w:val="24"/>
          <w:lang w:eastAsia="hu-HU"/>
        </w:rPr>
        <w:lastRenderedPageBreak/>
        <w:t xml:space="preserve">megvalósíthatónak látjuk a klasszikus többszintű kollektív alkut, ahol a munkahelyi szintű megállapodások mellett célszerű megadni az esélyt az ágazati megállapodásokra is. </w:t>
      </w:r>
    </w:p>
    <w:p w14:paraId="1158ED83" w14:textId="5D55A52B" w:rsidR="00DC65EE" w:rsidRDefault="003E11B1" w:rsidP="009E0CEF">
      <w:pPr>
        <w:spacing w:after="0" w:line="360" w:lineRule="auto"/>
        <w:jc w:val="both"/>
      </w:pPr>
      <w:r>
        <w:rPr>
          <w:rFonts w:ascii="Times New Roman" w:eastAsia="Times New Roman" w:hAnsi="Times New Roman" w:cs="Times New Roman"/>
          <w:color w:val="000000"/>
          <w:sz w:val="24"/>
          <w:szCs w:val="24"/>
          <w:lang w:eastAsia="hu-HU"/>
        </w:rPr>
        <w:t xml:space="preserve">4. </w:t>
      </w:r>
      <w:r w:rsidR="009E0CEF">
        <w:rPr>
          <w:rFonts w:ascii="Times New Roman" w:eastAsia="Times New Roman" w:hAnsi="Times New Roman" w:cs="Times New Roman"/>
          <w:color w:val="000000"/>
          <w:sz w:val="24"/>
          <w:szCs w:val="24"/>
          <w:lang w:eastAsia="hu-HU"/>
        </w:rPr>
        <w:t>A kollektív alku tárgykörei kapcsán – tekintettel a közszféra 1. pontban kifejtett sajátosságaira – főszabály szerint nem az általános diszpozitivitást javasoljuk, hanem azt, hogy a kollektív megállapodások megkötésére a jogi szabályozás kógens jellege mellett kerülhetne sor.</w:t>
      </w:r>
      <w:r w:rsidR="009E0CEF">
        <w:rPr>
          <w:rStyle w:val="Lbjegyzet-hivatkozs"/>
          <w:rFonts w:ascii="Times New Roman" w:eastAsia="Times New Roman" w:hAnsi="Times New Roman" w:cs="Times New Roman"/>
          <w:color w:val="000000"/>
          <w:sz w:val="24"/>
          <w:szCs w:val="24"/>
          <w:lang w:eastAsia="hu-HU"/>
        </w:rPr>
        <w:footnoteReference w:id="45"/>
      </w:r>
      <w:r w:rsidR="009E0CEF">
        <w:rPr>
          <w:rFonts w:ascii="Times New Roman" w:eastAsia="Times New Roman" w:hAnsi="Times New Roman" w:cs="Times New Roman"/>
          <w:color w:val="000000"/>
          <w:sz w:val="24"/>
          <w:szCs w:val="24"/>
          <w:lang w:eastAsia="hu-HU"/>
        </w:rPr>
        <w:t xml:space="preserve"> Az egyes jogállási törvényekben külön-külön kellene meghatározni, hogy melyek azok a szabályok, amelyektől a kollektív szerződés eltérhet, hasonlóan a Kjt. jelenleg hatályos megoldásához. Ugyanakkor a Kjt. rendszeréhez képest bátrabb megközelítést javaslunk. A kollektív alku terepet kaphatna minden olyan kérdés tekintetében, amit a jogszabály jelenleg a munkáltató egyoldalú mérlegelésére bíz, különösen a „sávos illetményrendszerek” pontosabb besorolási szempontjai kidolgozásánál. Célszerű lehet emellett a fegyelmi felelősség, a teljesítményértékelés, vagy az adható juttatások kapcsán is teret adni a kollektív szerződéseknek. </w:t>
      </w:r>
    </w:p>
    <w:tbl>
      <w:tblPr>
        <w:tblStyle w:val="Rcsostblzat"/>
        <w:tblW w:w="0" w:type="auto"/>
        <w:tblLook w:val="04A0" w:firstRow="1" w:lastRow="0" w:firstColumn="1" w:lastColumn="0" w:noHBand="0" w:noVBand="1"/>
      </w:tblPr>
      <w:tblGrid>
        <w:gridCol w:w="1856"/>
        <w:gridCol w:w="1563"/>
        <w:gridCol w:w="1691"/>
        <w:gridCol w:w="2123"/>
        <w:gridCol w:w="1829"/>
      </w:tblGrid>
      <w:tr w:rsidR="003E11B1" w:rsidRPr="00BA311B" w14:paraId="6904510A" w14:textId="77777777" w:rsidTr="003E11B1">
        <w:trPr>
          <w:trHeight w:val="357"/>
        </w:trPr>
        <w:tc>
          <w:tcPr>
            <w:tcW w:w="3620" w:type="dxa"/>
            <w:gridSpan w:val="2"/>
            <w:vMerge w:val="restart"/>
            <w:vAlign w:val="center"/>
          </w:tcPr>
          <w:p w14:paraId="5A121404" w14:textId="2C9D2809" w:rsidR="003E11B1" w:rsidRPr="00BA311B" w:rsidRDefault="003E11B1" w:rsidP="00974440">
            <w:pPr>
              <w:jc w:val="center"/>
              <w:rPr>
                <w:rFonts w:ascii="Times New Roman" w:hAnsi="Times New Roman" w:cs="Times New Roman"/>
                <w:b/>
                <w:bCs/>
                <w:sz w:val="24"/>
                <w:szCs w:val="24"/>
              </w:rPr>
            </w:pPr>
            <w:r w:rsidRPr="00BA311B">
              <w:rPr>
                <w:rFonts w:ascii="Times New Roman" w:hAnsi="Times New Roman" w:cs="Times New Roman"/>
                <w:b/>
                <w:bCs/>
                <w:sz w:val="24"/>
                <w:szCs w:val="24"/>
              </w:rPr>
              <w:t>Munkáltató</w:t>
            </w:r>
          </w:p>
        </w:tc>
        <w:tc>
          <w:tcPr>
            <w:tcW w:w="5442" w:type="dxa"/>
            <w:gridSpan w:val="3"/>
            <w:vAlign w:val="center"/>
          </w:tcPr>
          <w:p w14:paraId="5AD6443A" w14:textId="1A7FD0D5" w:rsidR="003E11B1" w:rsidRDefault="003E11B1" w:rsidP="00974440">
            <w:pPr>
              <w:jc w:val="center"/>
              <w:rPr>
                <w:rFonts w:ascii="Times New Roman" w:hAnsi="Times New Roman" w:cs="Times New Roman"/>
                <w:b/>
                <w:bCs/>
                <w:sz w:val="24"/>
                <w:szCs w:val="24"/>
              </w:rPr>
            </w:pPr>
            <w:r>
              <w:rPr>
                <w:rFonts w:ascii="Times New Roman" w:hAnsi="Times New Roman" w:cs="Times New Roman"/>
                <w:b/>
                <w:bCs/>
                <w:sz w:val="24"/>
                <w:szCs w:val="24"/>
              </w:rPr>
              <w:t>A kollektív alku javasolt…</w:t>
            </w:r>
          </w:p>
        </w:tc>
      </w:tr>
      <w:tr w:rsidR="003E11B1" w:rsidRPr="00BA311B" w14:paraId="7C9365A6" w14:textId="6AFDCEFF" w:rsidTr="003E11B1">
        <w:trPr>
          <w:trHeight w:val="357"/>
        </w:trPr>
        <w:tc>
          <w:tcPr>
            <w:tcW w:w="3620" w:type="dxa"/>
            <w:gridSpan w:val="2"/>
            <w:vMerge/>
            <w:vAlign w:val="center"/>
          </w:tcPr>
          <w:p w14:paraId="3FC38BFB" w14:textId="0104B4EA" w:rsidR="003E11B1" w:rsidRPr="00BA311B" w:rsidRDefault="003E11B1" w:rsidP="00974440">
            <w:pPr>
              <w:jc w:val="center"/>
              <w:rPr>
                <w:rFonts w:ascii="Times New Roman" w:hAnsi="Times New Roman" w:cs="Times New Roman"/>
                <w:b/>
                <w:bCs/>
                <w:sz w:val="24"/>
                <w:szCs w:val="24"/>
              </w:rPr>
            </w:pPr>
          </w:p>
        </w:tc>
        <w:tc>
          <w:tcPr>
            <w:tcW w:w="1762" w:type="dxa"/>
            <w:vAlign w:val="center"/>
          </w:tcPr>
          <w:p w14:paraId="1A1D996B" w14:textId="59444FCE" w:rsidR="003E11B1" w:rsidRPr="00BA311B" w:rsidRDefault="003E11B1" w:rsidP="00974440">
            <w:pPr>
              <w:jc w:val="center"/>
              <w:rPr>
                <w:rFonts w:ascii="Times New Roman" w:hAnsi="Times New Roman" w:cs="Times New Roman"/>
                <w:b/>
                <w:bCs/>
                <w:sz w:val="24"/>
                <w:szCs w:val="24"/>
              </w:rPr>
            </w:pPr>
            <w:r>
              <w:rPr>
                <w:rFonts w:ascii="Times New Roman" w:hAnsi="Times New Roman" w:cs="Times New Roman"/>
                <w:b/>
                <w:bCs/>
                <w:sz w:val="24"/>
                <w:szCs w:val="24"/>
              </w:rPr>
              <w:t>személyi hatálya</w:t>
            </w:r>
          </w:p>
        </w:tc>
        <w:tc>
          <w:tcPr>
            <w:tcW w:w="1806" w:type="dxa"/>
          </w:tcPr>
          <w:p w14:paraId="71C0DFB9" w14:textId="64E62999" w:rsidR="003E11B1" w:rsidRDefault="003E11B1" w:rsidP="00974440">
            <w:pPr>
              <w:jc w:val="center"/>
              <w:rPr>
                <w:rFonts w:ascii="Times New Roman" w:hAnsi="Times New Roman" w:cs="Times New Roman"/>
                <w:b/>
                <w:bCs/>
                <w:sz w:val="24"/>
                <w:szCs w:val="24"/>
              </w:rPr>
            </w:pPr>
            <w:r>
              <w:rPr>
                <w:rFonts w:ascii="Times New Roman" w:hAnsi="Times New Roman" w:cs="Times New Roman"/>
                <w:b/>
                <w:bCs/>
                <w:sz w:val="24"/>
                <w:szCs w:val="24"/>
              </w:rPr>
              <w:t>szintje</w:t>
            </w:r>
          </w:p>
        </w:tc>
        <w:tc>
          <w:tcPr>
            <w:tcW w:w="1874" w:type="dxa"/>
          </w:tcPr>
          <w:p w14:paraId="25FB0606" w14:textId="434ABEBD" w:rsidR="003E11B1" w:rsidRDefault="003E11B1" w:rsidP="00974440">
            <w:pPr>
              <w:jc w:val="center"/>
              <w:rPr>
                <w:rFonts w:ascii="Times New Roman" w:hAnsi="Times New Roman" w:cs="Times New Roman"/>
                <w:b/>
                <w:bCs/>
                <w:sz w:val="24"/>
                <w:szCs w:val="24"/>
              </w:rPr>
            </w:pPr>
            <w:r>
              <w:rPr>
                <w:rFonts w:ascii="Times New Roman" w:hAnsi="Times New Roman" w:cs="Times New Roman"/>
                <w:b/>
                <w:bCs/>
                <w:sz w:val="24"/>
                <w:szCs w:val="24"/>
              </w:rPr>
              <w:t>tárgyköre</w:t>
            </w:r>
          </w:p>
        </w:tc>
      </w:tr>
      <w:tr w:rsidR="003E11B1" w:rsidRPr="00BA311B" w14:paraId="6C86C43F" w14:textId="2A22D18C" w:rsidTr="003E11B1">
        <w:trPr>
          <w:trHeight w:val="644"/>
        </w:trPr>
        <w:tc>
          <w:tcPr>
            <w:tcW w:w="3620" w:type="dxa"/>
            <w:gridSpan w:val="2"/>
            <w:vAlign w:val="center"/>
          </w:tcPr>
          <w:p w14:paraId="137F3933" w14:textId="1310D4DD"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b/>
                <w:bCs/>
                <w:sz w:val="24"/>
                <w:szCs w:val="24"/>
              </w:rPr>
              <w:t>Közszolgáltatások</w:t>
            </w:r>
          </w:p>
        </w:tc>
        <w:tc>
          <w:tcPr>
            <w:tcW w:w="1762" w:type="dxa"/>
          </w:tcPr>
          <w:p w14:paraId="3C7EEE3F" w14:textId="77F64B48"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mindenkire</w:t>
            </w:r>
            <w:r w:rsidR="009E0CEF">
              <w:rPr>
                <w:rFonts w:ascii="Times New Roman" w:hAnsi="Times New Roman" w:cs="Times New Roman"/>
                <w:sz w:val="24"/>
                <w:szCs w:val="24"/>
              </w:rPr>
              <w:t>, a vezetők kivételével</w:t>
            </w:r>
          </w:p>
        </w:tc>
        <w:tc>
          <w:tcPr>
            <w:tcW w:w="1806" w:type="dxa"/>
          </w:tcPr>
          <w:p w14:paraId="1A645A69" w14:textId="2BA519F7" w:rsidR="003E11B1" w:rsidRDefault="003E11B1" w:rsidP="00974440">
            <w:pPr>
              <w:rPr>
                <w:rFonts w:ascii="Times New Roman" w:hAnsi="Times New Roman" w:cs="Times New Roman"/>
                <w:sz w:val="24"/>
                <w:szCs w:val="24"/>
              </w:rPr>
            </w:pPr>
            <w:r>
              <w:rPr>
                <w:rFonts w:ascii="Times New Roman" w:hAnsi="Times New Roman" w:cs="Times New Roman"/>
                <w:sz w:val="24"/>
                <w:szCs w:val="24"/>
              </w:rPr>
              <w:t>többszintű (munkahelyi és ágazati is)</w:t>
            </w:r>
          </w:p>
        </w:tc>
        <w:tc>
          <w:tcPr>
            <w:tcW w:w="1874" w:type="dxa"/>
          </w:tcPr>
          <w:p w14:paraId="14CDB8A3" w14:textId="6AE1A476" w:rsidR="003E11B1" w:rsidRDefault="003E11B1" w:rsidP="00974440">
            <w:pPr>
              <w:rPr>
                <w:rFonts w:ascii="Times New Roman" w:hAnsi="Times New Roman" w:cs="Times New Roman"/>
                <w:sz w:val="24"/>
                <w:szCs w:val="24"/>
              </w:rPr>
            </w:pPr>
            <w:r>
              <w:rPr>
                <w:rFonts w:ascii="Times New Roman" w:hAnsi="Times New Roman" w:cs="Times New Roman"/>
                <w:sz w:val="24"/>
                <w:szCs w:val="24"/>
              </w:rPr>
              <w:t>a kógens jogi szabályozás elsődlegesség</w:t>
            </w:r>
            <w:r w:rsidR="009E0CEF">
              <w:rPr>
                <w:rFonts w:ascii="Times New Roman" w:hAnsi="Times New Roman" w:cs="Times New Roman"/>
                <w:sz w:val="24"/>
                <w:szCs w:val="24"/>
              </w:rPr>
              <w:t>e mellett</w:t>
            </w:r>
          </w:p>
        </w:tc>
      </w:tr>
      <w:tr w:rsidR="003E11B1" w:rsidRPr="00BA311B" w14:paraId="05015F66" w14:textId="3330F159" w:rsidTr="003E11B1">
        <w:trPr>
          <w:trHeight w:val="943"/>
        </w:trPr>
        <w:tc>
          <w:tcPr>
            <w:tcW w:w="3620" w:type="dxa"/>
            <w:gridSpan w:val="2"/>
            <w:vAlign w:val="center"/>
          </w:tcPr>
          <w:p w14:paraId="14DF284C" w14:textId="58EF5B03"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b/>
                <w:bCs/>
                <w:sz w:val="24"/>
                <w:szCs w:val="24"/>
              </w:rPr>
              <w:t>Közigazgatás</w:t>
            </w:r>
          </w:p>
        </w:tc>
        <w:tc>
          <w:tcPr>
            <w:tcW w:w="1762" w:type="dxa"/>
          </w:tcPr>
          <w:p w14:paraId="00B6EF27" w14:textId="0469AEC8"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mindenkire, a „magas beosztású” alkalmazottak kivételével,</w:t>
            </w:r>
          </w:p>
        </w:tc>
        <w:tc>
          <w:tcPr>
            <w:tcW w:w="1806" w:type="dxa"/>
          </w:tcPr>
          <w:p w14:paraId="5350E067" w14:textId="77777777" w:rsidR="003E11B1" w:rsidRDefault="003E11B1" w:rsidP="00974440">
            <w:pPr>
              <w:rPr>
                <w:rFonts w:ascii="Times New Roman" w:hAnsi="Times New Roman" w:cs="Times New Roman"/>
                <w:sz w:val="24"/>
                <w:szCs w:val="24"/>
              </w:rPr>
            </w:pPr>
            <w:r>
              <w:rPr>
                <w:rFonts w:ascii="Times New Roman" w:hAnsi="Times New Roman" w:cs="Times New Roman"/>
                <w:sz w:val="24"/>
                <w:szCs w:val="24"/>
              </w:rPr>
              <w:t xml:space="preserve">a kormányzati igazgatásnál centralizált, </w:t>
            </w:r>
          </w:p>
          <w:p w14:paraId="25A21ABC" w14:textId="1D61FDC3" w:rsidR="003E11B1" w:rsidRDefault="003E11B1" w:rsidP="00974440">
            <w:pPr>
              <w:rPr>
                <w:rFonts w:ascii="Times New Roman" w:hAnsi="Times New Roman" w:cs="Times New Roman"/>
                <w:sz w:val="24"/>
                <w:szCs w:val="24"/>
              </w:rPr>
            </w:pPr>
            <w:r>
              <w:rPr>
                <w:rFonts w:ascii="Times New Roman" w:hAnsi="Times New Roman" w:cs="Times New Roman"/>
                <w:sz w:val="24"/>
                <w:szCs w:val="24"/>
              </w:rPr>
              <w:t>az autonóm szerveknél és az önkormányzatoknál munkahelyi</w:t>
            </w:r>
          </w:p>
        </w:tc>
        <w:tc>
          <w:tcPr>
            <w:tcW w:w="1874" w:type="dxa"/>
          </w:tcPr>
          <w:p w14:paraId="77A7BCA5" w14:textId="03E7767C" w:rsidR="003E11B1" w:rsidRDefault="009E0CEF" w:rsidP="00974440">
            <w:pPr>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3E11B1" w:rsidRPr="00BA311B" w14:paraId="56F32B0D" w14:textId="78FCF38F" w:rsidTr="003E11B1">
        <w:trPr>
          <w:trHeight w:val="1122"/>
        </w:trPr>
        <w:tc>
          <w:tcPr>
            <w:tcW w:w="3620" w:type="dxa"/>
            <w:gridSpan w:val="2"/>
            <w:vAlign w:val="center"/>
          </w:tcPr>
          <w:p w14:paraId="0D597267" w14:textId="58596474"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b/>
                <w:bCs/>
                <w:sz w:val="24"/>
                <w:szCs w:val="24"/>
              </w:rPr>
              <w:t>Fe</w:t>
            </w:r>
            <w:r>
              <w:rPr>
                <w:rFonts w:ascii="Times New Roman" w:hAnsi="Times New Roman" w:cs="Times New Roman"/>
                <w:b/>
                <w:bCs/>
                <w:sz w:val="24"/>
                <w:szCs w:val="24"/>
              </w:rPr>
              <w:t>g</w:t>
            </w:r>
            <w:r w:rsidRPr="00BA311B">
              <w:rPr>
                <w:rFonts w:ascii="Times New Roman" w:hAnsi="Times New Roman" w:cs="Times New Roman"/>
                <w:b/>
                <w:bCs/>
                <w:sz w:val="24"/>
                <w:szCs w:val="24"/>
              </w:rPr>
              <w:t>yveres szervek, rendvédelem</w:t>
            </w:r>
          </w:p>
        </w:tc>
        <w:tc>
          <w:tcPr>
            <w:tcW w:w="1762" w:type="dxa"/>
          </w:tcPr>
          <w:p w14:paraId="341CFBC3" w14:textId="1D4FDADF"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a civilekre, a „magas beosztású” alkalmazottak kivételével</w:t>
            </w:r>
          </w:p>
        </w:tc>
        <w:tc>
          <w:tcPr>
            <w:tcW w:w="1806" w:type="dxa"/>
          </w:tcPr>
          <w:p w14:paraId="29A449F5" w14:textId="5ADB67D7" w:rsidR="003E11B1" w:rsidRDefault="003E11B1" w:rsidP="00974440">
            <w:pPr>
              <w:rPr>
                <w:rFonts w:ascii="Times New Roman" w:hAnsi="Times New Roman" w:cs="Times New Roman"/>
                <w:sz w:val="24"/>
                <w:szCs w:val="24"/>
              </w:rPr>
            </w:pPr>
            <w:r>
              <w:rPr>
                <w:rFonts w:ascii="Times New Roman" w:hAnsi="Times New Roman" w:cs="Times New Roman"/>
                <w:sz w:val="24"/>
                <w:szCs w:val="24"/>
              </w:rPr>
              <w:t>centralizált</w:t>
            </w:r>
          </w:p>
        </w:tc>
        <w:tc>
          <w:tcPr>
            <w:tcW w:w="1874" w:type="dxa"/>
          </w:tcPr>
          <w:p w14:paraId="1B18AB43" w14:textId="19B3D593" w:rsidR="003E11B1" w:rsidRDefault="009E0CEF" w:rsidP="00974440">
            <w:pPr>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3E11B1" w:rsidRPr="00BA311B" w14:paraId="4EF3BFED" w14:textId="1C6EFBFD" w:rsidTr="003E11B1">
        <w:tc>
          <w:tcPr>
            <w:tcW w:w="2106" w:type="dxa"/>
            <w:vMerge w:val="restart"/>
            <w:vAlign w:val="center"/>
          </w:tcPr>
          <w:p w14:paraId="75E83CF8" w14:textId="2BAEAD6B" w:rsidR="003E11B1" w:rsidRPr="00BA311B" w:rsidRDefault="003E11B1" w:rsidP="00974440">
            <w:pPr>
              <w:rPr>
                <w:rFonts w:ascii="Times New Roman" w:hAnsi="Times New Roman" w:cs="Times New Roman"/>
                <w:b/>
                <w:bCs/>
                <w:sz w:val="24"/>
                <w:szCs w:val="24"/>
              </w:rPr>
            </w:pPr>
            <w:r w:rsidRPr="00BA311B">
              <w:rPr>
                <w:rFonts w:ascii="Times New Roman" w:hAnsi="Times New Roman" w:cs="Times New Roman"/>
                <w:b/>
                <w:bCs/>
                <w:sz w:val="24"/>
                <w:szCs w:val="24"/>
              </w:rPr>
              <w:t>Igazság</w:t>
            </w:r>
            <w:r w:rsidR="009E0CEF">
              <w:rPr>
                <w:rFonts w:ascii="Times New Roman" w:hAnsi="Times New Roman" w:cs="Times New Roman"/>
                <w:b/>
                <w:bCs/>
                <w:sz w:val="24"/>
                <w:szCs w:val="24"/>
              </w:rPr>
              <w:t>-</w:t>
            </w:r>
            <w:r w:rsidRPr="00BA311B">
              <w:rPr>
                <w:rFonts w:ascii="Times New Roman" w:hAnsi="Times New Roman" w:cs="Times New Roman"/>
                <w:b/>
                <w:bCs/>
                <w:sz w:val="24"/>
                <w:szCs w:val="24"/>
              </w:rPr>
              <w:t>szolgáltatás</w:t>
            </w:r>
          </w:p>
        </w:tc>
        <w:tc>
          <w:tcPr>
            <w:tcW w:w="1514" w:type="dxa"/>
          </w:tcPr>
          <w:p w14:paraId="6977FA57" w14:textId="77777777"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sz w:val="24"/>
                <w:szCs w:val="24"/>
              </w:rPr>
              <w:t>Ügyészség</w:t>
            </w:r>
          </w:p>
        </w:tc>
        <w:tc>
          <w:tcPr>
            <w:tcW w:w="1762" w:type="dxa"/>
          </w:tcPr>
          <w:p w14:paraId="376C4083" w14:textId="49A0CA5B"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mindenkire</w:t>
            </w:r>
          </w:p>
        </w:tc>
        <w:tc>
          <w:tcPr>
            <w:tcW w:w="1806" w:type="dxa"/>
          </w:tcPr>
          <w:p w14:paraId="4749157B" w14:textId="4885E70A" w:rsidR="003E11B1" w:rsidRDefault="003E11B1" w:rsidP="00974440">
            <w:pPr>
              <w:rPr>
                <w:rFonts w:ascii="Times New Roman" w:hAnsi="Times New Roman" w:cs="Times New Roman"/>
                <w:sz w:val="24"/>
                <w:szCs w:val="24"/>
              </w:rPr>
            </w:pPr>
            <w:r>
              <w:rPr>
                <w:rFonts w:ascii="Times New Roman" w:hAnsi="Times New Roman" w:cs="Times New Roman"/>
                <w:sz w:val="24"/>
                <w:szCs w:val="24"/>
              </w:rPr>
              <w:t xml:space="preserve">centralizált </w:t>
            </w:r>
          </w:p>
        </w:tc>
        <w:tc>
          <w:tcPr>
            <w:tcW w:w="1874" w:type="dxa"/>
          </w:tcPr>
          <w:p w14:paraId="68C5D9CC" w14:textId="53FD36E9" w:rsidR="003E11B1" w:rsidRDefault="003E11B1" w:rsidP="00974440">
            <w:pPr>
              <w:rPr>
                <w:rFonts w:ascii="Times New Roman" w:hAnsi="Times New Roman" w:cs="Times New Roman"/>
                <w:sz w:val="24"/>
                <w:szCs w:val="24"/>
              </w:rPr>
            </w:pPr>
            <w:r>
              <w:rPr>
                <w:rFonts w:ascii="Times New Roman" w:hAnsi="Times New Roman" w:cs="Times New Roman"/>
                <w:sz w:val="24"/>
                <w:szCs w:val="24"/>
              </w:rPr>
              <w:t>a jelenlegi 157. § szerinti „megállapodás” mintájára, de kollektív szerződésként</w:t>
            </w:r>
          </w:p>
        </w:tc>
      </w:tr>
      <w:tr w:rsidR="003E11B1" w:rsidRPr="00BA311B" w14:paraId="2BA75A1F" w14:textId="09414C7E" w:rsidTr="003E11B1">
        <w:tc>
          <w:tcPr>
            <w:tcW w:w="2106" w:type="dxa"/>
            <w:vMerge/>
            <w:vAlign w:val="center"/>
          </w:tcPr>
          <w:p w14:paraId="7816B4DF" w14:textId="77777777" w:rsidR="003E11B1" w:rsidRPr="00BA311B" w:rsidRDefault="003E11B1" w:rsidP="00974440">
            <w:pPr>
              <w:rPr>
                <w:rFonts w:ascii="Times New Roman" w:hAnsi="Times New Roman" w:cs="Times New Roman"/>
                <w:sz w:val="24"/>
                <w:szCs w:val="24"/>
              </w:rPr>
            </w:pPr>
          </w:p>
        </w:tc>
        <w:tc>
          <w:tcPr>
            <w:tcW w:w="1514" w:type="dxa"/>
          </w:tcPr>
          <w:p w14:paraId="1A25BDAF" w14:textId="77777777"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sz w:val="24"/>
                <w:szCs w:val="24"/>
              </w:rPr>
              <w:t>Bíróságok</w:t>
            </w:r>
          </w:p>
        </w:tc>
        <w:tc>
          <w:tcPr>
            <w:tcW w:w="1762" w:type="dxa"/>
          </w:tcPr>
          <w:p w14:paraId="282EEF84" w14:textId="77777777"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sz w:val="24"/>
                <w:szCs w:val="24"/>
              </w:rPr>
              <w:t>Nem.</w:t>
            </w:r>
          </w:p>
        </w:tc>
        <w:tc>
          <w:tcPr>
            <w:tcW w:w="1806" w:type="dxa"/>
          </w:tcPr>
          <w:p w14:paraId="33105FD8" w14:textId="27130D19"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w:t>
            </w:r>
          </w:p>
        </w:tc>
        <w:tc>
          <w:tcPr>
            <w:tcW w:w="1874" w:type="dxa"/>
          </w:tcPr>
          <w:p w14:paraId="29202809" w14:textId="20EA3959"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w:t>
            </w:r>
          </w:p>
        </w:tc>
      </w:tr>
      <w:tr w:rsidR="003E11B1" w:rsidRPr="00BA311B" w14:paraId="7FED1E3E" w14:textId="51ACA5D4" w:rsidTr="003E11B1">
        <w:tc>
          <w:tcPr>
            <w:tcW w:w="2106" w:type="dxa"/>
            <w:vMerge/>
            <w:vAlign w:val="center"/>
          </w:tcPr>
          <w:p w14:paraId="4E390F75" w14:textId="77777777" w:rsidR="003E11B1" w:rsidRPr="00BA311B" w:rsidRDefault="003E11B1" w:rsidP="00974440">
            <w:pPr>
              <w:rPr>
                <w:rFonts w:ascii="Times New Roman" w:hAnsi="Times New Roman" w:cs="Times New Roman"/>
                <w:sz w:val="24"/>
                <w:szCs w:val="24"/>
              </w:rPr>
            </w:pPr>
          </w:p>
        </w:tc>
        <w:tc>
          <w:tcPr>
            <w:tcW w:w="1514" w:type="dxa"/>
          </w:tcPr>
          <w:p w14:paraId="7E12DE2E" w14:textId="77777777" w:rsidR="003E11B1" w:rsidRPr="00BA311B" w:rsidRDefault="003E11B1" w:rsidP="00974440">
            <w:pPr>
              <w:rPr>
                <w:rFonts w:ascii="Times New Roman" w:hAnsi="Times New Roman" w:cs="Times New Roman"/>
                <w:sz w:val="24"/>
                <w:szCs w:val="24"/>
              </w:rPr>
            </w:pPr>
            <w:r w:rsidRPr="00BA311B">
              <w:rPr>
                <w:rFonts w:ascii="Times New Roman" w:hAnsi="Times New Roman" w:cs="Times New Roman"/>
                <w:sz w:val="24"/>
                <w:szCs w:val="24"/>
              </w:rPr>
              <w:t>Egyéb igazságügyi alkalmazottak</w:t>
            </w:r>
          </w:p>
        </w:tc>
        <w:tc>
          <w:tcPr>
            <w:tcW w:w="1762" w:type="dxa"/>
          </w:tcPr>
          <w:p w14:paraId="733CD610" w14:textId="3C1074E3"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mindenkire, a „magas beosztású” alkalmazottak kivételével</w:t>
            </w:r>
          </w:p>
        </w:tc>
        <w:tc>
          <w:tcPr>
            <w:tcW w:w="1806" w:type="dxa"/>
          </w:tcPr>
          <w:p w14:paraId="3C895D44" w14:textId="04942A0C" w:rsidR="003E11B1" w:rsidRDefault="003E11B1" w:rsidP="00974440">
            <w:pPr>
              <w:rPr>
                <w:rFonts w:ascii="Times New Roman" w:hAnsi="Times New Roman" w:cs="Times New Roman"/>
                <w:sz w:val="24"/>
                <w:szCs w:val="24"/>
              </w:rPr>
            </w:pPr>
            <w:r>
              <w:rPr>
                <w:rFonts w:ascii="Times New Roman" w:hAnsi="Times New Roman" w:cs="Times New Roman"/>
                <w:sz w:val="24"/>
                <w:szCs w:val="24"/>
              </w:rPr>
              <w:t>centralizált</w:t>
            </w:r>
          </w:p>
        </w:tc>
        <w:tc>
          <w:tcPr>
            <w:tcW w:w="1874" w:type="dxa"/>
          </w:tcPr>
          <w:p w14:paraId="67629792" w14:textId="7E483C79" w:rsidR="003E11B1" w:rsidRDefault="009E0CEF" w:rsidP="00974440">
            <w:pPr>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3E11B1" w:rsidRPr="00BA311B" w14:paraId="4F825DED" w14:textId="4C5DA8E9" w:rsidTr="003E11B1">
        <w:trPr>
          <w:trHeight w:val="465"/>
        </w:trPr>
        <w:tc>
          <w:tcPr>
            <w:tcW w:w="3620" w:type="dxa"/>
            <w:gridSpan w:val="2"/>
            <w:vAlign w:val="center"/>
          </w:tcPr>
          <w:p w14:paraId="57D9A3B7" w14:textId="06E36EFB" w:rsidR="003E11B1" w:rsidRPr="00BA311B" w:rsidRDefault="003E11B1" w:rsidP="00DC65EE">
            <w:pPr>
              <w:rPr>
                <w:rFonts w:ascii="Times New Roman" w:hAnsi="Times New Roman" w:cs="Times New Roman"/>
                <w:sz w:val="24"/>
                <w:szCs w:val="24"/>
              </w:rPr>
            </w:pPr>
            <w:r w:rsidRPr="003B6741">
              <w:rPr>
                <w:rFonts w:ascii="Times New Roman" w:hAnsi="Times New Roman" w:cs="Times New Roman"/>
                <w:b/>
                <w:bCs/>
                <w:sz w:val="24"/>
                <w:szCs w:val="24"/>
              </w:rPr>
              <w:t>Köztulajdonban álló munkáltatók</w:t>
            </w:r>
          </w:p>
        </w:tc>
        <w:tc>
          <w:tcPr>
            <w:tcW w:w="1762" w:type="dxa"/>
            <w:vAlign w:val="center"/>
          </w:tcPr>
          <w:p w14:paraId="3ADD1BDA" w14:textId="615B9506" w:rsidR="003E11B1" w:rsidRPr="00BA311B" w:rsidRDefault="003E11B1" w:rsidP="00974440">
            <w:pPr>
              <w:rPr>
                <w:rFonts w:ascii="Times New Roman" w:hAnsi="Times New Roman" w:cs="Times New Roman"/>
                <w:sz w:val="24"/>
                <w:szCs w:val="24"/>
              </w:rPr>
            </w:pPr>
            <w:r>
              <w:rPr>
                <w:rFonts w:ascii="Times New Roman" w:hAnsi="Times New Roman" w:cs="Times New Roman"/>
                <w:sz w:val="24"/>
                <w:szCs w:val="24"/>
              </w:rPr>
              <w:t>mindenkire, a vezetők kivételével</w:t>
            </w:r>
          </w:p>
        </w:tc>
        <w:tc>
          <w:tcPr>
            <w:tcW w:w="1806" w:type="dxa"/>
          </w:tcPr>
          <w:p w14:paraId="2F68D0BC" w14:textId="3A821CCE" w:rsidR="003E11B1" w:rsidRDefault="003E11B1" w:rsidP="00974440">
            <w:pPr>
              <w:rPr>
                <w:rFonts w:ascii="Times New Roman" w:hAnsi="Times New Roman" w:cs="Times New Roman"/>
                <w:sz w:val="24"/>
                <w:szCs w:val="24"/>
              </w:rPr>
            </w:pPr>
            <w:r>
              <w:rPr>
                <w:rFonts w:ascii="Times New Roman" w:hAnsi="Times New Roman" w:cs="Times New Roman"/>
                <w:sz w:val="24"/>
                <w:szCs w:val="24"/>
              </w:rPr>
              <w:t>többszintű (munkahelyi és ágazati is)</w:t>
            </w:r>
          </w:p>
        </w:tc>
        <w:tc>
          <w:tcPr>
            <w:tcW w:w="1874" w:type="dxa"/>
          </w:tcPr>
          <w:p w14:paraId="4025C990" w14:textId="23D19045" w:rsidR="003E11B1" w:rsidRDefault="003E11B1" w:rsidP="00974440">
            <w:pPr>
              <w:rPr>
                <w:rFonts w:ascii="Times New Roman" w:hAnsi="Times New Roman" w:cs="Times New Roman"/>
                <w:sz w:val="24"/>
                <w:szCs w:val="24"/>
              </w:rPr>
            </w:pPr>
            <w:r>
              <w:rPr>
                <w:rFonts w:ascii="Times New Roman" w:hAnsi="Times New Roman" w:cs="Times New Roman"/>
                <w:sz w:val="24"/>
                <w:szCs w:val="24"/>
              </w:rPr>
              <w:t>az abszolút diszpozitivitás szerint</w:t>
            </w:r>
          </w:p>
        </w:tc>
      </w:tr>
    </w:tbl>
    <w:p w14:paraId="5C372856" w14:textId="2B37C308" w:rsidR="00DC65EE" w:rsidRPr="009E0CEF" w:rsidRDefault="009E0CEF" w:rsidP="009E0CEF">
      <w:pPr>
        <w:jc w:val="right"/>
        <w:rPr>
          <w:rFonts w:ascii="Times New Roman" w:eastAsia="Times New Roman" w:hAnsi="Times New Roman" w:cs="Times New Roman"/>
          <w:i/>
          <w:iCs/>
          <w:color w:val="000000"/>
          <w:sz w:val="24"/>
          <w:szCs w:val="24"/>
          <w:lang w:eastAsia="hu-HU"/>
        </w:rPr>
      </w:pPr>
      <w:r w:rsidRPr="009E0CEF">
        <w:rPr>
          <w:rFonts w:ascii="Times New Roman" w:eastAsia="Times New Roman" w:hAnsi="Times New Roman" w:cs="Times New Roman"/>
          <w:i/>
          <w:iCs/>
          <w:color w:val="000000"/>
          <w:sz w:val="24"/>
          <w:szCs w:val="24"/>
          <w:lang w:eastAsia="hu-HU"/>
        </w:rPr>
        <w:t>2. táblázat: Javaslatok a kollektív alku átalakítására a közszférában</w:t>
      </w:r>
    </w:p>
    <w:sectPr w:rsidR="00DC65EE" w:rsidRPr="009E0C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3736" w14:textId="77777777" w:rsidR="00C72625" w:rsidRDefault="00C72625" w:rsidP="000E2EED">
      <w:pPr>
        <w:spacing w:after="0" w:line="240" w:lineRule="auto"/>
      </w:pPr>
      <w:r>
        <w:separator/>
      </w:r>
    </w:p>
  </w:endnote>
  <w:endnote w:type="continuationSeparator" w:id="0">
    <w:p w14:paraId="3FEE47E5" w14:textId="77777777" w:rsidR="00C72625" w:rsidRDefault="00C72625" w:rsidP="000E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02638"/>
      <w:docPartObj>
        <w:docPartGallery w:val="Page Numbers (Bottom of Page)"/>
        <w:docPartUnique/>
      </w:docPartObj>
    </w:sdtPr>
    <w:sdtContent>
      <w:p w14:paraId="552038B1" w14:textId="6B42A9D5" w:rsidR="00EA42E4" w:rsidRDefault="00EA42E4">
        <w:pPr>
          <w:pStyle w:val="llb"/>
          <w:jc w:val="center"/>
        </w:pPr>
        <w:r>
          <w:fldChar w:fldCharType="begin"/>
        </w:r>
        <w:r>
          <w:instrText>PAGE   \* MERGEFORMAT</w:instrText>
        </w:r>
        <w:r>
          <w:fldChar w:fldCharType="separate"/>
        </w:r>
        <w:r>
          <w:t>2</w:t>
        </w:r>
        <w:r>
          <w:fldChar w:fldCharType="end"/>
        </w:r>
      </w:p>
    </w:sdtContent>
  </w:sdt>
  <w:p w14:paraId="116F1764" w14:textId="77777777" w:rsidR="00EA42E4" w:rsidRDefault="00EA42E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053E" w14:textId="77777777" w:rsidR="00C72625" w:rsidRDefault="00C72625" w:rsidP="000E2EED">
      <w:pPr>
        <w:spacing w:after="0" w:line="240" w:lineRule="auto"/>
      </w:pPr>
      <w:r>
        <w:separator/>
      </w:r>
    </w:p>
  </w:footnote>
  <w:footnote w:type="continuationSeparator" w:id="0">
    <w:p w14:paraId="004EA44A" w14:textId="77777777" w:rsidR="00C72625" w:rsidRDefault="00C72625" w:rsidP="000E2EED">
      <w:pPr>
        <w:spacing w:after="0" w:line="240" w:lineRule="auto"/>
      </w:pPr>
      <w:r>
        <w:continuationSeparator/>
      </w:r>
    </w:p>
  </w:footnote>
  <w:footnote w:id="1">
    <w:p w14:paraId="78D4852E" w14:textId="41CF3B02" w:rsidR="00A15C01" w:rsidRPr="00E3073A" w:rsidRDefault="00A15C0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Az összehasonlításhoz részletesen lásd: Kun Attila – Petrovics Zoltán: A közszolgálati jog önálló jogági fejlődésének kérdéséről. In: Hazafi Zoltán (szerk.): Közszolgálati életpálya és emberi erőforrás gazdálkodás. Budapest, Magyar Közlöny Lap- és Könyvkiadó, 2014.</w:t>
      </w:r>
    </w:p>
  </w:footnote>
  <w:footnote w:id="2">
    <w:p w14:paraId="6A1278E8" w14:textId="77777777" w:rsidR="001D046C" w:rsidRPr="00E3073A" w:rsidRDefault="001D046C"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Clyde Summers: Public Sector Bargaining: A Different Animal. University of Pennsylvania Journal of Labor and Employment Law, 2003/3., 442–443.</w:t>
      </w:r>
    </w:p>
  </w:footnote>
  <w:footnote w:id="3">
    <w:p w14:paraId="6708A2BF" w14:textId="77777777" w:rsidR="001D046C" w:rsidRPr="00E3073A" w:rsidRDefault="001D046C"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Daniel Chigudu: Collective bargaining: An analysis of hurdles and applicability in the public sector. Journal of Governance and Regulation, 2015/1., 171.</w:t>
      </w:r>
    </w:p>
  </w:footnote>
  <w:footnote w:id="4">
    <w:p w14:paraId="471D2DCF" w14:textId="7D1C2ADE" w:rsidR="00F067AA" w:rsidRPr="00E3073A" w:rsidRDefault="00F067AA"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Horváth István: „Diagnózis és terápia.” Javaslat a közszolgálat munkajogi szabályozásának reformjára – figyelemmel az EU-tagállamok jogalkotására és hazai helyzetünkre. Phd értekezés, Budapest, 2006, 262.</w:t>
      </w:r>
    </w:p>
  </w:footnote>
  <w:footnote w:id="5">
    <w:p w14:paraId="0BC7E04E" w14:textId="77777777" w:rsidR="003503DE" w:rsidRPr="00E3073A" w:rsidRDefault="003503DE"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Alexander De Becker: Collective bargaining in the public sector: different models in a distinct international framework. Beryl ter Haar és Attila Kun (szerk.): EU Collective Labour Law. Edward Elgar, 2021, 300.</w:t>
      </w:r>
    </w:p>
  </w:footnote>
  <w:footnote w:id="6">
    <w:p w14:paraId="7669353A" w14:textId="26D470EC" w:rsidR="00A15C01" w:rsidRPr="00E3073A" w:rsidRDefault="00A15C0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Horváth 2006, 99.</w:t>
      </w:r>
    </w:p>
  </w:footnote>
  <w:footnote w:id="7">
    <w:p w14:paraId="61B546AD" w14:textId="77777777" w:rsidR="001D046C" w:rsidRPr="00E3073A" w:rsidRDefault="001D046C"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Summers, 443.</w:t>
      </w:r>
    </w:p>
  </w:footnote>
  <w:footnote w:id="8">
    <w:p w14:paraId="2887263A" w14:textId="77777777" w:rsidR="003503DE" w:rsidRPr="00E3073A" w:rsidRDefault="003503DE"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ILO, 2019, 23.</w:t>
      </w:r>
    </w:p>
  </w:footnote>
  <w:footnote w:id="9">
    <w:p w14:paraId="38CC9F5A" w14:textId="3450FE8A" w:rsidR="00DD102B" w:rsidRPr="00E3073A" w:rsidRDefault="00DD102B"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https://www.ilo.org/declaration/lang--en/index.htm</w:t>
      </w:r>
    </w:p>
  </w:footnote>
  <w:footnote w:id="10">
    <w:p w14:paraId="37A1EB3D" w14:textId="2F0EF679" w:rsidR="00581388" w:rsidRPr="00E3073A" w:rsidRDefault="0058138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87. sz. Egyezmény (1948) 9. cikk (1) bek.; 98. sz. Egyezmény (1949) 5. cikk (1) bek.; 151. sz. Egyezmény (1978) 1. cikk (3) bek.; 154. sz. Egyezmény (1981) 1. cikk (2) bek.</w:t>
      </w:r>
    </w:p>
  </w:footnote>
  <w:footnote w:id="11">
    <w:p w14:paraId="179D5833" w14:textId="335E0C2D" w:rsidR="00581388" w:rsidRPr="00E3073A" w:rsidRDefault="0058138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98. sz. Egyezmény (1949) 6. cikk; 154. sz. Egyezmény (1981) 1. cikk (3) bek.</w:t>
      </w:r>
    </w:p>
  </w:footnote>
  <w:footnote w:id="12">
    <w:p w14:paraId="2C02160C" w14:textId="77777777" w:rsidR="00581388" w:rsidRPr="00E3073A" w:rsidRDefault="0058138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Compilation of decisions of the Committee on Freedom of Association, sixth edition, 2018. (a továbbiakban: Compilation) 1239. és 1241. bek.</w:t>
      </w:r>
    </w:p>
  </w:footnote>
  <w:footnote w:id="13">
    <w:p w14:paraId="67148B2C" w14:textId="74EC140C" w:rsidR="00581388" w:rsidRPr="00E3073A" w:rsidRDefault="0058138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Compilation 1270. és 1269. bek.</w:t>
      </w:r>
    </w:p>
  </w:footnote>
  <w:footnote w:id="14">
    <w:p w14:paraId="1788C5BF" w14:textId="0551B195" w:rsidR="00EA42E4" w:rsidRPr="00E3073A" w:rsidRDefault="00EA42E4"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International Labour Office (ILO): The Scope of Collective Bargaining in Public Administration. SECTOR working paper No. </w:t>
      </w:r>
      <w:proofErr w:type="gramStart"/>
      <w:r w:rsidRPr="00E3073A">
        <w:rPr>
          <w:rFonts w:ascii="Times New Roman" w:hAnsi="Times New Roman" w:cs="Times New Roman"/>
        </w:rPr>
        <w:t>329 ,</w:t>
      </w:r>
      <w:proofErr w:type="gramEnd"/>
      <w:r w:rsidRPr="00E3073A">
        <w:rPr>
          <w:rFonts w:ascii="Times New Roman" w:hAnsi="Times New Roman" w:cs="Times New Roman"/>
        </w:rPr>
        <w:t xml:space="preserve"> Sectoral Policies Department, Geneva, 2019, 4.</w:t>
      </w:r>
    </w:p>
  </w:footnote>
  <w:footnote w:id="15">
    <w:p w14:paraId="174DB805" w14:textId="50BB2FC6" w:rsidR="00105343" w:rsidRPr="00E3073A" w:rsidRDefault="00105343"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ILO 2019, 12.</w:t>
      </w:r>
    </w:p>
  </w:footnote>
  <w:footnote w:id="16">
    <w:p w14:paraId="32780F9E" w14:textId="77777777" w:rsidR="00EA42E4" w:rsidRPr="00E3073A" w:rsidRDefault="00EA42E4"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151. sz. Egyezmény (1978) 1. cikk (2) bek.</w:t>
      </w:r>
    </w:p>
  </w:footnote>
  <w:footnote w:id="17">
    <w:p w14:paraId="4761E569" w14:textId="442FD85E" w:rsidR="00581388" w:rsidRPr="00E3073A" w:rsidRDefault="0058138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00EA42E4" w:rsidRPr="00E3073A">
        <w:rPr>
          <w:rFonts w:ascii="Times New Roman" w:hAnsi="Times New Roman" w:cs="Times New Roman"/>
        </w:rPr>
        <w:t xml:space="preserve"> ILO</w:t>
      </w:r>
      <w:r w:rsidRPr="00E3073A">
        <w:rPr>
          <w:rFonts w:ascii="Times New Roman" w:hAnsi="Times New Roman" w:cs="Times New Roman"/>
        </w:rPr>
        <w:t xml:space="preserve"> 2019, 13.</w:t>
      </w:r>
    </w:p>
  </w:footnote>
  <w:footnote w:id="18">
    <w:p w14:paraId="59A324A4" w14:textId="0EFF795F" w:rsidR="00EA42E4" w:rsidRPr="00E3073A" w:rsidRDefault="00EA42E4"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European Confederation of Police (EuroCOP) v. Ireland, Complaint No. 83/2012, para. 176.</w:t>
      </w:r>
      <w:r w:rsidR="000B2F9E" w:rsidRPr="00E3073A">
        <w:rPr>
          <w:rFonts w:ascii="Times New Roman" w:hAnsi="Times New Roman" w:cs="Times New Roman"/>
        </w:rPr>
        <w:t xml:space="preserve"> Karin Lukas: The Revised European Social Charter. An Article by Article Commentary. Edward Elgar, 2021, 6.16–6.17. https://www.elgaronline.com/monobook-oa/book/9781789903645/9781789903645.xml</w:t>
      </w:r>
    </w:p>
  </w:footnote>
  <w:footnote w:id="19">
    <w:p w14:paraId="6E796BEB" w14:textId="22FF4BD2" w:rsidR="000B2F9E" w:rsidRPr="00E3073A" w:rsidRDefault="000B2F9E"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International Labour Office: Collective bargaining in the public service in the European Union. Working paper (WP 309), Geneva, 2015, 1–2., 24.</w:t>
      </w:r>
    </w:p>
  </w:footnote>
  <w:footnote w:id="20">
    <w:p w14:paraId="69704C78" w14:textId="3314FD35" w:rsidR="00185697" w:rsidRPr="00E3073A"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2000. évi LII. törvény az egyesülési szabadság és a szervezkedési jog védelméről szóló, a Nemzetközi Munkaügyi Konferencia 1948. évi 31. ülésszakán elfogadott 87. számú Egyezmény kihirdetéséről; 2000. évi LV. törvény a szervezkedési jog és a kollektív tárgyalási jog elveinek alkalmazásáról szóló, a Nemzetközi Munkaügyi Konferencia 1949. évi 32. ülésszakán elfogadott 98. számú Egyezmény kihirdetéséről; 2000. évi LXXIII. törvény a közszolgálatban foglalkoztatottak szervezkedési szabadságának védelméről és a foglalkoztatási feltételeik megállapításával kapcsolatos eljárásokról szóló, a Nemzetközi Munkaügyi Konferencia 1978. évi 64. ülésszakán elfogadott 151. számú Egyezmény kihirdetéséről; 2000. évi LXXIV. törvény a kollektív tárgyalások előmozdításáról szóló, a Nemzetközi Munkaügyi Konferencia 1981. évi 67. ülésszakán elfogadott 154. számú Egyezmény kihirdetéséről; 2009. évi VI. törvény a Módosított Európai Szociális Karta kihirdetéséről.</w:t>
      </w:r>
    </w:p>
  </w:footnote>
  <w:footnote w:id="21">
    <w:p w14:paraId="241150B6" w14:textId="2AB27D11" w:rsidR="00D52E0C" w:rsidRPr="00D52E0C" w:rsidRDefault="00D52E0C" w:rsidP="00D52E0C">
      <w:pPr>
        <w:spacing w:after="0" w:line="240" w:lineRule="auto"/>
        <w:rPr>
          <w:rFonts w:ascii="Times New Roman" w:hAnsi="Times New Roman" w:cs="Times New Roman"/>
          <w:sz w:val="20"/>
          <w:szCs w:val="20"/>
        </w:rPr>
      </w:pPr>
      <w:r w:rsidRPr="00D52E0C">
        <w:rPr>
          <w:rStyle w:val="Lbjegyzet-hivatkozs"/>
          <w:rFonts w:ascii="Times New Roman" w:hAnsi="Times New Roman" w:cs="Times New Roman"/>
          <w:sz w:val="20"/>
          <w:szCs w:val="20"/>
        </w:rPr>
        <w:footnoteRef/>
      </w:r>
      <w:r w:rsidRPr="00D52E0C">
        <w:rPr>
          <w:rFonts w:ascii="Times New Roman" w:hAnsi="Times New Roman" w:cs="Times New Roman"/>
          <w:sz w:val="20"/>
          <w:szCs w:val="20"/>
        </w:rPr>
        <w:t xml:space="preserve"> Hasonlóan ahhoz, hogy a versenyszférában sem hozta magával a kollektív szerződések </w:t>
      </w:r>
      <w:r w:rsidR="00F5499C">
        <w:rPr>
          <w:rFonts w:ascii="Times New Roman" w:hAnsi="Times New Roman" w:cs="Times New Roman"/>
          <w:sz w:val="20"/>
          <w:szCs w:val="20"/>
        </w:rPr>
        <w:t>bővülését</w:t>
      </w:r>
      <w:r w:rsidRPr="00D52E0C">
        <w:rPr>
          <w:rFonts w:ascii="Times New Roman" w:hAnsi="Times New Roman" w:cs="Times New Roman"/>
          <w:sz w:val="20"/>
          <w:szCs w:val="20"/>
        </w:rPr>
        <w:t xml:space="preserve"> a 2012-ben bevezetett, a korábbihoz képest jóval liberálisabb rendszer. Vö. Kun</w:t>
      </w:r>
      <w:r>
        <w:rPr>
          <w:rFonts w:ascii="Times New Roman" w:hAnsi="Times New Roman" w:cs="Times New Roman"/>
          <w:sz w:val="20"/>
          <w:szCs w:val="20"/>
        </w:rPr>
        <w:t>–</w:t>
      </w:r>
      <w:r w:rsidRPr="00D52E0C">
        <w:rPr>
          <w:rFonts w:ascii="Times New Roman" w:hAnsi="Times New Roman" w:cs="Times New Roman"/>
          <w:sz w:val="20"/>
          <w:szCs w:val="20"/>
        </w:rPr>
        <w:t>Petrovics 2014, 2</w:t>
      </w:r>
      <w:r>
        <w:rPr>
          <w:rFonts w:ascii="Times New Roman" w:hAnsi="Times New Roman" w:cs="Times New Roman"/>
          <w:sz w:val="20"/>
          <w:szCs w:val="20"/>
        </w:rPr>
        <w:t>8</w:t>
      </w:r>
      <w:r w:rsidRPr="00D52E0C">
        <w:rPr>
          <w:rFonts w:ascii="Times New Roman" w:hAnsi="Times New Roman" w:cs="Times New Roman"/>
          <w:sz w:val="20"/>
          <w:szCs w:val="20"/>
        </w:rPr>
        <w:t>.</w:t>
      </w:r>
    </w:p>
  </w:footnote>
  <w:footnote w:id="22">
    <w:p w14:paraId="2D447030" w14:textId="77777777" w:rsidR="00A85312" w:rsidRPr="00E3073A" w:rsidRDefault="00A85312" w:rsidP="00E3073A">
      <w:pPr>
        <w:spacing w:after="0" w:line="240" w:lineRule="auto"/>
        <w:jc w:val="both"/>
        <w:rPr>
          <w:rFonts w:ascii="Times New Roman" w:hAnsi="Times New Roman" w:cs="Times New Roman"/>
          <w:sz w:val="20"/>
          <w:szCs w:val="20"/>
        </w:rPr>
      </w:pPr>
      <w:r w:rsidRPr="00E3073A">
        <w:rPr>
          <w:rStyle w:val="Lbjegyzet-hivatkozs"/>
          <w:rFonts w:ascii="Times New Roman" w:hAnsi="Times New Roman" w:cs="Times New Roman"/>
          <w:sz w:val="20"/>
          <w:szCs w:val="20"/>
        </w:rPr>
        <w:footnoteRef/>
      </w:r>
      <w:r w:rsidRPr="00E3073A">
        <w:rPr>
          <w:rFonts w:ascii="Times New Roman" w:hAnsi="Times New Roman" w:cs="Times New Roman"/>
          <w:sz w:val="20"/>
          <w:szCs w:val="20"/>
        </w:rPr>
        <w:t xml:space="preserve"> http://mkir.gov.hu/tag2022/tag2022_tablazatok.php</w:t>
      </w:r>
    </w:p>
  </w:footnote>
  <w:footnote w:id="23">
    <w:p w14:paraId="4A4DEB4F" w14:textId="463B8B1F" w:rsidR="00E3073A" w:rsidRPr="00E3073A" w:rsidRDefault="00E3073A"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Berki Erzsébet: Kollektív szerződések Magyarországon (2012-2023). In: Gyulavári Tamás – Kártyás Gábor: A kollektív szerződéses lefedettség csökkenése Magyarországon 2012-2023. Friedrich Ebert Stiftung, Budapest, 2023, 8.</w:t>
      </w:r>
    </w:p>
  </w:footnote>
  <w:footnote w:id="24">
    <w:p w14:paraId="18215174" w14:textId="52115EFC" w:rsidR="000E7B31" w:rsidRPr="00E3073A" w:rsidRDefault="000E7B3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Horváth István – Kártyás Gábor: Látlelet: Az egészségügyi szolgálati jogviszonyról és a szabályozás kérdőjeleiről. Munkajog, 2021/1., 1 –3.</w:t>
      </w:r>
    </w:p>
  </w:footnote>
  <w:footnote w:id="25">
    <w:p w14:paraId="21395FE8" w14:textId="77777777" w:rsidR="00185697" w:rsidRPr="00E3073A"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Kjt. 13. § a) pont.</w:t>
      </w:r>
    </w:p>
  </w:footnote>
  <w:footnote w:id="26">
    <w:p w14:paraId="3120FECE" w14:textId="77777777" w:rsidR="00185697" w:rsidRPr="00E3073A"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Kjt. 13. § b–c) pont.</w:t>
      </w:r>
    </w:p>
  </w:footnote>
  <w:footnote w:id="27">
    <w:p w14:paraId="59DBEF2A" w14:textId="77777777" w:rsidR="00185697" w:rsidRPr="00E3073A"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Bérces Kamilla – Kártyás Gábor – Kovács Szabolcs – Takács Gábor: </w:t>
      </w:r>
      <w:r w:rsidRPr="00E3073A">
        <w:rPr>
          <w:rFonts w:ascii="Times New Roman" w:hAnsi="Times New Roman" w:cs="Times New Roman"/>
          <w:i/>
        </w:rPr>
        <w:t>Kommentár a közalkalmazottak jogállásáról szóló törvényhez.</w:t>
      </w:r>
      <w:r w:rsidRPr="00E3073A">
        <w:rPr>
          <w:rFonts w:ascii="Times New Roman" w:hAnsi="Times New Roman" w:cs="Times New Roman"/>
        </w:rPr>
        <w:t xml:space="preserve"> Budapest, Wolters Kluwer, 2018, 75–77.</w:t>
      </w:r>
    </w:p>
  </w:footnote>
  <w:footnote w:id="28">
    <w:p w14:paraId="1F715B17" w14:textId="6FC306D4" w:rsidR="00820B35" w:rsidRPr="00E3073A" w:rsidRDefault="00820B35"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Meg kell jegyezni, hogy a jogalkotó egyelőre nem módosította a </w:t>
      </w:r>
      <w:proofErr w:type="gramStart"/>
      <w:r w:rsidRPr="00E3073A">
        <w:rPr>
          <w:rFonts w:ascii="Times New Roman" w:hAnsi="Times New Roman" w:cs="Times New Roman"/>
        </w:rPr>
        <w:t>Péptv.-</w:t>
      </w:r>
      <w:proofErr w:type="gramEnd"/>
      <w:r w:rsidRPr="00E3073A">
        <w:rPr>
          <w:rFonts w:ascii="Times New Roman" w:hAnsi="Times New Roman" w:cs="Times New Roman"/>
        </w:rPr>
        <w:t>t a 22/2023. (X. 4.) AB határozatnak megfelelően, noha az abban foglaltak alapján világos, hogy e törvény hatálya alatt is jogosult módosítani és felmondani a kollektív szerződést az a szakszervezet, amely a kollektív szerződés megkötése után válik reprezentatívvá. Vö. Péptv. 149. § (9) bek.</w:t>
      </w:r>
    </w:p>
  </w:footnote>
  <w:footnote w:id="29">
    <w:p w14:paraId="4DDCFD1B" w14:textId="7EE1BB04" w:rsidR="00B34828" w:rsidRPr="00E3073A" w:rsidRDefault="00B34828"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Péptv. 150. § (2) bek.</w:t>
      </w:r>
    </w:p>
  </w:footnote>
  <w:footnote w:id="30">
    <w:p w14:paraId="06BAFD92" w14:textId="224F8780" w:rsidR="00185697" w:rsidRPr="00E3073A"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r w:rsidR="00820B35" w:rsidRPr="00E3073A">
        <w:rPr>
          <w:rFonts w:ascii="Times New Roman" w:hAnsi="Times New Roman" w:cs="Times New Roman"/>
        </w:rPr>
        <w:t>Eszjtv.</w:t>
      </w:r>
      <w:r w:rsidRPr="00E3073A">
        <w:rPr>
          <w:rFonts w:ascii="Times New Roman" w:hAnsi="Times New Roman" w:cs="Times New Roman"/>
        </w:rPr>
        <w:t xml:space="preserve"> 15. § (10) bekezdés és az egészségügyi dolgozók és egészségügyben dolgozók jogviszonyával kapcsolatos egyes kérdésekről szóló 530/2020. (XI. 28.) Korm. rendelet 6. §.</w:t>
      </w:r>
    </w:p>
  </w:footnote>
  <w:footnote w:id="31">
    <w:p w14:paraId="4E9E84B5" w14:textId="77777777" w:rsidR="00185697" w:rsidRPr="00E3073A" w:rsidRDefault="0018569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Részletesen lásd: Kártyás Gábor: Severe Restrictions on Hungarian Public Health-Care Workers’ Collective Rights Violate ilo Principles. </w:t>
      </w:r>
      <w:r w:rsidRPr="00E3073A">
        <w:rPr>
          <w:rFonts w:ascii="Times New Roman" w:hAnsi="Times New Roman" w:cs="Times New Roman"/>
          <w:i/>
        </w:rPr>
        <w:t>International Labor Rights Case Law</w:t>
      </w:r>
      <w:r w:rsidRPr="00E3073A">
        <w:rPr>
          <w:rFonts w:ascii="Times New Roman" w:hAnsi="Times New Roman" w:cs="Times New Roman"/>
        </w:rPr>
        <w:t>. 2022/2.</w:t>
      </w:r>
    </w:p>
  </w:footnote>
  <w:footnote w:id="32">
    <w:p w14:paraId="59278A36" w14:textId="3EF50F40" w:rsidR="002717AA" w:rsidRDefault="002717AA" w:rsidP="00146FCE">
      <w:pPr>
        <w:pStyle w:val="Lbjegyzetszveg"/>
        <w:jc w:val="both"/>
      </w:pPr>
      <w:r>
        <w:rPr>
          <w:rStyle w:val="Lbjegyzet-hivatkozs"/>
        </w:rPr>
        <w:footnoteRef/>
      </w:r>
      <w:r>
        <w:t xml:space="preserve"> </w:t>
      </w:r>
      <w:r w:rsidRPr="00E3073A">
        <w:rPr>
          <w:rFonts w:ascii="Times New Roman" w:hAnsi="Times New Roman" w:cs="Times New Roman"/>
        </w:rPr>
        <w:t>Lásd a kormányzati igazgatásról szóló 2018. évi CXXV. törvény (a továbbiakban: Kit.)</w:t>
      </w:r>
      <w:r>
        <w:rPr>
          <w:rFonts w:ascii="Times New Roman" w:hAnsi="Times New Roman" w:cs="Times New Roman"/>
        </w:rPr>
        <w:t xml:space="preserve"> 89. §; némileg szűkebb ez a jogosultság a másik két törvényben: </w:t>
      </w:r>
      <w:r w:rsidRPr="002717AA">
        <w:rPr>
          <w:rFonts w:ascii="Times New Roman" w:hAnsi="Times New Roman" w:cs="Times New Roman"/>
        </w:rPr>
        <w:t>2019. évi CVII. törvény</w:t>
      </w:r>
      <w:r>
        <w:rPr>
          <w:rFonts w:ascii="Times New Roman" w:hAnsi="Times New Roman" w:cs="Times New Roman"/>
        </w:rPr>
        <w:t xml:space="preserve"> </w:t>
      </w:r>
      <w:r w:rsidRPr="002717AA">
        <w:rPr>
          <w:rFonts w:ascii="Times New Roman" w:hAnsi="Times New Roman" w:cs="Times New Roman"/>
        </w:rPr>
        <w:t>a különleges jogállású szervekről és az általuk foglalkoztatottak jogállásáról</w:t>
      </w:r>
      <w:r>
        <w:rPr>
          <w:rFonts w:ascii="Times New Roman" w:hAnsi="Times New Roman" w:cs="Times New Roman"/>
        </w:rPr>
        <w:t xml:space="preserve"> (a továbbiakban: Küt.) 29. §</w:t>
      </w:r>
      <w:r w:rsidR="00146FCE">
        <w:rPr>
          <w:rFonts w:ascii="Times New Roman" w:hAnsi="Times New Roman" w:cs="Times New Roman"/>
        </w:rPr>
        <w:t>;</w:t>
      </w:r>
      <w:r w:rsidR="00146FCE" w:rsidRPr="00146FCE">
        <w:t xml:space="preserve"> </w:t>
      </w:r>
      <w:r w:rsidR="00146FCE" w:rsidRPr="00146FCE">
        <w:rPr>
          <w:rFonts w:ascii="Times New Roman" w:hAnsi="Times New Roman" w:cs="Times New Roman"/>
        </w:rPr>
        <w:t>2011. évi CXCIX. törvény</w:t>
      </w:r>
      <w:r w:rsidR="00146FCE">
        <w:rPr>
          <w:rFonts w:ascii="Times New Roman" w:hAnsi="Times New Roman" w:cs="Times New Roman"/>
        </w:rPr>
        <w:t xml:space="preserve"> </w:t>
      </w:r>
      <w:r w:rsidR="00146FCE" w:rsidRPr="00146FCE">
        <w:rPr>
          <w:rFonts w:ascii="Times New Roman" w:hAnsi="Times New Roman" w:cs="Times New Roman"/>
        </w:rPr>
        <w:t>a közszolgálati tisztviselőkről</w:t>
      </w:r>
      <w:r w:rsidR="00146FCE">
        <w:rPr>
          <w:rFonts w:ascii="Times New Roman" w:hAnsi="Times New Roman" w:cs="Times New Roman"/>
        </w:rPr>
        <w:t xml:space="preserve"> 48. §.</w:t>
      </w:r>
    </w:p>
  </w:footnote>
  <w:footnote w:id="33">
    <w:p w14:paraId="0A9FF66B" w14:textId="3B6480EB" w:rsidR="00C70987" w:rsidRPr="00E3073A" w:rsidRDefault="00C7098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Lásd Kit. 1. melléklet</w:t>
      </w:r>
      <w:r w:rsidR="00146FCE">
        <w:rPr>
          <w:rFonts w:ascii="Times New Roman" w:hAnsi="Times New Roman" w:cs="Times New Roman"/>
        </w:rPr>
        <w:t>, Küt. 1. és 2. melléklet.</w:t>
      </w:r>
    </w:p>
  </w:footnote>
  <w:footnote w:id="34">
    <w:p w14:paraId="73F91AFA" w14:textId="1CF832FC" w:rsidR="00F1370B" w:rsidRPr="00E3073A" w:rsidRDefault="00F1370B"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2018. évi CXIV. törvény a honvédelmi alkalmazottak jogállásáról; 2015. évi XLII. törvény a rendvédelmi feladatokat ellátó szervek hivatásos állományának szolgálati jogviszonyáról XXVIII/A. fejezet (a rendvédelmi igazgatási alkalmazottak szolgálati jogviszonya).</w:t>
      </w:r>
    </w:p>
  </w:footnote>
  <w:footnote w:id="35">
    <w:p w14:paraId="6F7807E7" w14:textId="354E2420" w:rsidR="001C3E96" w:rsidRPr="00E3073A" w:rsidRDefault="001C3E9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ILO 2019, 7–8.</w:t>
      </w:r>
    </w:p>
  </w:footnote>
  <w:footnote w:id="36">
    <w:p w14:paraId="67398D9F" w14:textId="73DB95D8" w:rsidR="001C3E96" w:rsidRPr="00E3073A" w:rsidRDefault="001C3E9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2011. évi CLXIV. törvény a legfőbb ügyész, az ügyészek és más ügyészségi alkalmazottak jogállásáról és az ügyészi életpályáról 153. § (2) bek. b) pont, 157. §.</w:t>
      </w:r>
    </w:p>
  </w:footnote>
  <w:footnote w:id="37">
    <w:p w14:paraId="645BA04E" w14:textId="37D76114" w:rsidR="00084D31" w:rsidRPr="00E3073A" w:rsidRDefault="00084D3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Az átirányítás éves időtartama (11. §), az osztott munkaidő alkalmazhatósága [17. § (2) bek.] és a munkaidő-beosztás közlésének határideje gépkocsivezetők esetén [28. § (4) bek.].</w:t>
      </w:r>
    </w:p>
  </w:footnote>
  <w:footnote w:id="38">
    <w:p w14:paraId="48EBF956" w14:textId="163C6FA1" w:rsidR="003B6741" w:rsidRPr="00E3073A" w:rsidRDefault="003B674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159. sz. ILO Ajánlás a közalkalmazottak foglalkoztatási feltételeinek megállapítására vonatkozó eljárásokról 2. cikk (2) bek.</w:t>
      </w:r>
    </w:p>
  </w:footnote>
  <w:footnote w:id="39">
    <w:p w14:paraId="4CCEED8C" w14:textId="494E916C" w:rsidR="003B6741" w:rsidRPr="00E3073A" w:rsidRDefault="003B6741"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ILO 2019, 16.</w:t>
      </w:r>
    </w:p>
  </w:footnote>
  <w:footnote w:id="40">
    <w:p w14:paraId="641BD2F2" w14:textId="77777777" w:rsidR="00A11AC6" w:rsidRPr="00E3073A" w:rsidRDefault="00A11AC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Mt. 205–206. §.</w:t>
      </w:r>
    </w:p>
  </w:footnote>
  <w:footnote w:id="41">
    <w:p w14:paraId="53179DB7" w14:textId="5AA192BE" w:rsidR="00A11AC6" w:rsidRPr="00E3073A" w:rsidRDefault="00A11AC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Mt. 204 –207. §.</w:t>
      </w:r>
    </w:p>
  </w:footnote>
  <w:footnote w:id="42">
    <w:p w14:paraId="7C941C9C" w14:textId="77777777" w:rsidR="00C70987" w:rsidRPr="00E3073A" w:rsidRDefault="00C70987"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Trenyisán Máté: Szabályozási dilemmák a kollektív szerződéssel kapcsolatban. In: Horváth István (szerk.): </w:t>
      </w:r>
      <w:r w:rsidRPr="00E3073A">
        <w:rPr>
          <w:rFonts w:ascii="Times New Roman" w:hAnsi="Times New Roman" w:cs="Times New Roman"/>
          <w:i/>
        </w:rPr>
        <w:t>Tisztelgés: ünnepi tanulmányok Dr. Hágelmayer Istvánné születésnapjára</w:t>
      </w:r>
      <w:r w:rsidRPr="00E3073A">
        <w:rPr>
          <w:rFonts w:ascii="Times New Roman" w:hAnsi="Times New Roman" w:cs="Times New Roman"/>
        </w:rPr>
        <w:t>, Budapest, Eötvös, 2015, 445–447.</w:t>
      </w:r>
    </w:p>
  </w:footnote>
  <w:footnote w:id="43">
    <w:p w14:paraId="7DA670BC" w14:textId="585BCF28" w:rsidR="00A11AC6" w:rsidRPr="00E3073A" w:rsidRDefault="00A11AC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Mt. 209. § (3) bek.</w:t>
      </w:r>
    </w:p>
  </w:footnote>
  <w:footnote w:id="44">
    <w:p w14:paraId="3B95E9C1" w14:textId="7D31DE49" w:rsidR="00192F26" w:rsidRPr="00E3073A" w:rsidRDefault="00192F26" w:rsidP="00E3073A">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r w:rsidR="003E11B1">
        <w:rPr>
          <w:rFonts w:ascii="Times New Roman" w:hAnsi="Times New Roman" w:cs="Times New Roman"/>
        </w:rPr>
        <w:t xml:space="preserve">Hasonló álláspontot képvisel: </w:t>
      </w:r>
      <w:r w:rsidRPr="00E3073A">
        <w:rPr>
          <w:rFonts w:ascii="Times New Roman" w:hAnsi="Times New Roman" w:cs="Times New Roman"/>
        </w:rPr>
        <w:t xml:space="preserve">Horváth </w:t>
      </w:r>
      <w:r w:rsidR="003E11B1">
        <w:rPr>
          <w:rFonts w:ascii="Times New Roman" w:hAnsi="Times New Roman" w:cs="Times New Roman"/>
        </w:rPr>
        <w:t>2006</w:t>
      </w:r>
      <w:r w:rsidRPr="00E3073A">
        <w:rPr>
          <w:rFonts w:ascii="Times New Roman" w:hAnsi="Times New Roman" w:cs="Times New Roman"/>
        </w:rPr>
        <w:t>, 263</w:t>
      </w:r>
      <w:r w:rsidR="003E11B1">
        <w:rPr>
          <w:rFonts w:ascii="Times New Roman" w:hAnsi="Times New Roman" w:cs="Times New Roman"/>
        </w:rPr>
        <w:t>–</w:t>
      </w:r>
      <w:r w:rsidRPr="00E3073A">
        <w:rPr>
          <w:rFonts w:ascii="Times New Roman" w:hAnsi="Times New Roman" w:cs="Times New Roman"/>
        </w:rPr>
        <w:t>265.</w:t>
      </w:r>
    </w:p>
  </w:footnote>
  <w:footnote w:id="45">
    <w:p w14:paraId="224009D8" w14:textId="3E0F0E5A" w:rsidR="009E0CEF" w:rsidRPr="00E3073A" w:rsidRDefault="009E0CEF" w:rsidP="009E0CEF">
      <w:pPr>
        <w:pStyle w:val="Lbjegyzetszveg"/>
        <w:jc w:val="both"/>
        <w:rPr>
          <w:rFonts w:ascii="Times New Roman" w:hAnsi="Times New Roman" w:cs="Times New Roman"/>
        </w:rPr>
      </w:pPr>
      <w:r w:rsidRPr="00E3073A">
        <w:rPr>
          <w:rStyle w:val="Lbjegyzet-hivatkozs"/>
          <w:rFonts w:ascii="Times New Roman" w:hAnsi="Times New Roman" w:cs="Times New Roman"/>
        </w:rPr>
        <w:footnoteRef/>
      </w:r>
      <w:r w:rsidRPr="00E3073A">
        <w:rPr>
          <w:rFonts w:ascii="Times New Roman" w:hAnsi="Times New Roman" w:cs="Times New Roman"/>
        </w:rPr>
        <w:t xml:space="preserve"> </w:t>
      </w:r>
      <w:r>
        <w:rPr>
          <w:rFonts w:ascii="Times New Roman" w:hAnsi="Times New Roman" w:cs="Times New Roman"/>
        </w:rPr>
        <w:t xml:space="preserve">Ezzel egyezően: </w:t>
      </w:r>
      <w:r w:rsidRPr="00E3073A">
        <w:rPr>
          <w:rFonts w:ascii="Times New Roman" w:hAnsi="Times New Roman" w:cs="Times New Roman"/>
        </w:rPr>
        <w:t xml:space="preserve">Horváth </w:t>
      </w:r>
      <w:r>
        <w:rPr>
          <w:rFonts w:ascii="Times New Roman" w:hAnsi="Times New Roman" w:cs="Times New Roman"/>
        </w:rPr>
        <w:t>2006,</w:t>
      </w:r>
      <w:r w:rsidRPr="00E3073A">
        <w:rPr>
          <w:rFonts w:ascii="Times New Roman" w:hAnsi="Times New Roman" w:cs="Times New Roman"/>
        </w:rPr>
        <w:t xml:space="preserve"> 267.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73DD"/>
    <w:multiLevelType w:val="hybridMultilevel"/>
    <w:tmpl w:val="F0D476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E4B2B96"/>
    <w:multiLevelType w:val="hybridMultilevel"/>
    <w:tmpl w:val="BC940C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14908DF"/>
    <w:multiLevelType w:val="hybridMultilevel"/>
    <w:tmpl w:val="5150DC30"/>
    <w:lvl w:ilvl="0" w:tplc="94DA181C">
      <w:start w:val="8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1E13240"/>
    <w:multiLevelType w:val="hybridMultilevel"/>
    <w:tmpl w:val="E0D4D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3112917"/>
    <w:multiLevelType w:val="hybridMultilevel"/>
    <w:tmpl w:val="38B49B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BFC5087"/>
    <w:multiLevelType w:val="hybridMultilevel"/>
    <w:tmpl w:val="07E07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43463824">
    <w:abstractNumId w:val="2"/>
  </w:num>
  <w:num w:numId="2" w16cid:durableId="1622491093">
    <w:abstractNumId w:val="5"/>
  </w:num>
  <w:num w:numId="3" w16cid:durableId="31729572">
    <w:abstractNumId w:val="3"/>
  </w:num>
  <w:num w:numId="4" w16cid:durableId="2031562621">
    <w:abstractNumId w:val="0"/>
  </w:num>
  <w:num w:numId="5" w16cid:durableId="533736087">
    <w:abstractNumId w:val="4"/>
  </w:num>
  <w:num w:numId="6" w16cid:durableId="97159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87"/>
    <w:rsid w:val="00002F45"/>
    <w:rsid w:val="00084D31"/>
    <w:rsid w:val="000B0B08"/>
    <w:rsid w:val="000B2F9E"/>
    <w:rsid w:val="000C5F34"/>
    <w:rsid w:val="000D790D"/>
    <w:rsid w:val="000E2EED"/>
    <w:rsid w:val="000E7B31"/>
    <w:rsid w:val="00101F51"/>
    <w:rsid w:val="00105343"/>
    <w:rsid w:val="001302B6"/>
    <w:rsid w:val="00146FCE"/>
    <w:rsid w:val="001546D7"/>
    <w:rsid w:val="00155D16"/>
    <w:rsid w:val="00185697"/>
    <w:rsid w:val="00192F26"/>
    <w:rsid w:val="00197CAE"/>
    <w:rsid w:val="001C3E96"/>
    <w:rsid w:val="001D046C"/>
    <w:rsid w:val="00204509"/>
    <w:rsid w:val="002717AA"/>
    <w:rsid w:val="002A3197"/>
    <w:rsid w:val="00305C3A"/>
    <w:rsid w:val="003220EE"/>
    <w:rsid w:val="00323A60"/>
    <w:rsid w:val="003503DE"/>
    <w:rsid w:val="003B6741"/>
    <w:rsid w:val="003E11B1"/>
    <w:rsid w:val="004633AC"/>
    <w:rsid w:val="004861DA"/>
    <w:rsid w:val="004C37CB"/>
    <w:rsid w:val="00523AE5"/>
    <w:rsid w:val="00544816"/>
    <w:rsid w:val="00561BEB"/>
    <w:rsid w:val="00581388"/>
    <w:rsid w:val="007C1DA5"/>
    <w:rsid w:val="00820B35"/>
    <w:rsid w:val="0087200D"/>
    <w:rsid w:val="00882FD1"/>
    <w:rsid w:val="00901493"/>
    <w:rsid w:val="0094047A"/>
    <w:rsid w:val="009E0CEF"/>
    <w:rsid w:val="00A11AC6"/>
    <w:rsid w:val="00A15C01"/>
    <w:rsid w:val="00A85312"/>
    <w:rsid w:val="00B34828"/>
    <w:rsid w:val="00B901C8"/>
    <w:rsid w:val="00BA311B"/>
    <w:rsid w:val="00C36ECF"/>
    <w:rsid w:val="00C51D49"/>
    <w:rsid w:val="00C70987"/>
    <w:rsid w:val="00C72625"/>
    <w:rsid w:val="00CB15DA"/>
    <w:rsid w:val="00CF0DD1"/>
    <w:rsid w:val="00D52E0C"/>
    <w:rsid w:val="00D72AB5"/>
    <w:rsid w:val="00D76CF8"/>
    <w:rsid w:val="00DC65EE"/>
    <w:rsid w:val="00DD102B"/>
    <w:rsid w:val="00DD5387"/>
    <w:rsid w:val="00E04970"/>
    <w:rsid w:val="00E3073A"/>
    <w:rsid w:val="00EA42E4"/>
    <w:rsid w:val="00F067AA"/>
    <w:rsid w:val="00F132D2"/>
    <w:rsid w:val="00F1370B"/>
    <w:rsid w:val="00F3387A"/>
    <w:rsid w:val="00F33F7E"/>
    <w:rsid w:val="00F5499C"/>
    <w:rsid w:val="00F7286C"/>
    <w:rsid w:val="00F806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23C9"/>
  <w15:chartTrackingRefBased/>
  <w15:docId w15:val="{9CFEFB8B-6ADD-444F-828D-0455539D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D53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DD53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DD5387"/>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DD5387"/>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DD5387"/>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DD5387"/>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DD5387"/>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DD5387"/>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DD5387"/>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D5387"/>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DD5387"/>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DD5387"/>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DD5387"/>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DD5387"/>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DD5387"/>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DD5387"/>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DD5387"/>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DD5387"/>
    <w:rPr>
      <w:rFonts w:eastAsiaTheme="majorEastAsia" w:cstheme="majorBidi"/>
      <w:color w:val="272727" w:themeColor="text1" w:themeTint="D8"/>
    </w:rPr>
  </w:style>
  <w:style w:type="paragraph" w:styleId="Cm">
    <w:name w:val="Title"/>
    <w:basedOn w:val="Norml"/>
    <w:next w:val="Norml"/>
    <w:link w:val="CmChar"/>
    <w:uiPriority w:val="10"/>
    <w:qFormat/>
    <w:rsid w:val="00DD53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DD5387"/>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DD5387"/>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DD5387"/>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DD5387"/>
    <w:pPr>
      <w:spacing w:before="160"/>
      <w:jc w:val="center"/>
    </w:pPr>
    <w:rPr>
      <w:i/>
      <w:iCs/>
      <w:color w:val="404040" w:themeColor="text1" w:themeTint="BF"/>
    </w:rPr>
  </w:style>
  <w:style w:type="character" w:customStyle="1" w:styleId="IdzetChar">
    <w:name w:val="Idézet Char"/>
    <w:basedOn w:val="Bekezdsalapbettpusa"/>
    <w:link w:val="Idzet"/>
    <w:uiPriority w:val="29"/>
    <w:rsid w:val="00DD5387"/>
    <w:rPr>
      <w:i/>
      <w:iCs/>
      <w:color w:val="404040" w:themeColor="text1" w:themeTint="BF"/>
    </w:rPr>
  </w:style>
  <w:style w:type="paragraph" w:styleId="Listaszerbekezds">
    <w:name w:val="List Paragraph"/>
    <w:basedOn w:val="Norml"/>
    <w:uiPriority w:val="34"/>
    <w:qFormat/>
    <w:rsid w:val="00DD5387"/>
    <w:pPr>
      <w:ind w:left="720"/>
      <w:contextualSpacing/>
    </w:pPr>
  </w:style>
  <w:style w:type="character" w:styleId="Erskiemels">
    <w:name w:val="Intense Emphasis"/>
    <w:basedOn w:val="Bekezdsalapbettpusa"/>
    <w:uiPriority w:val="21"/>
    <w:qFormat/>
    <w:rsid w:val="00DD5387"/>
    <w:rPr>
      <w:i/>
      <w:iCs/>
      <w:color w:val="0F4761" w:themeColor="accent1" w:themeShade="BF"/>
    </w:rPr>
  </w:style>
  <w:style w:type="paragraph" w:styleId="Kiemeltidzet">
    <w:name w:val="Intense Quote"/>
    <w:basedOn w:val="Norml"/>
    <w:next w:val="Norml"/>
    <w:link w:val="KiemeltidzetChar"/>
    <w:uiPriority w:val="30"/>
    <w:qFormat/>
    <w:rsid w:val="00DD53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DD5387"/>
    <w:rPr>
      <w:i/>
      <w:iCs/>
      <w:color w:val="0F4761" w:themeColor="accent1" w:themeShade="BF"/>
    </w:rPr>
  </w:style>
  <w:style w:type="character" w:styleId="Ershivatkozs">
    <w:name w:val="Intense Reference"/>
    <w:basedOn w:val="Bekezdsalapbettpusa"/>
    <w:uiPriority w:val="32"/>
    <w:qFormat/>
    <w:rsid w:val="00DD5387"/>
    <w:rPr>
      <w:b/>
      <w:bCs/>
      <w:smallCaps/>
      <w:color w:val="0F4761" w:themeColor="accent1" w:themeShade="BF"/>
      <w:spacing w:val="5"/>
    </w:rPr>
  </w:style>
  <w:style w:type="table" w:styleId="Rcsostblzat">
    <w:name w:val="Table Grid"/>
    <w:basedOn w:val="Normltblzat"/>
    <w:uiPriority w:val="39"/>
    <w:rsid w:val="00DD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Lábjegyzetszöveg Char Char Char Char Char,Lábjegyzetszöveg Char Char Char Char Char Char Char Char,Lábjegyzetszöveg Char Char Char Char Char Char Char,EUMC_Lábjegyzetszöveg,Char Char,fn,footnotes,Footnote Text Char,Char Char Char Char,F"/>
    <w:basedOn w:val="Norml"/>
    <w:link w:val="LbjegyzetszvegChar"/>
    <w:uiPriority w:val="99"/>
    <w:unhideWhenUsed/>
    <w:qFormat/>
    <w:rsid w:val="000E2EED"/>
    <w:pPr>
      <w:spacing w:after="0" w:line="240" w:lineRule="auto"/>
    </w:pPr>
    <w:rPr>
      <w:kern w:val="0"/>
      <w:sz w:val="20"/>
      <w:szCs w:val="20"/>
      <w14:ligatures w14:val="none"/>
    </w:rPr>
  </w:style>
  <w:style w:type="character" w:customStyle="1" w:styleId="LbjegyzetszvegChar">
    <w:name w:val="Lábjegyzetszöveg Char"/>
    <w:aliases w:val="Lábjegyzetszöveg Char Char Char Char Char Char,Lábjegyzetszöveg Char Char Char Char Char Char Char Char Char,Lábjegyzetszöveg Char Char Char Char Char Char Char Char1,EUMC_Lábjegyzetszöveg Char,Char Char Char,fn Char,footnotes Char"/>
    <w:basedOn w:val="Bekezdsalapbettpusa"/>
    <w:link w:val="Lbjegyzetszveg"/>
    <w:uiPriority w:val="99"/>
    <w:qFormat/>
    <w:rsid w:val="000E2EED"/>
    <w:rPr>
      <w:kern w:val="0"/>
      <w:sz w:val="20"/>
      <w:szCs w:val="20"/>
      <w14:ligatures w14:val="none"/>
    </w:rPr>
  </w:style>
  <w:style w:type="character" w:styleId="Lbjegyzet-hivatkozs">
    <w:name w:val="footnote reference"/>
    <w:aliases w:val="Footnote Refernece,callout,4_G,ftref,footnote ref,Footnotes refss,Footnote"/>
    <w:basedOn w:val="Bekezdsalapbettpusa"/>
    <w:uiPriority w:val="99"/>
    <w:unhideWhenUsed/>
    <w:qFormat/>
    <w:rsid w:val="000E2EED"/>
    <w:rPr>
      <w:vertAlign w:val="superscript"/>
    </w:rPr>
  </w:style>
  <w:style w:type="paragraph" w:styleId="Vgjegyzetszvege">
    <w:name w:val="endnote text"/>
    <w:basedOn w:val="Norml"/>
    <w:link w:val="VgjegyzetszvegeChar"/>
    <w:uiPriority w:val="99"/>
    <w:semiHidden/>
    <w:unhideWhenUsed/>
    <w:rsid w:val="00F33F7E"/>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F33F7E"/>
    <w:rPr>
      <w:sz w:val="20"/>
      <w:szCs w:val="20"/>
    </w:rPr>
  </w:style>
  <w:style w:type="character" w:styleId="Vgjegyzet-hivatkozs">
    <w:name w:val="endnote reference"/>
    <w:basedOn w:val="Bekezdsalapbettpusa"/>
    <w:uiPriority w:val="99"/>
    <w:semiHidden/>
    <w:unhideWhenUsed/>
    <w:rsid w:val="00F33F7E"/>
    <w:rPr>
      <w:vertAlign w:val="superscript"/>
    </w:rPr>
  </w:style>
  <w:style w:type="paragraph" w:styleId="lfej">
    <w:name w:val="header"/>
    <w:basedOn w:val="Norml"/>
    <w:link w:val="lfejChar"/>
    <w:uiPriority w:val="99"/>
    <w:unhideWhenUsed/>
    <w:rsid w:val="00EA42E4"/>
    <w:pPr>
      <w:tabs>
        <w:tab w:val="center" w:pos="4536"/>
        <w:tab w:val="right" w:pos="9072"/>
      </w:tabs>
      <w:spacing w:after="0" w:line="240" w:lineRule="auto"/>
    </w:pPr>
  </w:style>
  <w:style w:type="character" w:customStyle="1" w:styleId="lfejChar">
    <w:name w:val="Élőfej Char"/>
    <w:basedOn w:val="Bekezdsalapbettpusa"/>
    <w:link w:val="lfej"/>
    <w:uiPriority w:val="99"/>
    <w:rsid w:val="00EA42E4"/>
  </w:style>
  <w:style w:type="paragraph" w:styleId="llb">
    <w:name w:val="footer"/>
    <w:basedOn w:val="Norml"/>
    <w:link w:val="llbChar"/>
    <w:uiPriority w:val="99"/>
    <w:unhideWhenUsed/>
    <w:rsid w:val="00EA42E4"/>
    <w:pPr>
      <w:tabs>
        <w:tab w:val="center" w:pos="4536"/>
        <w:tab w:val="right" w:pos="9072"/>
      </w:tabs>
      <w:spacing w:after="0" w:line="240" w:lineRule="auto"/>
    </w:pPr>
  </w:style>
  <w:style w:type="character" w:customStyle="1" w:styleId="llbChar">
    <w:name w:val="Élőláb Char"/>
    <w:basedOn w:val="Bekezdsalapbettpusa"/>
    <w:link w:val="llb"/>
    <w:uiPriority w:val="99"/>
    <w:rsid w:val="00EA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70279">
      <w:bodyDiv w:val="1"/>
      <w:marLeft w:val="0"/>
      <w:marRight w:val="0"/>
      <w:marTop w:val="0"/>
      <w:marBottom w:val="0"/>
      <w:divBdr>
        <w:top w:val="none" w:sz="0" w:space="0" w:color="auto"/>
        <w:left w:val="none" w:sz="0" w:space="0" w:color="auto"/>
        <w:bottom w:val="none" w:sz="0" w:space="0" w:color="auto"/>
        <w:right w:val="none" w:sz="0" w:space="0" w:color="auto"/>
      </w:divBdr>
    </w:div>
    <w:div w:id="20058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80AF-C258-4B29-92E2-AA0F0AA5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4276</Words>
  <Characters>29509</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Kártyás Gábor</dc:creator>
  <cp:keywords/>
  <dc:description/>
  <cp:lastModifiedBy>Kártyás Gábor</cp:lastModifiedBy>
  <cp:revision>3</cp:revision>
  <dcterms:created xsi:type="dcterms:W3CDTF">2024-04-02T06:57:00Z</dcterms:created>
  <dcterms:modified xsi:type="dcterms:W3CDTF">2024-04-03T07:16:00Z</dcterms:modified>
</cp:coreProperties>
</file>