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1ADCF" w14:textId="3EB5A216" w:rsidR="00E921B2" w:rsidRPr="006C4629" w:rsidRDefault="00E921B2" w:rsidP="002B673A">
      <w:pPr>
        <w:ind w:left="720" w:hanging="360"/>
        <w:jc w:val="center"/>
        <w:rPr>
          <w:rFonts w:ascii="Times New Roman" w:hAnsi="Times New Roman" w:cs="Times New Roman"/>
        </w:rPr>
      </w:pPr>
    </w:p>
    <w:p w14:paraId="5917EF32" w14:textId="7B9AF31C" w:rsidR="00E921B2" w:rsidRPr="006C4629" w:rsidRDefault="00E921B2" w:rsidP="002B673A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6C4629">
        <w:rPr>
          <w:rFonts w:ascii="Times New Roman" w:hAnsi="Times New Roman" w:cs="Times New Roman"/>
          <w:b/>
          <w:bCs/>
        </w:rPr>
        <w:t>Büntető eljárásjog</w:t>
      </w:r>
      <w:r w:rsidR="00045D6A" w:rsidRPr="006C4629">
        <w:rPr>
          <w:rFonts w:ascii="Times New Roman" w:hAnsi="Times New Roman" w:cs="Times New Roman"/>
          <w:b/>
          <w:bCs/>
        </w:rPr>
        <w:t xml:space="preserve"> 1.</w:t>
      </w:r>
    </w:p>
    <w:p w14:paraId="279D6687" w14:textId="5CB8B20F" w:rsidR="00E921B2" w:rsidRDefault="00E921B2" w:rsidP="002B673A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6C4629">
        <w:rPr>
          <w:rFonts w:ascii="Times New Roman" w:hAnsi="Times New Roman" w:cs="Times New Roman"/>
          <w:b/>
          <w:bCs/>
        </w:rPr>
        <w:t>Tételsor</w:t>
      </w:r>
    </w:p>
    <w:p w14:paraId="7278D665" w14:textId="77778EE6" w:rsidR="00503C1B" w:rsidRDefault="00503C1B" w:rsidP="002B673A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Jogász szak</w:t>
      </w:r>
    </w:p>
    <w:p w14:paraId="28C30106" w14:textId="057C7FFC" w:rsidR="00503C1B" w:rsidRDefault="00503C1B" w:rsidP="002B673A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(Nappali és levelező tagozat)</w:t>
      </w:r>
    </w:p>
    <w:p w14:paraId="04B3391C" w14:textId="69C8D436" w:rsidR="00464D3A" w:rsidRPr="006C4629" w:rsidRDefault="00464D3A" w:rsidP="002B673A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Jogász szak</w:t>
      </w:r>
    </w:p>
    <w:p w14:paraId="586831C9" w14:textId="1023F450" w:rsidR="00045D6A" w:rsidRPr="006C4629" w:rsidRDefault="00E921B2" w:rsidP="002B673A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6C4629">
        <w:rPr>
          <w:rFonts w:ascii="Times New Roman" w:hAnsi="Times New Roman" w:cs="Times New Roman"/>
          <w:b/>
          <w:bCs/>
        </w:rPr>
        <w:t>202</w:t>
      </w:r>
      <w:r w:rsidR="00073B19">
        <w:rPr>
          <w:rFonts w:ascii="Times New Roman" w:hAnsi="Times New Roman" w:cs="Times New Roman"/>
          <w:b/>
          <w:bCs/>
        </w:rPr>
        <w:t>4</w:t>
      </w:r>
      <w:r w:rsidRPr="006C4629">
        <w:rPr>
          <w:rFonts w:ascii="Times New Roman" w:hAnsi="Times New Roman" w:cs="Times New Roman"/>
          <w:b/>
          <w:bCs/>
        </w:rPr>
        <w:t>-2</w:t>
      </w:r>
      <w:r w:rsidR="00073B19">
        <w:rPr>
          <w:rFonts w:ascii="Times New Roman" w:hAnsi="Times New Roman" w:cs="Times New Roman"/>
          <w:b/>
          <w:bCs/>
        </w:rPr>
        <w:t>5</w:t>
      </w:r>
      <w:r w:rsidRPr="006C4629">
        <w:rPr>
          <w:rFonts w:ascii="Times New Roman" w:hAnsi="Times New Roman" w:cs="Times New Roman"/>
          <w:b/>
          <w:bCs/>
        </w:rPr>
        <w:t xml:space="preserve">. </w:t>
      </w:r>
      <w:r w:rsidR="00045D6A" w:rsidRPr="006C4629">
        <w:rPr>
          <w:rFonts w:ascii="Times New Roman" w:hAnsi="Times New Roman" w:cs="Times New Roman"/>
          <w:b/>
          <w:bCs/>
        </w:rPr>
        <w:t>tanév</w:t>
      </w:r>
    </w:p>
    <w:p w14:paraId="461DB71D" w14:textId="1268C55D" w:rsidR="00E921B2" w:rsidRPr="006C4629" w:rsidRDefault="00E921B2" w:rsidP="002B673A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6C4629">
        <w:rPr>
          <w:rFonts w:ascii="Times New Roman" w:hAnsi="Times New Roman" w:cs="Times New Roman"/>
          <w:b/>
          <w:bCs/>
        </w:rPr>
        <w:t>I. félév</w:t>
      </w:r>
    </w:p>
    <w:p w14:paraId="14FD4B9D" w14:textId="77777777" w:rsidR="00E921B2" w:rsidRPr="006C4629" w:rsidRDefault="00E921B2" w:rsidP="002B673A">
      <w:pPr>
        <w:ind w:left="720" w:hanging="360"/>
        <w:jc w:val="both"/>
        <w:rPr>
          <w:rFonts w:ascii="Times New Roman" w:hAnsi="Times New Roman" w:cs="Times New Roman"/>
          <w:b/>
          <w:bCs/>
        </w:rPr>
      </w:pPr>
    </w:p>
    <w:p w14:paraId="68C93E3F" w14:textId="7C7B2017" w:rsidR="003658CA" w:rsidRPr="006C4629" w:rsidRDefault="00E921B2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büntetőeljárás</w:t>
      </w:r>
      <w:r w:rsidR="005126AD">
        <w:rPr>
          <w:rFonts w:ascii="Times New Roman" w:hAnsi="Times New Roman" w:cs="Times New Roman"/>
        </w:rPr>
        <w:t xml:space="preserve"> alapismérvei</w:t>
      </w:r>
      <w:r w:rsidRPr="006C4629">
        <w:rPr>
          <w:rFonts w:ascii="Times New Roman" w:hAnsi="Times New Roman" w:cs="Times New Roman"/>
        </w:rPr>
        <w:t xml:space="preserve">. A </w:t>
      </w:r>
      <w:r w:rsidR="005126AD">
        <w:rPr>
          <w:rFonts w:ascii="Times New Roman" w:hAnsi="Times New Roman" w:cs="Times New Roman"/>
        </w:rPr>
        <w:t>büntetőeljárás szakaszai és az eljárási rendszerek</w:t>
      </w:r>
    </w:p>
    <w:p w14:paraId="48F7863F" w14:textId="06EA0C7F" w:rsidR="00E921B2" w:rsidRPr="006C4629" w:rsidRDefault="00E921B2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büntető</w:t>
      </w:r>
      <w:r w:rsidR="005126AD">
        <w:rPr>
          <w:rFonts w:ascii="Times New Roman" w:hAnsi="Times New Roman" w:cs="Times New Roman"/>
        </w:rPr>
        <w:t>eljárások fejlődése az egyetemes jogtörténetben</w:t>
      </w:r>
    </w:p>
    <w:p w14:paraId="15645E70" w14:textId="5E450155" w:rsidR="005126AD" w:rsidRDefault="005126A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26AD">
        <w:rPr>
          <w:rFonts w:ascii="Times New Roman" w:hAnsi="Times New Roman" w:cs="Times New Roman"/>
        </w:rPr>
        <w:t>A büntető eljárásjog fogalma, kialakulása és forrásai</w:t>
      </w:r>
    </w:p>
    <w:p w14:paraId="566227A7" w14:textId="4687AEAD" w:rsidR="00E921B2" w:rsidRPr="006C4629" w:rsidRDefault="005126A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26AD">
        <w:rPr>
          <w:rFonts w:ascii="Times New Roman" w:hAnsi="Times New Roman" w:cs="Times New Roman"/>
        </w:rPr>
        <w:t>A Be. szerkezete és hatálya</w:t>
      </w:r>
    </w:p>
    <w:p w14:paraId="515EC894" w14:textId="0A86EFEB" w:rsidR="00E921B2" w:rsidRPr="006C4629" w:rsidRDefault="00E921B2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 xml:space="preserve">A </w:t>
      </w:r>
      <w:r w:rsidR="005126AD">
        <w:rPr>
          <w:rFonts w:ascii="Times New Roman" w:hAnsi="Times New Roman" w:cs="Times New Roman"/>
        </w:rPr>
        <w:t>büntetőeljárások fejlődése a magyar jogtörténetben</w:t>
      </w:r>
    </w:p>
    <w:p w14:paraId="2D7B144A" w14:textId="57DB7B75" w:rsidR="00E921B2" w:rsidRDefault="00E921B2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</w:t>
      </w:r>
      <w:r w:rsidR="005126AD">
        <w:rPr>
          <w:rFonts w:ascii="Times New Roman" w:hAnsi="Times New Roman" w:cs="Times New Roman"/>
        </w:rPr>
        <w:t>z eljárási alapelvek általános jellemzői és rendszerezése</w:t>
      </w:r>
    </w:p>
    <w:p w14:paraId="4475B040" w14:textId="741F45A1" w:rsidR="005126AD" w:rsidRDefault="005126A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törvény előtti egyenlőség elve, az igazságszolgáltatás bírói monopóliumának elve, a társasbíráskodás elve, a laikus elem részvételének elve és a bírói függetlenség elve</w:t>
      </w:r>
    </w:p>
    <w:p w14:paraId="34898B96" w14:textId="46A86C68" w:rsidR="005126AD" w:rsidRPr="006C4629" w:rsidRDefault="005126A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tisztességes eljárás elve, a „fegyverek egyenlőségének” elve és a</w:t>
      </w:r>
      <w:r w:rsidRPr="005126AD">
        <w:rPr>
          <w:rFonts w:ascii="Times New Roman" w:hAnsi="Times New Roman" w:cs="Times New Roman"/>
        </w:rPr>
        <w:t>z ügyek észszerű időn belül történő elbírálásának elve</w:t>
      </w:r>
    </w:p>
    <w:p w14:paraId="20F18BF1" w14:textId="4C00B98C" w:rsidR="00AC4EA6" w:rsidRPr="006C4629" w:rsidRDefault="00AC4EA6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ártatlanság vélelme</w:t>
      </w:r>
    </w:p>
    <w:p w14:paraId="33FA43A3" w14:textId="4C2AD67F" w:rsidR="00AC4EA6" w:rsidRPr="006C4629" w:rsidRDefault="00AC4EA6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alapvető jogok védelm</w:t>
      </w:r>
      <w:r w:rsidR="001A5C4E">
        <w:rPr>
          <w:rFonts w:ascii="Times New Roman" w:hAnsi="Times New Roman" w:cs="Times New Roman"/>
        </w:rPr>
        <w:t>ének elve</w:t>
      </w:r>
      <w:r w:rsidRPr="006C4629">
        <w:rPr>
          <w:rFonts w:ascii="Times New Roman" w:hAnsi="Times New Roman" w:cs="Times New Roman"/>
        </w:rPr>
        <w:t xml:space="preserve">. A védelem </w:t>
      </w:r>
      <w:r w:rsidR="001A5C4E">
        <w:rPr>
          <w:rFonts w:ascii="Times New Roman" w:hAnsi="Times New Roman" w:cs="Times New Roman"/>
        </w:rPr>
        <w:t>elve</w:t>
      </w:r>
    </w:p>
    <w:p w14:paraId="6AD03261" w14:textId="2108B9F5" w:rsidR="00AC4EA6" w:rsidRPr="006C4629" w:rsidRDefault="00AC4EA6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 xml:space="preserve">A </w:t>
      </w:r>
      <w:proofErr w:type="spellStart"/>
      <w:r w:rsidR="001A5C4E">
        <w:rPr>
          <w:rFonts w:ascii="Times New Roman" w:hAnsi="Times New Roman" w:cs="Times New Roman"/>
        </w:rPr>
        <w:t>hivatalbóliság</w:t>
      </w:r>
      <w:proofErr w:type="spellEnd"/>
      <w:r w:rsidR="001A5C4E">
        <w:rPr>
          <w:rFonts w:ascii="Times New Roman" w:hAnsi="Times New Roman" w:cs="Times New Roman"/>
        </w:rPr>
        <w:t xml:space="preserve"> elve. Az eljárási akadályok rendszere</w:t>
      </w:r>
    </w:p>
    <w:p w14:paraId="20A9ADEF" w14:textId="2539C057" w:rsidR="00845D99" w:rsidRDefault="00845D99" w:rsidP="00845D9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</w:t>
      </w:r>
      <w:r w:rsidR="001A5C4E">
        <w:rPr>
          <w:rFonts w:ascii="Times New Roman" w:hAnsi="Times New Roman" w:cs="Times New Roman"/>
        </w:rPr>
        <w:t xml:space="preserve"> funkciómegosztás </w:t>
      </w:r>
      <w:r w:rsidRPr="006C4629">
        <w:rPr>
          <w:rFonts w:ascii="Times New Roman" w:hAnsi="Times New Roman" w:cs="Times New Roman"/>
        </w:rPr>
        <w:t>elve</w:t>
      </w:r>
      <w:r>
        <w:rPr>
          <w:rFonts w:ascii="Times New Roman" w:hAnsi="Times New Roman" w:cs="Times New Roman"/>
        </w:rPr>
        <w:t xml:space="preserve">. </w:t>
      </w:r>
      <w:r w:rsidR="00AC4EA6" w:rsidRPr="00845D99">
        <w:rPr>
          <w:rFonts w:ascii="Times New Roman" w:hAnsi="Times New Roman" w:cs="Times New Roman"/>
        </w:rPr>
        <w:t xml:space="preserve">A vádelv </w:t>
      </w:r>
    </w:p>
    <w:p w14:paraId="662FD687" w14:textId="4C639A28" w:rsidR="001A5C4E" w:rsidRPr="00845D99" w:rsidRDefault="001A5C4E" w:rsidP="00845D9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bizonyítás alapelvei</w:t>
      </w:r>
    </w:p>
    <w:p w14:paraId="07A32570" w14:textId="00B4BAFB" w:rsidR="001A5C4E" w:rsidRPr="001A5C4E" w:rsidRDefault="00AC4EA6" w:rsidP="001A5C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büntetőjogi felelősség önálló elbírálás</w:t>
      </w:r>
      <w:r w:rsidR="001A5C4E">
        <w:rPr>
          <w:rFonts w:ascii="Times New Roman" w:hAnsi="Times New Roman" w:cs="Times New Roman"/>
        </w:rPr>
        <w:t>ának elve</w:t>
      </w:r>
      <w:r w:rsidRPr="006C4629">
        <w:rPr>
          <w:rFonts w:ascii="Times New Roman" w:hAnsi="Times New Roman" w:cs="Times New Roman"/>
        </w:rPr>
        <w:t>. A</w:t>
      </w:r>
      <w:r w:rsidR="001A5C4E">
        <w:rPr>
          <w:rFonts w:ascii="Times New Roman" w:hAnsi="Times New Roman" w:cs="Times New Roman"/>
        </w:rPr>
        <w:t xml:space="preserve"> jogorvoslat és a nyelvhasználat jogának elve. A nyilvánosság és a közvetlenség elve</w:t>
      </w:r>
    </w:p>
    <w:p w14:paraId="5F199254" w14:textId="54A09B16" w:rsidR="00845D99" w:rsidRPr="006C4629" w:rsidRDefault="00845D99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A5C4E">
        <w:rPr>
          <w:rFonts w:ascii="Times New Roman" w:hAnsi="Times New Roman" w:cs="Times New Roman"/>
        </w:rPr>
        <w:t xml:space="preserve"> büntetőeljárás alanyairól általában. Az eljárási jog-és cselekvőképesség fogalma</w:t>
      </w:r>
    </w:p>
    <w:p w14:paraId="6F7C51C2" w14:textId="60006076" w:rsidR="00AC4EA6" w:rsidRPr="006C4629" w:rsidRDefault="00AC4EA6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bíróságok feladata</w:t>
      </w:r>
      <w:r w:rsidR="001A5C4E">
        <w:rPr>
          <w:rFonts w:ascii="Times New Roman" w:hAnsi="Times New Roman" w:cs="Times New Roman"/>
        </w:rPr>
        <w:t>. Az eljáró bíróságok</w:t>
      </w:r>
    </w:p>
    <w:p w14:paraId="40BEC7B0" w14:textId="5F0EE923" w:rsidR="00AC4EA6" w:rsidRDefault="00AC4EA6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bíróság összetétele</w:t>
      </w:r>
    </w:p>
    <w:p w14:paraId="48E7A7E5" w14:textId="038B68D9" w:rsidR="001A5C4E" w:rsidRPr="006C4629" w:rsidRDefault="001A5C4E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bíró kizárásának okai</w:t>
      </w:r>
    </w:p>
    <w:p w14:paraId="5A12DE85" w14:textId="285D3AAC" w:rsidR="00AC4EA6" w:rsidRDefault="00AC4EA6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bíróság</w:t>
      </w:r>
      <w:r w:rsidR="001A5C4E">
        <w:rPr>
          <w:rFonts w:ascii="Times New Roman" w:hAnsi="Times New Roman" w:cs="Times New Roman"/>
        </w:rPr>
        <w:t>ok</w:t>
      </w:r>
      <w:r w:rsidRPr="006C4629">
        <w:rPr>
          <w:rFonts w:ascii="Times New Roman" w:hAnsi="Times New Roman" w:cs="Times New Roman"/>
        </w:rPr>
        <w:t xml:space="preserve"> hatásköre </w:t>
      </w:r>
    </w:p>
    <w:p w14:paraId="7D75FC60" w14:textId="6924943A" w:rsidR="001A5C4E" w:rsidRDefault="001A5C4E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bíróságok illetékessége</w:t>
      </w:r>
    </w:p>
    <w:p w14:paraId="23384741" w14:textId="79446B00" w:rsidR="001A5C4E" w:rsidRPr="006C4629" w:rsidRDefault="001A5C4E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hatáskör és az illetékesség vizsgálata. Az eljáró bíróság kijelölése</w:t>
      </w:r>
    </w:p>
    <w:p w14:paraId="097DB3DF" w14:textId="1641ED21" w:rsidR="00AC4EA6" w:rsidRPr="006C4629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Európai Unió Bírósága, a Nemzetközi Büntetőbíróság és az Emberi Jogok Európai Bírósága</w:t>
      </w:r>
    </w:p>
    <w:p w14:paraId="79D0C91C" w14:textId="3250AA85" w:rsidR="009B08CB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ügyészség feladatai</w:t>
      </w:r>
    </w:p>
    <w:p w14:paraId="6C9E52F6" w14:textId="171861B0" w:rsidR="001A5C4E" w:rsidRPr="006C4629" w:rsidRDefault="001A5C4E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ügyész kizárása</w:t>
      </w:r>
    </w:p>
    <w:p w14:paraId="5BAA6DFB" w14:textId="6A480397" w:rsidR="009B08CB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ügyészség hatásköre és illetékessége</w:t>
      </w:r>
    </w:p>
    <w:p w14:paraId="4A0C3433" w14:textId="37113FF0" w:rsidR="001A5C4E" w:rsidRPr="006C4629" w:rsidRDefault="001A5C4E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Európai Ügyészség, az OLAF és az </w:t>
      </w:r>
      <w:proofErr w:type="spellStart"/>
      <w:r>
        <w:rPr>
          <w:rFonts w:ascii="Times New Roman" w:hAnsi="Times New Roman" w:cs="Times New Roman"/>
        </w:rPr>
        <w:t>Eurojust</w:t>
      </w:r>
      <w:proofErr w:type="spellEnd"/>
    </w:p>
    <w:p w14:paraId="67BE9D62" w14:textId="55142200" w:rsidR="009B08CB" w:rsidRPr="006C4629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nyomozó hatóságok</w:t>
      </w:r>
      <w:r w:rsidR="001A5C4E">
        <w:rPr>
          <w:rFonts w:ascii="Times New Roman" w:hAnsi="Times New Roman" w:cs="Times New Roman"/>
        </w:rPr>
        <w:t xml:space="preserve"> feladata, hatásköre és illetékessége</w:t>
      </w:r>
    </w:p>
    <w:p w14:paraId="09A6A1BB" w14:textId="796818D1" w:rsidR="009B08CB" w:rsidRPr="006C4629" w:rsidRDefault="001A5C4E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nyomozó hatóság tagjának kizárása</w:t>
      </w:r>
    </w:p>
    <w:p w14:paraId="71F854E1" w14:textId="2EC09FCE" w:rsidR="009B08CB" w:rsidRDefault="00614110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Europol</w:t>
      </w:r>
      <w:proofErr w:type="spellEnd"/>
      <w:r>
        <w:rPr>
          <w:rFonts w:ascii="Times New Roman" w:hAnsi="Times New Roman" w:cs="Times New Roman"/>
        </w:rPr>
        <w:t xml:space="preserve"> és Interpol</w:t>
      </w:r>
    </w:p>
    <w:p w14:paraId="7FB3F326" w14:textId="1534BA65" w:rsidR="00614110" w:rsidRDefault="00614110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büntetőeljárásban eljáró egyéb szervek</w:t>
      </w:r>
    </w:p>
    <w:p w14:paraId="61F1F3D2" w14:textId="0E56E387" w:rsidR="002337A9" w:rsidRDefault="002337A9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különleges bánásmód fogalma és tartalma</w:t>
      </w:r>
    </w:p>
    <w:p w14:paraId="215DE74E" w14:textId="57BFBB53" w:rsidR="002337A9" w:rsidRPr="002337A9" w:rsidRDefault="002337A9" w:rsidP="002337A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bűncselekmény elkövetésével megalapozottan gyanúsítható személy. A terhelt fogalma, jogai és kötelezettségei</w:t>
      </w:r>
    </w:p>
    <w:p w14:paraId="6715A6CA" w14:textId="43149659" w:rsidR="009B08CB" w:rsidRPr="006C4629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 xml:space="preserve">A védő </w:t>
      </w:r>
    </w:p>
    <w:p w14:paraId="201F2A90" w14:textId="12862F65" w:rsidR="009B08CB" w:rsidRPr="006C4629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lastRenderedPageBreak/>
        <w:t>A sértett</w:t>
      </w:r>
    </w:p>
    <w:p w14:paraId="40D4EB6A" w14:textId="496CB7D6" w:rsidR="009B08CB" w:rsidRPr="006C4629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magánvádló, a pótmagánvádló és a magánfél</w:t>
      </w:r>
    </w:p>
    <w:p w14:paraId="6AD5726B" w14:textId="590E3E16" w:rsidR="009B08CB" w:rsidRPr="006C4629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vagyoni érdekelt és az egyéb érdekelt. A segítők</w:t>
      </w:r>
    </w:p>
    <w:p w14:paraId="212E022C" w14:textId="5876522A" w:rsidR="002337A9" w:rsidRDefault="002337A9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szakértő, a magánszakértő, a szaktanácsadó és a tolmács</w:t>
      </w:r>
    </w:p>
    <w:p w14:paraId="47943100" w14:textId="4502F8CC" w:rsidR="002337A9" w:rsidRDefault="002337A9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eljárási alanyok képviselete a büntetőeljárásban</w:t>
      </w:r>
    </w:p>
    <w:p w14:paraId="1270A47E" w14:textId="33988E52" w:rsidR="009B08CB" w:rsidRDefault="009B08CB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 xml:space="preserve">Az eljárási cselekmények fogalma és </w:t>
      </w:r>
      <w:r w:rsidR="002337A9">
        <w:rPr>
          <w:rFonts w:ascii="Times New Roman" w:hAnsi="Times New Roman" w:cs="Times New Roman"/>
        </w:rPr>
        <w:t>általános ismérvei</w:t>
      </w:r>
      <w:r w:rsidR="000B059C" w:rsidRPr="006C4629">
        <w:rPr>
          <w:rFonts w:ascii="Times New Roman" w:hAnsi="Times New Roman" w:cs="Times New Roman"/>
        </w:rPr>
        <w:t xml:space="preserve">. Az eljárási cselekmények </w:t>
      </w:r>
      <w:r w:rsidR="002337A9">
        <w:rPr>
          <w:rFonts w:ascii="Times New Roman" w:hAnsi="Times New Roman" w:cs="Times New Roman"/>
        </w:rPr>
        <w:t>csoportosítása</w:t>
      </w:r>
    </w:p>
    <w:p w14:paraId="40A68EBC" w14:textId="2189D363" w:rsidR="002337A9" w:rsidRDefault="001E4EE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4EED">
        <w:rPr>
          <w:rFonts w:ascii="Times New Roman" w:hAnsi="Times New Roman" w:cs="Times New Roman"/>
        </w:rPr>
        <w:t xml:space="preserve">A nyelvhasználat </w:t>
      </w:r>
      <w:r>
        <w:rPr>
          <w:rFonts w:ascii="Times New Roman" w:hAnsi="Times New Roman" w:cs="Times New Roman"/>
        </w:rPr>
        <w:t xml:space="preserve">és a különleges bánásmód </w:t>
      </w:r>
      <w:r w:rsidRPr="001E4EED">
        <w:rPr>
          <w:rFonts w:ascii="Times New Roman" w:hAnsi="Times New Roman" w:cs="Times New Roman"/>
        </w:rPr>
        <w:t>biztosításához kapcsolódó eljárási cselekmények</w:t>
      </w:r>
    </w:p>
    <w:p w14:paraId="081327CB" w14:textId="7D231F93" w:rsidR="001E4EED" w:rsidRDefault="001E4EE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bűnügyi költség. </w:t>
      </w:r>
      <w:r w:rsidRPr="001E4EED">
        <w:rPr>
          <w:rFonts w:ascii="Times New Roman" w:hAnsi="Times New Roman" w:cs="Times New Roman"/>
        </w:rPr>
        <w:t>Az eljárási költségekkel kapcsolatos kedvezmények biztosításával összefüggő eljárási cselekmények</w:t>
      </w:r>
    </w:p>
    <w:p w14:paraId="76F21F53" w14:textId="7A32C97A" w:rsidR="002337A9" w:rsidRDefault="003B7F6C" w:rsidP="003B7F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jelenlét biztosítása: i</w:t>
      </w:r>
      <w:r w:rsidRPr="006C4629">
        <w:rPr>
          <w:rFonts w:ascii="Times New Roman" w:hAnsi="Times New Roman" w:cs="Times New Roman"/>
        </w:rPr>
        <w:t>dézés, értesítés</w:t>
      </w:r>
      <w:r>
        <w:rPr>
          <w:rFonts w:ascii="Times New Roman" w:hAnsi="Times New Roman" w:cs="Times New Roman"/>
        </w:rPr>
        <w:t xml:space="preserve">, körözés, elfogatóparancs, </w:t>
      </w:r>
      <w:r w:rsidRPr="006C4629">
        <w:rPr>
          <w:rFonts w:ascii="Times New Roman" w:hAnsi="Times New Roman" w:cs="Times New Roman"/>
        </w:rPr>
        <w:t>előállítás, elővezetés</w:t>
      </w:r>
    </w:p>
    <w:p w14:paraId="4EF333BD" w14:textId="61FB2E84" w:rsidR="00B848A4" w:rsidRDefault="00B848A4" w:rsidP="003B7F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48A4">
        <w:rPr>
          <w:rFonts w:ascii="Times New Roman" w:hAnsi="Times New Roman" w:cs="Times New Roman"/>
        </w:rPr>
        <w:t>A kézbesítéssel összefüggő eljárási cselekmények általános szabályai</w:t>
      </w:r>
    </w:p>
    <w:p w14:paraId="393DC132" w14:textId="2A3FCBDA" w:rsidR="001E4EED" w:rsidRPr="001E4EED" w:rsidRDefault="001E4EED" w:rsidP="001E4EE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1E4EED">
        <w:rPr>
          <w:rFonts w:ascii="Times New Roman" w:hAnsi="Times New Roman" w:cs="Times New Roman"/>
        </w:rPr>
        <w:t>A telekommunikációs kapcsolattartással összefüggő eljárási cselekmények általános szabályai</w:t>
      </w:r>
      <w:r>
        <w:rPr>
          <w:rFonts w:ascii="Times New Roman" w:hAnsi="Times New Roman" w:cs="Times New Roman"/>
        </w:rPr>
        <w:t>. Az elektronikus kapcsolattartás</w:t>
      </w:r>
    </w:p>
    <w:p w14:paraId="2B2EFA46" w14:textId="465A6EE0" w:rsidR="002337A9" w:rsidRDefault="003B7F6C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személyes adatok zárt kezelése. A minősített adatok felhasználása</w:t>
      </w:r>
    </w:p>
    <w:p w14:paraId="207B664C" w14:textId="77777777" w:rsidR="001E4EED" w:rsidRDefault="003B7F6C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határidő</w:t>
      </w:r>
      <w:r w:rsidR="001E4EED">
        <w:rPr>
          <w:rFonts w:ascii="Times New Roman" w:hAnsi="Times New Roman" w:cs="Times New Roman"/>
        </w:rPr>
        <w:t xml:space="preserve"> és </w:t>
      </w:r>
      <w:r>
        <w:rPr>
          <w:rFonts w:ascii="Times New Roman" w:hAnsi="Times New Roman" w:cs="Times New Roman"/>
        </w:rPr>
        <w:t xml:space="preserve">a határnap </w:t>
      </w:r>
      <w:r w:rsidR="001E4EED">
        <w:rPr>
          <w:rFonts w:ascii="Times New Roman" w:hAnsi="Times New Roman" w:cs="Times New Roman"/>
        </w:rPr>
        <w:t>fogalma</w:t>
      </w:r>
      <w:r>
        <w:rPr>
          <w:rFonts w:ascii="Times New Roman" w:hAnsi="Times New Roman" w:cs="Times New Roman"/>
        </w:rPr>
        <w:t>. Az általános intézkedési határidő</w:t>
      </w:r>
      <w:r w:rsidR="001E4EED">
        <w:rPr>
          <w:rFonts w:ascii="Times New Roman" w:hAnsi="Times New Roman" w:cs="Times New Roman"/>
        </w:rPr>
        <w:t xml:space="preserve"> és </w:t>
      </w:r>
      <w:r>
        <w:rPr>
          <w:rFonts w:ascii="Times New Roman" w:hAnsi="Times New Roman" w:cs="Times New Roman"/>
        </w:rPr>
        <w:t>a soron kívüli eljárás</w:t>
      </w:r>
      <w:r w:rsidR="001E4EED">
        <w:rPr>
          <w:rFonts w:ascii="Times New Roman" w:hAnsi="Times New Roman" w:cs="Times New Roman"/>
        </w:rPr>
        <w:t xml:space="preserve"> szabályai</w:t>
      </w:r>
      <w:r>
        <w:rPr>
          <w:rFonts w:ascii="Times New Roman" w:hAnsi="Times New Roman" w:cs="Times New Roman"/>
        </w:rPr>
        <w:t xml:space="preserve"> </w:t>
      </w:r>
    </w:p>
    <w:p w14:paraId="0F477054" w14:textId="34F82B94" w:rsidR="003B7F6C" w:rsidRDefault="001E4EE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B7F6C">
        <w:rPr>
          <w:rFonts w:ascii="Times New Roman" w:hAnsi="Times New Roman" w:cs="Times New Roman"/>
        </w:rPr>
        <w:t xml:space="preserve">z egyesítés és az elkülönítés </w:t>
      </w:r>
      <w:r>
        <w:rPr>
          <w:rFonts w:ascii="Times New Roman" w:hAnsi="Times New Roman" w:cs="Times New Roman"/>
        </w:rPr>
        <w:t>fogalma, szabályai</w:t>
      </w:r>
    </w:p>
    <w:p w14:paraId="1770B185" w14:textId="6DFCD0D6" w:rsidR="003B7F6C" w:rsidRDefault="003B7F6C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mulasztás és következményei. Az igazolási kérelem</w:t>
      </w:r>
    </w:p>
    <w:p w14:paraId="5A9EA43F" w14:textId="77F930EC" w:rsidR="003B7F6C" w:rsidRDefault="003B7F6C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Kifogás az eljárás elhúzódása miatt</w:t>
      </w:r>
    </w:p>
    <w:p w14:paraId="24036962" w14:textId="2DA41603" w:rsidR="003B7F6C" w:rsidRDefault="003B7F6C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ügyiratok megismerésének biztosítása, az iratmegismerés jogának korlátozhatósága, az ügyirat zárt kezelése</w:t>
      </w:r>
    </w:p>
    <w:p w14:paraId="75CA3798" w14:textId="0B849569" w:rsidR="003B7F6C" w:rsidRDefault="003B7F6C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rendbírság és a testi kényszer alkalmazása</w:t>
      </w:r>
    </w:p>
    <w:p w14:paraId="4734DC9A" w14:textId="2826DBA9" w:rsidR="003B7F6C" w:rsidRPr="006C4629" w:rsidRDefault="003B7F6C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7F6C">
        <w:rPr>
          <w:rFonts w:ascii="Times New Roman" w:hAnsi="Times New Roman" w:cs="Times New Roman"/>
        </w:rPr>
        <w:t>A nyilvánosság tájékoztatásával összefüggő eljárási cselekmények általános szabályai</w:t>
      </w:r>
    </w:p>
    <w:p w14:paraId="381A2E2B" w14:textId="54ECF801" w:rsidR="000B059C" w:rsidRDefault="008412A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kézbesítés szabályai</w:t>
      </w:r>
    </w:p>
    <w:p w14:paraId="0BD40D41" w14:textId="138C5DC0" w:rsidR="001E4EED" w:rsidRDefault="001E4EE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bizonyításelmélet alapfogalmai</w:t>
      </w:r>
    </w:p>
    <w:p w14:paraId="7E05FC39" w14:textId="3817AFDB" w:rsidR="001E4EED" w:rsidRDefault="001E4EE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bizonyítási rendszerek</w:t>
      </w:r>
    </w:p>
    <w:p w14:paraId="57290006" w14:textId="06BD75A9" w:rsidR="001E4EED" w:rsidRDefault="001E4EE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bizonyítási rendszer sajátosságai: a bizonyítás tárgya, alapelvei és eszközei</w:t>
      </w:r>
    </w:p>
    <w:p w14:paraId="13ECF1B4" w14:textId="52815A2A" w:rsidR="001E4EED" w:rsidRDefault="001E4EE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tanú fogalma és jogállása</w:t>
      </w:r>
    </w:p>
    <w:p w14:paraId="0F1A14DA" w14:textId="72EE7AF6" w:rsidR="001E4EED" w:rsidRDefault="001E4EED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tanú vallomástételének akadályai</w:t>
      </w:r>
    </w:p>
    <w:p w14:paraId="0C24014C" w14:textId="47934539" w:rsidR="006B5603" w:rsidRPr="006B5603" w:rsidRDefault="001E4EED" w:rsidP="006B56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tanú kihallgatása</w:t>
      </w:r>
      <w:r w:rsidR="006B5603">
        <w:rPr>
          <w:rFonts w:ascii="Times New Roman" w:hAnsi="Times New Roman" w:cs="Times New Roman"/>
        </w:rPr>
        <w:t xml:space="preserve">. </w:t>
      </w:r>
      <w:r w:rsidR="006B5603" w:rsidRPr="006B5603">
        <w:rPr>
          <w:rFonts w:ascii="Times New Roman" w:hAnsi="Times New Roman" w:cs="Times New Roman"/>
        </w:rPr>
        <w:t>A különösen védett tanú kihallgatására vonatkozó szabályok</w:t>
      </w:r>
      <w:r w:rsidR="006B5603">
        <w:rPr>
          <w:rFonts w:ascii="Times New Roman" w:hAnsi="Times New Roman" w:cs="Times New Roman"/>
        </w:rPr>
        <w:t xml:space="preserve">. </w:t>
      </w:r>
      <w:r w:rsidR="006B5603" w:rsidRPr="006B5603">
        <w:rPr>
          <w:rFonts w:ascii="Times New Roman" w:hAnsi="Times New Roman" w:cs="Times New Roman"/>
        </w:rPr>
        <w:t>Intézkedés a kötelezettségeit nem teljesítő tanúval szemben</w:t>
      </w:r>
    </w:p>
    <w:p w14:paraId="589511CE" w14:textId="02D57857" w:rsidR="00674A84" w:rsidRDefault="00674A84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terhelt vallomása</w:t>
      </w:r>
      <w:r w:rsidR="006B5603">
        <w:rPr>
          <w:rFonts w:ascii="Times New Roman" w:hAnsi="Times New Roman" w:cs="Times New Roman"/>
        </w:rPr>
        <w:t>. A terhelt kihallgatására vonatkozó szabályok</w:t>
      </w:r>
    </w:p>
    <w:p w14:paraId="1F23E9E5" w14:textId="76A0D4D6" w:rsidR="006B5603" w:rsidRDefault="006B5603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különleges szakértelem fogalma, a szakértői kompetencia határvonalai. A szakvélemény sajátosságai, tartalma és fajtái. A magánszakértői vélemény tartalma</w:t>
      </w:r>
    </w:p>
    <w:p w14:paraId="78D77864" w14:textId="3CBBADB0" w:rsidR="006B5603" w:rsidRPr="006C4629" w:rsidRDefault="006B5603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szakértői vizsgálat. A szakértő jogai és kötelezettségei. A szakvélemény előterjesztése és értékelése. Más szakértő alkalmazása</w:t>
      </w:r>
    </w:p>
    <w:p w14:paraId="744BF8DA" w14:textId="66F0FB7F" w:rsidR="00674A84" w:rsidRPr="006C4629" w:rsidRDefault="00674A84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pártfogó felügyelői vélemény</w:t>
      </w:r>
    </w:p>
    <w:p w14:paraId="45ED2548" w14:textId="4E1CC2F1" w:rsidR="00674A84" w:rsidRDefault="00674A84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tárgyi bizonyítási eszköz</w:t>
      </w:r>
      <w:r w:rsidR="006B5603">
        <w:rPr>
          <w:rFonts w:ascii="Times New Roman" w:hAnsi="Times New Roman" w:cs="Times New Roman"/>
        </w:rPr>
        <w:t xml:space="preserve"> </w:t>
      </w:r>
      <w:r w:rsidRPr="006C4629">
        <w:rPr>
          <w:rFonts w:ascii="Times New Roman" w:hAnsi="Times New Roman" w:cs="Times New Roman"/>
        </w:rPr>
        <w:t>és az elektronikus adat</w:t>
      </w:r>
    </w:p>
    <w:p w14:paraId="11299ACD" w14:textId="53E7DEFA" w:rsidR="006B5603" w:rsidRDefault="006B5603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bizonyítási cselekmények általános szabályai. A szemle</w:t>
      </w:r>
    </w:p>
    <w:p w14:paraId="63D1D8E9" w14:textId="421686F7" w:rsidR="00674A84" w:rsidRPr="006B5603" w:rsidRDefault="006B5603" w:rsidP="006B56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74A84" w:rsidRPr="006B5603">
        <w:rPr>
          <w:rFonts w:ascii="Times New Roman" w:hAnsi="Times New Roman" w:cs="Times New Roman"/>
        </w:rPr>
        <w:t>helyszíni kihallgatás</w:t>
      </w:r>
      <w:r>
        <w:rPr>
          <w:rFonts w:ascii="Times New Roman" w:hAnsi="Times New Roman" w:cs="Times New Roman"/>
        </w:rPr>
        <w:t xml:space="preserve"> és a bizonyítási kísérlet</w:t>
      </w:r>
    </w:p>
    <w:p w14:paraId="478BAFDF" w14:textId="60672A6E" w:rsidR="00674A84" w:rsidRDefault="00674A84" w:rsidP="006B56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felismerésre bemutatás</w:t>
      </w:r>
      <w:r w:rsidR="006B5603">
        <w:rPr>
          <w:rFonts w:ascii="Times New Roman" w:hAnsi="Times New Roman" w:cs="Times New Roman"/>
        </w:rPr>
        <w:t xml:space="preserve">, a </w:t>
      </w:r>
      <w:r w:rsidRPr="006B5603">
        <w:rPr>
          <w:rFonts w:ascii="Times New Roman" w:hAnsi="Times New Roman" w:cs="Times New Roman"/>
        </w:rPr>
        <w:t>szembesítés és a műszeres vallomásellenőrzés</w:t>
      </w:r>
    </w:p>
    <w:p w14:paraId="00F4BF54" w14:textId="01B487A5" w:rsidR="006B5603" w:rsidRPr="006B5603" w:rsidRDefault="006B5603" w:rsidP="006B56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adatkérés, az adatgyűjtés és az egyéb adatszerző tevékenység</w:t>
      </w:r>
    </w:p>
    <w:p w14:paraId="6DB85728" w14:textId="3F0C5909" w:rsidR="00674A84" w:rsidRDefault="00674A84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leplezett eszközök fogalma</w:t>
      </w:r>
      <w:r w:rsidR="00E46A6A">
        <w:rPr>
          <w:rFonts w:ascii="Times New Roman" w:hAnsi="Times New Roman" w:cs="Times New Roman"/>
        </w:rPr>
        <w:t xml:space="preserve"> és alkalmazásának általános szabályai. </w:t>
      </w:r>
      <w:r w:rsidR="00E46A6A" w:rsidRPr="00E46A6A">
        <w:rPr>
          <w:rFonts w:ascii="Times New Roman" w:hAnsi="Times New Roman" w:cs="Times New Roman"/>
        </w:rPr>
        <w:t>A leplezett eszközök alkalmazásának közös szabályai és egyéb közös ismérvei</w:t>
      </w:r>
    </w:p>
    <w:p w14:paraId="10496AD0" w14:textId="04779D38" w:rsidR="00E46A6A" w:rsidRPr="006C4629" w:rsidRDefault="00E46A6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46A6A">
        <w:rPr>
          <w:rFonts w:ascii="Times New Roman" w:hAnsi="Times New Roman" w:cs="Times New Roman"/>
        </w:rPr>
        <w:t>A bírói és ügyészi engedélyhez nem kötött leplezett eszközök</w:t>
      </w:r>
    </w:p>
    <w:p w14:paraId="44760CD3" w14:textId="6BB5EE40" w:rsidR="00674A84" w:rsidRPr="006C4629" w:rsidRDefault="00674A84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ügyészi engedélyhez kötött leplezett eszközök</w:t>
      </w:r>
    </w:p>
    <w:p w14:paraId="3D81F6F9" w14:textId="68787FAE" w:rsidR="00674A84" w:rsidRPr="006C4629" w:rsidRDefault="00674A84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bírói engedélyhez kötött leplezett eszközök</w:t>
      </w:r>
    </w:p>
    <w:p w14:paraId="71C72BA0" w14:textId="04E822ED" w:rsidR="00674A84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titkos információgyűjtés és a büntetőeljárás kapcsolata</w:t>
      </w:r>
    </w:p>
    <w:p w14:paraId="08D86B49" w14:textId="1F0EB4C8" w:rsidR="002B673A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 xml:space="preserve">A kényszerintézkedések fogalma és csoportosítása. </w:t>
      </w:r>
      <w:r w:rsidR="00E46A6A" w:rsidRPr="00E46A6A">
        <w:rPr>
          <w:rFonts w:ascii="Times New Roman" w:hAnsi="Times New Roman" w:cs="Times New Roman"/>
        </w:rPr>
        <w:t>A kényszerintézkedések alkalmazásának általános szabályai</w:t>
      </w:r>
    </w:p>
    <w:p w14:paraId="584D5728" w14:textId="77777777" w:rsidR="00E46A6A" w:rsidRDefault="00E46A6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46A6A">
        <w:rPr>
          <w:rFonts w:ascii="Times New Roman" w:hAnsi="Times New Roman" w:cs="Times New Roman"/>
        </w:rPr>
        <w:lastRenderedPageBreak/>
        <w:t>A Be.-n kívül szabályozott személyi szabadságot érintő kényszerintézkedések</w:t>
      </w:r>
      <w:r>
        <w:rPr>
          <w:rFonts w:ascii="Times New Roman" w:hAnsi="Times New Roman" w:cs="Times New Roman"/>
        </w:rPr>
        <w:t xml:space="preserve">. </w:t>
      </w:r>
    </w:p>
    <w:p w14:paraId="5910D3F2" w14:textId="4505D5E6" w:rsidR="00E46A6A" w:rsidRPr="006C4629" w:rsidRDefault="00E46A6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46A6A">
        <w:rPr>
          <w:rFonts w:ascii="Times New Roman" w:hAnsi="Times New Roman" w:cs="Times New Roman"/>
        </w:rPr>
        <w:t xml:space="preserve"> bűncselekmény elkövetésével tetten ért személy elfogása</w:t>
      </w:r>
      <w:r>
        <w:rPr>
          <w:rFonts w:ascii="Times New Roman" w:hAnsi="Times New Roman" w:cs="Times New Roman"/>
        </w:rPr>
        <w:t xml:space="preserve"> (tettenérés)</w:t>
      </w:r>
    </w:p>
    <w:p w14:paraId="43901CE6" w14:textId="79729EED" w:rsidR="002B673A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őrizet</w:t>
      </w:r>
    </w:p>
    <w:p w14:paraId="318AEE0C" w14:textId="7E81C14E" w:rsidR="00E46A6A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személyi szabadságot érintő, bírói engedélyhez kötött kényszerintézkedések elrendelésének általános és különös feltételei</w:t>
      </w:r>
    </w:p>
    <w:p w14:paraId="3D47D83E" w14:textId="4A362F18" w:rsidR="002B673A" w:rsidRDefault="00E46A6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46A6A">
        <w:rPr>
          <w:rFonts w:ascii="Times New Roman" w:hAnsi="Times New Roman" w:cs="Times New Roman"/>
        </w:rPr>
        <w:t>A személyi szabadságot érintő bírói engedélyes kényszerintézkedések megszűnése és megszüntetése</w:t>
      </w:r>
    </w:p>
    <w:p w14:paraId="34E14C2B" w14:textId="4E41F0D3" w:rsidR="00E46A6A" w:rsidRPr="006C4629" w:rsidRDefault="00E46A6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óvadék</w:t>
      </w:r>
    </w:p>
    <w:p w14:paraId="4F129D7D" w14:textId="42F3081F" w:rsidR="002B673A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távoltartás</w:t>
      </w:r>
    </w:p>
    <w:p w14:paraId="7C364230" w14:textId="794767FE" w:rsidR="00E46A6A" w:rsidRPr="006C4629" w:rsidRDefault="00E46A6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bűnügyi felügyelet</w:t>
      </w:r>
    </w:p>
    <w:p w14:paraId="5AF79968" w14:textId="4AE28F05" w:rsidR="002B673A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 xml:space="preserve">A letartóztatás </w:t>
      </w:r>
    </w:p>
    <w:p w14:paraId="70959365" w14:textId="0C6B97F9" w:rsidR="002B673A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előzetes kényszergyógykezelés</w:t>
      </w:r>
    </w:p>
    <w:p w14:paraId="16B1F1E4" w14:textId="2EDD9F9A" w:rsidR="002B673A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kutatás</w:t>
      </w:r>
    </w:p>
    <w:p w14:paraId="0740936B" w14:textId="4F4507F7" w:rsidR="002B673A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motozás</w:t>
      </w:r>
    </w:p>
    <w:p w14:paraId="264F5E9B" w14:textId="55A02A86" w:rsidR="002B673A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lefoglalás</w:t>
      </w:r>
    </w:p>
    <w:p w14:paraId="7C8C4B31" w14:textId="337976EA" w:rsidR="002B673A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 zár alá vétel</w:t>
      </w:r>
    </w:p>
    <w:p w14:paraId="55D3CAF2" w14:textId="2639DB5E" w:rsidR="002B673A" w:rsidRPr="006C4629" w:rsidRDefault="002B673A" w:rsidP="002B67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</w:rPr>
        <w:t>Az elektronikus adat ideiglenes hozzáférhetetlenné tétele</w:t>
      </w:r>
    </w:p>
    <w:p w14:paraId="44E7DA53" w14:textId="3B6AF4FD" w:rsidR="002B673A" w:rsidRPr="006C4629" w:rsidRDefault="002B673A" w:rsidP="002B673A">
      <w:pPr>
        <w:jc w:val="both"/>
        <w:rPr>
          <w:rFonts w:ascii="Times New Roman" w:hAnsi="Times New Roman" w:cs="Times New Roman"/>
        </w:rPr>
      </w:pPr>
    </w:p>
    <w:p w14:paraId="114574DD" w14:textId="150F2E79" w:rsidR="006C4629" w:rsidRDefault="006C4629" w:rsidP="002B673A">
      <w:pPr>
        <w:jc w:val="both"/>
        <w:rPr>
          <w:rFonts w:ascii="Times New Roman" w:hAnsi="Times New Roman" w:cs="Times New Roman"/>
        </w:rPr>
      </w:pPr>
      <w:r w:rsidRPr="006C4629">
        <w:rPr>
          <w:rFonts w:ascii="Times New Roman" w:hAnsi="Times New Roman" w:cs="Times New Roman"/>
          <w:b/>
          <w:bCs/>
        </w:rPr>
        <w:t>A vizsga formája:</w:t>
      </w:r>
      <w:r w:rsidRPr="006C4629">
        <w:rPr>
          <w:rFonts w:ascii="Times New Roman" w:hAnsi="Times New Roman" w:cs="Times New Roman"/>
        </w:rPr>
        <w:t xml:space="preserve"> szóbeli</w:t>
      </w:r>
    </w:p>
    <w:p w14:paraId="6620D4ED" w14:textId="77777777" w:rsidR="00657E2E" w:rsidRDefault="00657E2E" w:rsidP="002B673A">
      <w:pPr>
        <w:jc w:val="both"/>
        <w:rPr>
          <w:rFonts w:ascii="Times New Roman" w:hAnsi="Times New Roman" w:cs="Times New Roman"/>
        </w:rPr>
      </w:pPr>
    </w:p>
    <w:p w14:paraId="45AC59E3" w14:textId="56F62887" w:rsidR="00657E2E" w:rsidRDefault="00657E2E" w:rsidP="002B67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Kelt. Budapest, 202</w:t>
      </w:r>
      <w:r w:rsidR="00073B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szeptember 1. </w:t>
      </w:r>
    </w:p>
    <w:p w14:paraId="258471B9" w14:textId="77777777" w:rsidR="00E8069E" w:rsidRDefault="00E8069E" w:rsidP="002B673A">
      <w:pPr>
        <w:jc w:val="both"/>
        <w:rPr>
          <w:rFonts w:ascii="Times New Roman" w:hAnsi="Times New Roman" w:cs="Times New Roman"/>
        </w:rPr>
      </w:pPr>
    </w:p>
    <w:p w14:paraId="63E6000E" w14:textId="77777777" w:rsidR="00E8069E" w:rsidRDefault="00E8069E" w:rsidP="00E8069E">
      <w:pPr>
        <w:rPr>
          <w:i/>
          <w:iCs/>
        </w:rPr>
      </w:pPr>
    </w:p>
    <w:p w14:paraId="68EEB3ED" w14:textId="00A2CBAF" w:rsidR="00E8069E" w:rsidRPr="00E8069E" w:rsidRDefault="00E8069E" w:rsidP="00E8069E">
      <w:pPr>
        <w:jc w:val="center"/>
        <w:rPr>
          <w:rFonts w:ascii="Times New Roman" w:hAnsi="Times New Roman" w:cs="Times New Roman"/>
          <w:i/>
          <w:iCs/>
        </w:rPr>
      </w:pPr>
      <w:r w:rsidRPr="00E8069E">
        <w:rPr>
          <w:rFonts w:ascii="Times New Roman" w:hAnsi="Times New Roman" w:cs="Times New Roman"/>
          <w:i/>
          <w:iCs/>
        </w:rPr>
        <w:t xml:space="preserve">Dr. Bérces Viktor </w:t>
      </w:r>
      <w:proofErr w:type="spellStart"/>
      <w:proofErr w:type="gramStart"/>
      <w:r w:rsidRPr="00E8069E">
        <w:rPr>
          <w:rFonts w:ascii="Times New Roman" w:hAnsi="Times New Roman" w:cs="Times New Roman"/>
          <w:i/>
          <w:iCs/>
        </w:rPr>
        <w:t>Ph.D</w:t>
      </w:r>
      <w:proofErr w:type="spellEnd"/>
      <w:proofErr w:type="gramEnd"/>
    </w:p>
    <w:p w14:paraId="576C56F7" w14:textId="006CB69E" w:rsidR="00E8069E" w:rsidRPr="00E8069E" w:rsidRDefault="00E8069E" w:rsidP="00E8069E">
      <w:pPr>
        <w:jc w:val="center"/>
        <w:rPr>
          <w:rFonts w:ascii="Times New Roman" w:hAnsi="Times New Roman" w:cs="Times New Roman"/>
          <w:i/>
          <w:iCs/>
        </w:rPr>
      </w:pPr>
      <w:r w:rsidRPr="00E8069E">
        <w:rPr>
          <w:rFonts w:ascii="Times New Roman" w:hAnsi="Times New Roman" w:cs="Times New Roman"/>
          <w:i/>
          <w:iCs/>
        </w:rPr>
        <w:t>egyetemi docens</w:t>
      </w:r>
    </w:p>
    <w:p w14:paraId="72512F46" w14:textId="77777777" w:rsidR="00E8069E" w:rsidRPr="00E8069E" w:rsidRDefault="00E8069E" w:rsidP="00E8069E">
      <w:pPr>
        <w:jc w:val="center"/>
        <w:rPr>
          <w:rFonts w:ascii="Times New Roman" w:hAnsi="Times New Roman" w:cs="Times New Roman"/>
          <w:i/>
          <w:iCs/>
        </w:rPr>
      </w:pPr>
      <w:r w:rsidRPr="00E8069E">
        <w:rPr>
          <w:rFonts w:ascii="Times New Roman" w:hAnsi="Times New Roman" w:cs="Times New Roman"/>
          <w:i/>
          <w:iCs/>
        </w:rPr>
        <w:t>/tárgyjegyző/</w:t>
      </w:r>
    </w:p>
    <w:p w14:paraId="05A3D09A" w14:textId="77777777" w:rsidR="00E8069E" w:rsidRPr="006C4629" w:rsidRDefault="00E8069E" w:rsidP="002B673A">
      <w:pPr>
        <w:jc w:val="both"/>
        <w:rPr>
          <w:rFonts w:ascii="Times New Roman" w:hAnsi="Times New Roman" w:cs="Times New Roman"/>
        </w:rPr>
      </w:pPr>
    </w:p>
    <w:p w14:paraId="51922B38" w14:textId="77777777" w:rsidR="00045D6A" w:rsidRPr="006C4629" w:rsidRDefault="00045D6A" w:rsidP="002B673A">
      <w:pPr>
        <w:jc w:val="both"/>
        <w:rPr>
          <w:rFonts w:ascii="Times New Roman" w:hAnsi="Times New Roman" w:cs="Times New Roman"/>
        </w:rPr>
      </w:pPr>
    </w:p>
    <w:p w14:paraId="74148132" w14:textId="77777777" w:rsidR="00E921B2" w:rsidRPr="006C4629" w:rsidRDefault="00E921B2" w:rsidP="002B673A">
      <w:pPr>
        <w:pStyle w:val="Listaszerbekezds"/>
        <w:jc w:val="both"/>
        <w:rPr>
          <w:rFonts w:ascii="Times New Roman" w:hAnsi="Times New Roman" w:cs="Times New Roman"/>
        </w:rPr>
      </w:pPr>
    </w:p>
    <w:sectPr w:rsidR="00E921B2" w:rsidRPr="006C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12F90"/>
    <w:multiLevelType w:val="hybridMultilevel"/>
    <w:tmpl w:val="67EC54C6"/>
    <w:lvl w:ilvl="0" w:tplc="B658E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5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2"/>
    <w:rsid w:val="00045D6A"/>
    <w:rsid w:val="00073B19"/>
    <w:rsid w:val="000B059C"/>
    <w:rsid w:val="001A333E"/>
    <w:rsid w:val="001A5C4E"/>
    <w:rsid w:val="001E4EED"/>
    <w:rsid w:val="002337A9"/>
    <w:rsid w:val="002B673A"/>
    <w:rsid w:val="003658CA"/>
    <w:rsid w:val="003811FD"/>
    <w:rsid w:val="003B7F6C"/>
    <w:rsid w:val="00464D3A"/>
    <w:rsid w:val="00503C1B"/>
    <w:rsid w:val="005126AD"/>
    <w:rsid w:val="0057062A"/>
    <w:rsid w:val="00570F1D"/>
    <w:rsid w:val="00614110"/>
    <w:rsid w:val="00657E2E"/>
    <w:rsid w:val="00674A84"/>
    <w:rsid w:val="006B5603"/>
    <w:rsid w:val="006C4629"/>
    <w:rsid w:val="008412AA"/>
    <w:rsid w:val="00845D99"/>
    <w:rsid w:val="00917133"/>
    <w:rsid w:val="009B08CB"/>
    <w:rsid w:val="00AC4EA6"/>
    <w:rsid w:val="00B848A4"/>
    <w:rsid w:val="00CA176A"/>
    <w:rsid w:val="00E46A6A"/>
    <w:rsid w:val="00E8069E"/>
    <w:rsid w:val="00E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A4CA"/>
  <w15:chartTrackingRefBased/>
  <w15:docId w15:val="{88CE9333-7990-4240-80DF-BFB11ED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Bérces Viktor</dc:creator>
  <cp:keywords/>
  <dc:description/>
  <cp:lastModifiedBy>Bérces Viktor</cp:lastModifiedBy>
  <cp:revision>2</cp:revision>
  <dcterms:created xsi:type="dcterms:W3CDTF">2024-09-04T12:26:00Z</dcterms:created>
  <dcterms:modified xsi:type="dcterms:W3CDTF">2024-09-04T12:26:00Z</dcterms:modified>
</cp:coreProperties>
</file>