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B14BD" w14:textId="77777777" w:rsidR="007C5A3D" w:rsidRPr="0075351E" w:rsidRDefault="007C5A3D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186AF4" w:rsidRPr="0075351E" w14:paraId="4FB2FB66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B778FF7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Tárgynév:</w:t>
            </w:r>
          </w:p>
        </w:tc>
        <w:tc>
          <w:tcPr>
            <w:tcW w:w="7087" w:type="dxa"/>
            <w:gridSpan w:val="3"/>
            <w:vAlign w:val="center"/>
          </w:tcPr>
          <w:p w14:paraId="2CD0D3EE" w14:textId="77777777" w:rsidR="00EC61D7" w:rsidRPr="00EC61D7" w:rsidRDefault="00EC61D7" w:rsidP="00EC61D7">
            <w:pPr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EC61D7">
              <w:rPr>
                <w:rFonts w:asciiTheme="minorHAnsi" w:hAnsiTheme="minorHAnsi" w:cstheme="minorHAnsi"/>
              </w:rPr>
              <w:t>Criminal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61D7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101</w:t>
            </w:r>
          </w:p>
          <w:p w14:paraId="34DAF9EE" w14:textId="625F1B43" w:rsidR="00186AF4" w:rsidRPr="0075351E" w:rsidRDefault="00EC61D7" w:rsidP="00EC61D7">
            <w:pPr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EC61D7">
              <w:rPr>
                <w:rFonts w:asciiTheme="minorHAnsi" w:hAnsiTheme="minorHAnsi" w:cstheme="minorHAnsi"/>
              </w:rPr>
              <w:t>Understanding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61D7">
              <w:rPr>
                <w:rFonts w:asciiTheme="minorHAnsi" w:hAnsiTheme="minorHAnsi" w:cstheme="minorHAnsi"/>
              </w:rPr>
              <w:t>the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61D7">
              <w:rPr>
                <w:rFonts w:asciiTheme="minorHAnsi" w:hAnsiTheme="minorHAnsi" w:cstheme="minorHAnsi"/>
              </w:rPr>
              <w:t>Criminal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Mind</w:t>
            </w:r>
          </w:p>
        </w:tc>
      </w:tr>
      <w:tr w:rsidR="00186AF4" w:rsidRPr="0075351E" w14:paraId="2A4007C8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0634D07" w14:textId="77777777" w:rsidR="00186AF4" w:rsidRPr="0075351E" w:rsidRDefault="001D055E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Szint</w:t>
            </w:r>
            <w:r w:rsidR="00186AF4" w:rsidRPr="0075351E">
              <w:rPr>
                <w:rFonts w:asciiTheme="minorHAnsi" w:hAnsiTheme="minorHAnsi" w:cstheme="minorHAnsi"/>
                <w:b/>
              </w:rPr>
              <w:t>:</w:t>
            </w:r>
            <w:r w:rsidR="0075351E"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7087" w:type="dxa"/>
            <w:gridSpan w:val="3"/>
            <w:vAlign w:val="center"/>
          </w:tcPr>
          <w:p w14:paraId="1C8EB846" w14:textId="75A5D651" w:rsidR="00186AF4" w:rsidRPr="0075351E" w:rsidRDefault="00EC61D7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86AF4" w:rsidRPr="0075351E" w14:paraId="3621F53E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5775FE4" w14:textId="77777777" w:rsidR="00186AF4" w:rsidRPr="0075351E" w:rsidRDefault="0075351E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</w:t>
            </w:r>
            <w:r>
              <w:rPr>
                <w:rFonts w:asciiTheme="minorHAnsi" w:hAnsiTheme="minorHAnsi" w:cstheme="minorHAnsi"/>
                <w:b/>
              </w:rPr>
              <w:t>feltétel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7087" w:type="dxa"/>
            <w:gridSpan w:val="3"/>
            <w:vAlign w:val="center"/>
          </w:tcPr>
          <w:p w14:paraId="7FA69EAB" w14:textId="268930CA" w:rsidR="00186AF4" w:rsidRPr="0075351E" w:rsidRDefault="00EC61D7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</w:tr>
      <w:tr w:rsidR="00186AF4" w:rsidRPr="0075351E" w14:paraId="12802EE2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FCA0D63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Követelmény típus: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7087" w:type="dxa"/>
            <w:gridSpan w:val="3"/>
            <w:vAlign w:val="center"/>
          </w:tcPr>
          <w:p w14:paraId="15705BD8" w14:textId="77777777" w:rsidR="00186AF4" w:rsidRPr="0075351E" w:rsidRDefault="00210E90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 w:rsidRPr="00F46DDF">
              <w:rPr>
                <w:rFonts w:asciiTheme="minorHAnsi" w:hAnsiTheme="minorHAnsi" w:cstheme="minorHAnsi"/>
              </w:rPr>
              <w:t>Beszámoló (háromfokozatú)</w:t>
            </w:r>
          </w:p>
        </w:tc>
      </w:tr>
      <w:tr w:rsidR="00186AF4" w:rsidRPr="0075351E" w14:paraId="06F4C9A5" w14:textId="77777777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14:paraId="5A935D88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Óraszám</w:t>
            </w:r>
            <w:r w:rsidR="0075351E"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4"/>
            </w:r>
            <w:r w:rsidR="0075351E">
              <w:rPr>
                <w:rFonts w:asciiTheme="minorHAnsi" w:hAnsiTheme="minorHAnsi" w:cstheme="minorHAnsi"/>
                <w:b/>
              </w:rPr>
              <w:t xml:space="preserve"> és -típus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="0075351E"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5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6278048B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Nappali:</w:t>
            </w:r>
            <w:r w:rsidR="00210E90" w:rsidRPr="00210E90">
              <w:rPr>
                <w:rFonts w:asciiTheme="minorHAnsi" w:hAnsiTheme="minorHAnsi" w:cstheme="minorHAnsi"/>
              </w:rPr>
              <w:t>2 óra/hét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3153360B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Előadás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604D0CE6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14:paraId="78020304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77E87C9B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2D0132F5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220CA32B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Gyakorlat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59DC6B02" w14:textId="77777777" w:rsidR="00186AF4" w:rsidRPr="0075351E" w:rsidRDefault="00423C17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186AF4" w:rsidRPr="0075351E" w14:paraId="71729C97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003AA1C0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645BE870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Levelező: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34F0F88A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Előadás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1B7BA4EB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14:paraId="13E2D1F6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54EE4929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547990EC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56B97E35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Gyakorlat</w:t>
            </w:r>
            <w:r w:rsidR="007535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252B943E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6AF4" w:rsidRPr="0075351E" w14:paraId="05A9C0F1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F9D901F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Kredit: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7087" w:type="dxa"/>
            <w:gridSpan w:val="3"/>
            <w:vAlign w:val="center"/>
          </w:tcPr>
          <w:p w14:paraId="5AAEF995" w14:textId="77777777" w:rsidR="00186AF4" w:rsidRPr="0075351E" w:rsidRDefault="00210E90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86AF4" w:rsidRPr="0075351E" w14:paraId="13747B8E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C5BA209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Felelős szervezet neve: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7"/>
            </w:r>
          </w:p>
        </w:tc>
        <w:tc>
          <w:tcPr>
            <w:tcW w:w="7087" w:type="dxa"/>
            <w:gridSpan w:val="3"/>
            <w:vAlign w:val="center"/>
          </w:tcPr>
          <w:p w14:paraId="42640DDC" w14:textId="3FAD93F5" w:rsidR="00186AF4" w:rsidRPr="0075351E" w:rsidRDefault="008D3CAD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Büntetőjogi</w:t>
            </w:r>
            <w:bookmarkStart w:id="0" w:name="_GoBack"/>
            <w:bookmarkEnd w:id="0"/>
            <w:r w:rsidR="00210E90">
              <w:rPr>
                <w:rFonts w:asciiTheme="minorHAnsi" w:hAnsiTheme="minorHAnsi" w:cstheme="minorHAnsi"/>
              </w:rPr>
              <w:t xml:space="preserve"> Tanszék</w:t>
            </w:r>
          </w:p>
        </w:tc>
      </w:tr>
      <w:tr w:rsidR="00186AF4" w:rsidRPr="0075351E" w14:paraId="2911B066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6B4A6C3" w14:textId="77777777" w:rsidR="00186AF4" w:rsidRPr="0075351E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Tárgyfelelős neve:</w:t>
            </w:r>
          </w:p>
        </w:tc>
        <w:tc>
          <w:tcPr>
            <w:tcW w:w="7087" w:type="dxa"/>
            <w:gridSpan w:val="3"/>
            <w:vAlign w:val="center"/>
          </w:tcPr>
          <w:p w14:paraId="0B6E7F2E" w14:textId="73C6E9DB" w:rsidR="00186AF4" w:rsidRPr="0075351E" w:rsidRDefault="00EC61D7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FONTANINI</w:t>
            </w:r>
            <w:r w:rsidR="00227EA0">
              <w:rPr>
                <w:rFonts w:asciiTheme="minorHAnsi" w:hAnsiTheme="minorHAnsi" w:cstheme="minorHAnsi"/>
              </w:rPr>
              <w:t xml:space="preserve"> Walter</w:t>
            </w:r>
          </w:p>
        </w:tc>
      </w:tr>
      <w:tr w:rsidR="0075351E" w:rsidRPr="0075351E" w14:paraId="0DA54BC1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26A904BC" w14:textId="77777777" w:rsidR="0075351E" w:rsidRPr="0075351E" w:rsidRDefault="0075351E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Oktatás célja: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8"/>
            </w:r>
          </w:p>
        </w:tc>
        <w:tc>
          <w:tcPr>
            <w:tcW w:w="7087" w:type="dxa"/>
            <w:gridSpan w:val="3"/>
            <w:vAlign w:val="center"/>
          </w:tcPr>
          <w:p w14:paraId="3D27654E" w14:textId="38F1B375" w:rsidR="00EE694B" w:rsidRDefault="00F24B0E" w:rsidP="00F24B0E">
            <w:p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4B0E">
              <w:rPr>
                <w:rFonts w:asciiTheme="minorHAnsi" w:hAnsiTheme="minorHAnsi"/>
                <w:sz w:val="22"/>
                <w:szCs w:val="22"/>
              </w:rPr>
              <w:t xml:space="preserve">Ez a szeminárium a jog és a pszichológiai tudományok metszéspontjainak </w:t>
            </w:r>
            <w:r w:rsidR="0063518D">
              <w:rPr>
                <w:rFonts w:asciiTheme="minorHAnsi" w:hAnsiTheme="minorHAnsi"/>
                <w:sz w:val="22"/>
                <w:szCs w:val="22"/>
              </w:rPr>
              <w:t>mélyebb</w:t>
            </w:r>
            <w:r w:rsidRPr="00F24B0E">
              <w:rPr>
                <w:rFonts w:asciiTheme="minorHAnsi" w:hAnsiTheme="minorHAnsi"/>
                <w:sz w:val="22"/>
                <w:szCs w:val="22"/>
              </w:rPr>
              <w:t xml:space="preserve"> megértésére irányuló sürgető igényre válaszol. </w:t>
            </w:r>
            <w:r w:rsidR="001C4646">
              <w:rPr>
                <w:rFonts w:asciiTheme="minorHAnsi" w:hAnsiTheme="minorHAnsi"/>
                <w:sz w:val="22"/>
                <w:szCs w:val="22"/>
              </w:rPr>
              <w:t>Ez a</w:t>
            </w:r>
            <w:r w:rsidRPr="00F24B0E">
              <w:rPr>
                <w:rFonts w:asciiTheme="minorHAnsi" w:hAnsiTheme="minorHAnsi"/>
                <w:sz w:val="22"/>
                <w:szCs w:val="22"/>
              </w:rPr>
              <w:t xml:space="preserve"> szeminárium a jogászhallgatók számára </w:t>
            </w:r>
            <w:r w:rsidR="00565239">
              <w:rPr>
                <w:rFonts w:asciiTheme="minorHAnsi" w:hAnsiTheme="minorHAnsi"/>
                <w:sz w:val="22"/>
                <w:szCs w:val="22"/>
              </w:rPr>
              <w:t>abban nyújt több előnyt</w:t>
            </w:r>
            <w:r w:rsidR="00715FF2">
              <w:rPr>
                <w:rFonts w:asciiTheme="minorHAnsi" w:hAnsiTheme="minorHAnsi"/>
                <w:sz w:val="22"/>
                <w:szCs w:val="22"/>
              </w:rPr>
              <w:t xml:space="preserve">, hogy </w:t>
            </w:r>
            <w:r w:rsidRPr="00F24B0E">
              <w:rPr>
                <w:rFonts w:asciiTheme="minorHAnsi" w:hAnsiTheme="minorHAnsi"/>
                <w:sz w:val="22"/>
                <w:szCs w:val="22"/>
              </w:rPr>
              <w:t xml:space="preserve">elsajátítják a pszichológiai </w:t>
            </w:r>
            <w:r w:rsidR="00117BC7">
              <w:rPr>
                <w:rFonts w:asciiTheme="minorHAnsi" w:hAnsiTheme="minorHAnsi"/>
                <w:sz w:val="22"/>
                <w:szCs w:val="22"/>
              </w:rPr>
              <w:t>dinamik</w:t>
            </w:r>
            <w:r w:rsidR="00DE2460">
              <w:rPr>
                <w:rFonts w:asciiTheme="minorHAnsi" w:hAnsiTheme="minorHAnsi"/>
                <w:sz w:val="22"/>
                <w:szCs w:val="22"/>
              </w:rPr>
              <w:t>ák</w:t>
            </w:r>
            <w:r w:rsidRPr="00F24B0E">
              <w:rPr>
                <w:rFonts w:asciiTheme="minorHAnsi" w:hAnsiTheme="minorHAnsi"/>
                <w:sz w:val="22"/>
                <w:szCs w:val="22"/>
              </w:rPr>
              <w:t xml:space="preserve"> jogi eljárásokban való megfogalmazásához és értelmezéséhez szükséges nyelvezetet és fogalmi kereteket. Ezeknek az összetett pszichológiai fogalmaknak a megértése nemcsak a vád és a védelem, hanem a megelőző intézkedések és a rehabilitációs stratégiák kialakítása szempontjából is létfontosságú. </w:t>
            </w:r>
            <w:r w:rsidR="00D800E0">
              <w:rPr>
                <w:rFonts w:asciiTheme="minorHAnsi" w:hAnsiTheme="minorHAnsi"/>
                <w:sz w:val="22"/>
                <w:szCs w:val="22"/>
              </w:rPr>
              <w:t xml:space="preserve">Ezek </w:t>
            </w:r>
            <w:proofErr w:type="gramStart"/>
            <w:r w:rsidR="00D800E0">
              <w:rPr>
                <w:rFonts w:asciiTheme="minorHAnsi" w:hAnsiTheme="minorHAnsi"/>
                <w:sz w:val="22"/>
                <w:szCs w:val="22"/>
              </w:rPr>
              <w:t xml:space="preserve">az </w:t>
            </w:r>
            <w:r w:rsidRPr="00F24B0E">
              <w:rPr>
                <w:rFonts w:asciiTheme="minorHAnsi" w:hAnsiTheme="minorHAnsi"/>
                <w:sz w:val="22"/>
                <w:szCs w:val="22"/>
              </w:rPr>
              <w:t xml:space="preserve"> ismeretek</w:t>
            </w:r>
            <w:proofErr w:type="gramEnd"/>
            <w:r w:rsidRPr="00F24B0E">
              <w:rPr>
                <w:rFonts w:asciiTheme="minorHAnsi" w:hAnsiTheme="minorHAnsi"/>
                <w:sz w:val="22"/>
                <w:szCs w:val="22"/>
              </w:rPr>
              <w:t xml:space="preserve"> nélkülözhetetlenek a tájékozottabb és</w:t>
            </w:r>
            <w:r w:rsidR="00313E3B">
              <w:rPr>
                <w:rFonts w:asciiTheme="minorHAnsi" w:hAnsiTheme="minorHAnsi"/>
                <w:sz w:val="22"/>
                <w:szCs w:val="22"/>
              </w:rPr>
              <w:t xml:space="preserve"> pszichológiai szempontból megértőbb </w:t>
            </w:r>
            <w:r w:rsidRPr="00F24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6A52">
              <w:rPr>
                <w:rFonts w:asciiTheme="minorHAnsi" w:hAnsiTheme="minorHAnsi"/>
                <w:sz w:val="22"/>
                <w:szCs w:val="22"/>
              </w:rPr>
              <w:t>jogi folyamatok lebonyolításához.</w:t>
            </w:r>
            <w:r w:rsidR="002622C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B664657" w14:textId="77777777" w:rsidR="00655DC1" w:rsidRPr="00EE694B" w:rsidRDefault="00655DC1" w:rsidP="003F6718">
            <w:pPr>
              <w:spacing w:after="120" w:line="360" w:lineRule="auto"/>
              <w:jc w:val="both"/>
              <w:rPr>
                <w:rFonts w:ascii="Times" w:hAnsi="Times"/>
              </w:rPr>
            </w:pPr>
          </w:p>
        </w:tc>
      </w:tr>
      <w:tr w:rsidR="0075351E" w:rsidRPr="0075351E" w14:paraId="4057136B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957DDEB" w14:textId="77777777" w:rsidR="0075351E" w:rsidRPr="0075351E" w:rsidRDefault="00F52125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Tantárgy tartalma: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9"/>
            </w:r>
          </w:p>
        </w:tc>
        <w:tc>
          <w:tcPr>
            <w:tcW w:w="7087" w:type="dxa"/>
            <w:gridSpan w:val="3"/>
            <w:vAlign w:val="center"/>
          </w:tcPr>
          <w:p w14:paraId="35E2C355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proofErr w:type="spellStart"/>
            <w:r w:rsidRPr="00024624">
              <w:rPr>
                <w:rFonts w:cstheme="minorHAnsi"/>
              </w:rPr>
              <w:t>Neurofiziológia</w:t>
            </w:r>
            <w:proofErr w:type="spellEnd"/>
            <w:r w:rsidRPr="00024624">
              <w:rPr>
                <w:rFonts w:cstheme="minorHAnsi"/>
              </w:rPr>
              <w:t>: Hogyan épül fel és működik az agyunk. Biológiai alapok.</w:t>
            </w:r>
          </w:p>
          <w:p w14:paraId="576C5A33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DSM5, A pszichológiai zavarok osztályozása a megfelelő kommunikáció érdekében a bíróságon.</w:t>
            </w:r>
          </w:p>
          <w:p w14:paraId="72CD2F3D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Mi a személyiség? Bűnözői személyiség vagy bűnözői magatartás?</w:t>
            </w:r>
          </w:p>
          <w:p w14:paraId="449A39C3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Személyiségzavarok 1: Fókuszban az antiszociális személyiségzavar és annak gyakorisága a bűnözői populációkban.</w:t>
            </w:r>
          </w:p>
          <w:p w14:paraId="6BA6B864" w14:textId="69C6679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 xml:space="preserve">Személyiségzavar 2: A </w:t>
            </w:r>
            <w:proofErr w:type="spellStart"/>
            <w:r w:rsidR="00D554BB">
              <w:rPr>
                <w:rFonts w:cstheme="minorHAnsi"/>
              </w:rPr>
              <w:t>B</w:t>
            </w:r>
            <w:r w:rsidRPr="00024624">
              <w:rPr>
                <w:rFonts w:cstheme="minorHAnsi"/>
              </w:rPr>
              <w:t>orderline</w:t>
            </w:r>
            <w:proofErr w:type="spellEnd"/>
            <w:r w:rsidRPr="00024624">
              <w:rPr>
                <w:rFonts w:cstheme="minorHAnsi"/>
              </w:rPr>
              <w:t xml:space="preserve"> személyiségzavar, a </w:t>
            </w:r>
            <w:proofErr w:type="spellStart"/>
            <w:r w:rsidRPr="00024624">
              <w:rPr>
                <w:rFonts w:cstheme="minorHAnsi"/>
              </w:rPr>
              <w:t>nárcisztikus</w:t>
            </w:r>
            <w:proofErr w:type="spellEnd"/>
            <w:r w:rsidRPr="00024624">
              <w:rPr>
                <w:rFonts w:cstheme="minorHAnsi"/>
              </w:rPr>
              <w:t xml:space="preserve"> személyiségzavar és a sötét személyiség.</w:t>
            </w:r>
          </w:p>
          <w:p w14:paraId="75FCCA43" w14:textId="609A66AA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 xml:space="preserve">Személyiségzavar 3: Pszichopátia, Az antiszociális erkölcsiségtől a bűnözői magatartásig. A pszichopátia és a </w:t>
            </w:r>
            <w:proofErr w:type="spellStart"/>
            <w:r w:rsidRPr="00024624">
              <w:rPr>
                <w:rFonts w:cstheme="minorHAnsi"/>
              </w:rPr>
              <w:t>szociopátia</w:t>
            </w:r>
            <w:proofErr w:type="spellEnd"/>
            <w:r w:rsidRPr="00024624">
              <w:rPr>
                <w:rFonts w:cstheme="minorHAnsi"/>
              </w:rPr>
              <w:t xml:space="preserve"> mélyreható vizsgálata, megkülönböztetésük és hatásuk a bűnelkövetési magatartásra</w:t>
            </w:r>
            <w:r w:rsidR="00B83FC9" w:rsidRPr="00024624">
              <w:rPr>
                <w:rFonts w:cstheme="minorHAnsi"/>
              </w:rPr>
              <w:t>.</w:t>
            </w:r>
          </w:p>
          <w:p w14:paraId="7DE868F1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Düh, agresszió, ellenségesség: Az erőszakos bűncselekmények pszichológiája</w:t>
            </w:r>
          </w:p>
          <w:p w14:paraId="580EE873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Családon belüli erőszak</w:t>
            </w:r>
          </w:p>
          <w:p w14:paraId="4EF86A34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Bűncselekmény pszichológiai vagy szociológiai okokból</w:t>
            </w:r>
          </w:p>
          <w:p w14:paraId="2B0F3258" w14:textId="77777777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proofErr w:type="spellStart"/>
            <w:r w:rsidRPr="00024624">
              <w:rPr>
                <w:rFonts w:cstheme="minorHAnsi"/>
              </w:rPr>
              <w:t>Parafília</w:t>
            </w:r>
            <w:proofErr w:type="spellEnd"/>
            <w:r w:rsidRPr="00024624">
              <w:rPr>
                <w:rFonts w:cstheme="minorHAnsi"/>
              </w:rPr>
              <w:t>: Gyermekek és mások szexuális zaklatása</w:t>
            </w:r>
          </w:p>
          <w:p w14:paraId="010B3190" w14:textId="2AC646FD" w:rsidR="00201BB5" w:rsidRPr="00024624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24624">
              <w:rPr>
                <w:rFonts w:cstheme="minorHAnsi"/>
              </w:rPr>
              <w:t>Formátlan elmék: idegrendszeri fejlődési zavarok és a korai serdülőkori bűnözés: Gyermekkor</w:t>
            </w:r>
            <w:r w:rsidR="009B6DE3">
              <w:rPr>
                <w:rFonts w:cstheme="minorHAnsi"/>
              </w:rPr>
              <w:t>i problémák</w:t>
            </w:r>
            <w:r w:rsidRPr="00024624">
              <w:rPr>
                <w:rFonts w:cstheme="minorHAnsi"/>
              </w:rPr>
              <w:t>, családi vagy társas nyomás?</w:t>
            </w:r>
          </w:p>
          <w:p w14:paraId="5AE939B1" w14:textId="6BB66B59" w:rsidR="0075351E" w:rsidRPr="00201BB5" w:rsidRDefault="00201BB5" w:rsidP="00201BB5">
            <w:pPr>
              <w:pStyle w:val="Listaszerbekezds"/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="Times" w:hAnsi="Times"/>
              </w:rPr>
            </w:pPr>
            <w:proofErr w:type="spellStart"/>
            <w:r w:rsidRPr="00024624">
              <w:rPr>
                <w:rFonts w:cstheme="minorHAnsi"/>
              </w:rPr>
              <w:t>Viktimológia</w:t>
            </w:r>
            <w:proofErr w:type="spellEnd"/>
            <w:r w:rsidRPr="00024624">
              <w:rPr>
                <w:rFonts w:cstheme="minorHAnsi"/>
              </w:rPr>
              <w:t xml:space="preserve"> és annak hatása a büntetőeljárásra. Az áldozatok és az áldozattá válás pszichológiai hatásainak tanulmányozása. Poszttraumás stressz zavar, szorongás és pánik.</w:t>
            </w:r>
          </w:p>
        </w:tc>
      </w:tr>
      <w:tr w:rsidR="007F12FA" w:rsidRPr="0075351E" w14:paraId="713590A3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6790BAB9" w14:textId="77777777" w:rsidR="007F12FA" w:rsidRDefault="007F12FA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Számonkérési és értékelési rendszere: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10"/>
            </w:r>
          </w:p>
        </w:tc>
        <w:tc>
          <w:tcPr>
            <w:tcW w:w="7087" w:type="dxa"/>
            <w:gridSpan w:val="3"/>
            <w:vAlign w:val="center"/>
          </w:tcPr>
          <w:p w14:paraId="365836A8" w14:textId="158F4564" w:rsidR="007F12FA" w:rsidRPr="0075351E" w:rsidRDefault="00914528" w:rsidP="0075351E">
            <w:pPr>
              <w:spacing w:before="60" w:after="60"/>
              <w:rPr>
                <w:rFonts w:asciiTheme="minorHAnsi" w:hAnsiTheme="minorHAnsi" w:cstheme="minorHAnsi"/>
              </w:rPr>
            </w:pPr>
            <w:r w:rsidRPr="00914528">
              <w:rPr>
                <w:rFonts w:asciiTheme="minorHAnsi" w:hAnsiTheme="minorHAnsi" w:cstheme="minorHAnsi"/>
              </w:rPr>
              <w:t>Szóbeli vagy írásbeli, három hiányzás esetén "nem felelt meg".</w:t>
            </w:r>
          </w:p>
        </w:tc>
      </w:tr>
      <w:tr w:rsidR="007F12FA" w:rsidRPr="0075351E" w14:paraId="52581535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2EFAB39A" w14:textId="77777777" w:rsidR="007F12FA" w:rsidRDefault="007F12FA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Irodalom: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11"/>
            </w:r>
          </w:p>
        </w:tc>
        <w:tc>
          <w:tcPr>
            <w:tcW w:w="7087" w:type="dxa"/>
            <w:gridSpan w:val="3"/>
            <w:vAlign w:val="center"/>
          </w:tcPr>
          <w:p w14:paraId="2E4F7FDC" w14:textId="7F352E67" w:rsidR="00FC3B2B" w:rsidRDefault="00FC3B2B" w:rsidP="00FC3B2B">
            <w:pPr>
              <w:spacing w:before="60" w:after="60"/>
              <w:rPr>
                <w:rFonts w:asciiTheme="minorHAnsi" w:hAnsiTheme="minorHAnsi" w:cstheme="minorHAnsi"/>
              </w:rPr>
            </w:pPr>
            <w:r w:rsidRPr="00FC3B2B">
              <w:rPr>
                <w:rFonts w:asciiTheme="minorHAnsi" w:hAnsiTheme="minorHAnsi" w:cstheme="minorHAnsi"/>
              </w:rPr>
              <w:t xml:space="preserve">A szeminárium során a témával kapcsolatos </w:t>
            </w:r>
            <w:r w:rsidR="00192E81">
              <w:rPr>
                <w:rFonts w:asciiTheme="minorHAnsi" w:hAnsiTheme="minorHAnsi" w:cstheme="minorHAnsi"/>
              </w:rPr>
              <w:t>jegyzeteket</w:t>
            </w:r>
            <w:r w:rsidRPr="00FC3B2B">
              <w:rPr>
                <w:rFonts w:asciiTheme="minorHAnsi" w:hAnsiTheme="minorHAnsi" w:cstheme="minorHAnsi"/>
              </w:rPr>
              <w:t xml:space="preserve"> oszt</w:t>
            </w:r>
            <w:r w:rsidR="00192E81">
              <w:rPr>
                <w:rFonts w:asciiTheme="minorHAnsi" w:hAnsiTheme="minorHAnsi" w:cstheme="minorHAnsi"/>
              </w:rPr>
              <w:t>ok</w:t>
            </w:r>
            <w:r w:rsidRPr="00FC3B2B">
              <w:rPr>
                <w:rFonts w:asciiTheme="minorHAnsi" w:hAnsiTheme="minorHAnsi" w:cstheme="minorHAnsi"/>
              </w:rPr>
              <w:t xml:space="preserve"> ki </w:t>
            </w:r>
            <w:r w:rsidR="00EF7AF5">
              <w:rPr>
                <w:rFonts w:asciiTheme="minorHAnsi" w:hAnsiTheme="minorHAnsi" w:cstheme="minorHAnsi"/>
              </w:rPr>
              <w:t xml:space="preserve">a </w:t>
            </w:r>
            <w:r w:rsidRPr="00FC3B2B">
              <w:rPr>
                <w:rFonts w:asciiTheme="minorHAnsi" w:hAnsiTheme="minorHAnsi" w:cstheme="minorHAnsi"/>
              </w:rPr>
              <w:t>további olvasmányok</w:t>
            </w:r>
            <w:r w:rsidR="00EF7AF5">
              <w:rPr>
                <w:rFonts w:asciiTheme="minorHAnsi" w:hAnsiTheme="minorHAnsi" w:cstheme="minorHAnsi"/>
              </w:rPr>
              <w:t>on kívül</w:t>
            </w:r>
            <w:r w:rsidRPr="00FC3B2B">
              <w:rPr>
                <w:rFonts w:asciiTheme="minorHAnsi" w:hAnsiTheme="minorHAnsi" w:cstheme="minorHAnsi"/>
              </w:rPr>
              <w:t xml:space="preserve">. </w:t>
            </w:r>
          </w:p>
          <w:p w14:paraId="34ED5DE7" w14:textId="77777777" w:rsidR="00D317B1" w:rsidRPr="00FC3B2B" w:rsidRDefault="00D317B1" w:rsidP="00FC3B2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C091F78" w14:textId="090B7ED4" w:rsidR="007F12FA" w:rsidRDefault="00B56FE5" w:rsidP="00FC3B2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Szakszótár</w:t>
            </w:r>
            <w:r w:rsidR="00FC3B2B" w:rsidRPr="00FC3B2B">
              <w:rPr>
                <w:rFonts w:asciiTheme="minorHAnsi" w:hAnsiTheme="minorHAnsi" w:cstheme="minorHAnsi"/>
              </w:rPr>
              <w:t>:</w:t>
            </w:r>
          </w:p>
          <w:p w14:paraId="1A5DC498" w14:textId="77777777" w:rsidR="00FC7134" w:rsidRPr="00183DCA" w:rsidRDefault="00FC7134" w:rsidP="00FC7134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 xml:space="preserve">American Psychiatric Association. (2022). </w:t>
            </w:r>
            <w:r w:rsidRPr="00E847ED">
              <w:rPr>
                <w:rFonts w:asciiTheme="minorHAnsi" w:hAnsiTheme="minorHAnsi" w:cstheme="minorHAnsi"/>
                <w:i/>
                <w:iCs/>
                <w:lang w:val="en-GB"/>
              </w:rPr>
              <w:t>Diagnostic and statistical manual of mental disorders</w:t>
            </w:r>
            <w:r w:rsidRPr="00183DCA">
              <w:rPr>
                <w:rFonts w:asciiTheme="minorHAnsi" w:hAnsiTheme="minorHAnsi" w:cstheme="minorHAnsi"/>
                <w:lang w:val="en-GB"/>
              </w:rPr>
              <w:t xml:space="preserve"> (5th ed., text rev.). https://doi.org/10.1176/appi.books.9780890425787</w:t>
            </w:r>
          </w:p>
          <w:p w14:paraId="1857535F" w14:textId="77777777" w:rsidR="00FC7134" w:rsidRDefault="00FC7134" w:rsidP="00FC3B2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BA29205" w14:textId="4988233A" w:rsidR="00FC7134" w:rsidRDefault="00FC7134" w:rsidP="00FC3B2B">
            <w:pPr>
              <w:spacing w:before="60" w:after="60"/>
              <w:rPr>
                <w:rFonts w:asciiTheme="minorHAnsi" w:hAnsiTheme="minorHAnsi" w:cstheme="minorHAnsi"/>
              </w:rPr>
            </w:pPr>
            <w:r w:rsidRPr="00FC7134">
              <w:rPr>
                <w:rFonts w:asciiTheme="minorHAnsi" w:hAnsiTheme="minorHAnsi" w:cstheme="minorHAnsi"/>
              </w:rPr>
              <w:t xml:space="preserve">Kötelező </w:t>
            </w:r>
            <w:r w:rsidR="00CD0BCB">
              <w:rPr>
                <w:rFonts w:asciiTheme="minorHAnsi" w:hAnsiTheme="minorHAnsi" w:cstheme="minorHAnsi"/>
              </w:rPr>
              <w:t>szak</w:t>
            </w:r>
            <w:r w:rsidR="00E9259A">
              <w:rPr>
                <w:rFonts w:asciiTheme="minorHAnsi" w:hAnsiTheme="minorHAnsi" w:cstheme="minorHAnsi"/>
              </w:rPr>
              <w:t>irodalom</w:t>
            </w:r>
            <w:r w:rsidRPr="00FC7134">
              <w:rPr>
                <w:rFonts w:asciiTheme="minorHAnsi" w:hAnsiTheme="minorHAnsi" w:cstheme="minorHAnsi"/>
              </w:rPr>
              <w:t>:</w:t>
            </w:r>
          </w:p>
          <w:p w14:paraId="5EE14029" w14:textId="628F5158" w:rsidR="00FC7134" w:rsidRDefault="003B5768" w:rsidP="00FC3B2B">
            <w:pPr>
              <w:spacing w:before="60" w:after="60"/>
              <w:rPr>
                <w:rFonts w:asciiTheme="minorHAnsi" w:hAnsiTheme="minorHAnsi" w:cstheme="minorHAnsi"/>
              </w:rPr>
            </w:pPr>
            <w:r w:rsidRPr="003B5768">
              <w:rPr>
                <w:rFonts w:asciiTheme="minorHAnsi" w:hAnsiTheme="minorHAnsi" w:cstheme="minorHAnsi"/>
              </w:rPr>
              <w:t>Bull, R</w:t>
            </w:r>
            <w:proofErr w:type="gramStart"/>
            <w:r w:rsidRPr="003B5768">
              <w:rPr>
                <w:rFonts w:asciiTheme="minorHAnsi" w:hAnsiTheme="minorHAnsi" w:cstheme="minorHAnsi"/>
              </w:rPr>
              <w:t>.,</w:t>
            </w:r>
            <w:proofErr w:type="gramEnd"/>
            <w:r w:rsidRPr="003B57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5768">
              <w:rPr>
                <w:rFonts w:asciiTheme="minorHAnsi" w:hAnsiTheme="minorHAnsi" w:cstheme="minorHAnsi"/>
              </w:rPr>
              <w:t>Bilby</w:t>
            </w:r>
            <w:proofErr w:type="spellEnd"/>
            <w:r w:rsidRPr="003B5768">
              <w:rPr>
                <w:rFonts w:asciiTheme="minorHAnsi" w:hAnsiTheme="minorHAnsi" w:cstheme="minorHAnsi"/>
              </w:rPr>
              <w:t xml:space="preserve">, C., </w:t>
            </w:r>
            <w:proofErr w:type="spellStart"/>
            <w:r w:rsidRPr="003B5768">
              <w:rPr>
                <w:rFonts w:asciiTheme="minorHAnsi" w:hAnsiTheme="minorHAnsi" w:cstheme="minorHAnsi"/>
              </w:rPr>
              <w:t>Cooke</w:t>
            </w:r>
            <w:proofErr w:type="spellEnd"/>
            <w:r w:rsidRPr="003B5768">
              <w:rPr>
                <w:rFonts w:asciiTheme="minorHAnsi" w:hAnsiTheme="minorHAnsi" w:cstheme="minorHAnsi"/>
              </w:rPr>
              <w:t xml:space="preserve">, C., &amp; Grant, T. (2006).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Criminal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psychology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: A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beginner's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guide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>.</w:t>
            </w:r>
            <w:r w:rsidRPr="003B57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5768">
              <w:rPr>
                <w:rFonts w:asciiTheme="minorHAnsi" w:hAnsiTheme="minorHAnsi" w:cstheme="minorHAnsi"/>
              </w:rPr>
              <w:t>Oneworld</w:t>
            </w:r>
            <w:proofErr w:type="spellEnd"/>
            <w:r w:rsidRPr="003B57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5768">
              <w:rPr>
                <w:rFonts w:asciiTheme="minorHAnsi" w:hAnsiTheme="minorHAnsi" w:cstheme="minorHAnsi"/>
              </w:rPr>
              <w:t>Publications</w:t>
            </w:r>
            <w:proofErr w:type="spellEnd"/>
            <w:r w:rsidRPr="003B5768">
              <w:rPr>
                <w:rFonts w:asciiTheme="minorHAnsi" w:hAnsiTheme="minorHAnsi" w:cstheme="minorHAnsi"/>
              </w:rPr>
              <w:t>.</w:t>
            </w:r>
          </w:p>
          <w:p w14:paraId="72C0640E" w14:textId="77777777" w:rsidR="003B5768" w:rsidRDefault="003B5768" w:rsidP="00FC3B2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44C6578" w14:textId="0769DCAC" w:rsidR="00FC7134" w:rsidRDefault="00FC7134" w:rsidP="00FC3B2B">
            <w:pPr>
              <w:spacing w:before="60" w:after="60"/>
              <w:rPr>
                <w:rFonts w:asciiTheme="minorHAnsi" w:hAnsiTheme="minorHAnsi" w:cstheme="minorHAnsi"/>
              </w:rPr>
            </w:pPr>
            <w:r w:rsidRPr="00FC7134">
              <w:rPr>
                <w:rFonts w:asciiTheme="minorHAnsi" w:hAnsiTheme="minorHAnsi" w:cstheme="minorHAnsi"/>
              </w:rPr>
              <w:t xml:space="preserve">Javasolt </w:t>
            </w:r>
            <w:r w:rsidR="00CD0BCB">
              <w:rPr>
                <w:rFonts w:asciiTheme="minorHAnsi" w:hAnsiTheme="minorHAnsi" w:cstheme="minorHAnsi"/>
              </w:rPr>
              <w:t>szakirodalom</w:t>
            </w:r>
            <w:r w:rsidRPr="00FC7134">
              <w:rPr>
                <w:rFonts w:asciiTheme="minorHAnsi" w:hAnsiTheme="minorHAnsi" w:cstheme="minorHAnsi"/>
              </w:rPr>
              <w:t>:</w:t>
            </w:r>
          </w:p>
          <w:p w14:paraId="6B84118F" w14:textId="77777777" w:rsidR="00A8232D" w:rsidRPr="00A8232D" w:rsidRDefault="00A8232D" w:rsidP="00A8232D">
            <w:pPr>
              <w:spacing w:before="60" w:after="60"/>
              <w:rPr>
                <w:rFonts w:asciiTheme="minorHAnsi" w:hAnsiTheme="minorHAnsi" w:cstheme="minorHAnsi"/>
              </w:rPr>
            </w:pPr>
            <w:r w:rsidRPr="00A8232D">
              <w:rPr>
                <w:rFonts w:asciiTheme="minorHAnsi" w:hAnsiTheme="minorHAnsi" w:cstheme="minorHAnsi"/>
              </w:rPr>
              <w:t xml:space="preserve">Hare, R. D. (1999). </w:t>
            </w:r>
            <w:proofErr w:type="spellStart"/>
            <w:r w:rsidRPr="00D13C7B">
              <w:rPr>
                <w:rFonts w:asciiTheme="minorHAnsi" w:hAnsiTheme="minorHAnsi" w:cstheme="minorHAnsi"/>
                <w:i/>
                <w:iCs/>
              </w:rPr>
              <w:t>Without</w:t>
            </w:r>
            <w:proofErr w:type="spellEnd"/>
            <w:r w:rsidRPr="00D13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3C7B">
              <w:rPr>
                <w:rFonts w:asciiTheme="minorHAnsi" w:hAnsiTheme="minorHAnsi" w:cstheme="minorHAnsi"/>
                <w:i/>
                <w:iCs/>
              </w:rPr>
              <w:t>conscience</w:t>
            </w:r>
            <w:proofErr w:type="spellEnd"/>
            <w:r w:rsidRPr="00D13C7B">
              <w:rPr>
                <w:rFonts w:asciiTheme="minorHAnsi" w:hAnsiTheme="minorHAnsi" w:cstheme="minorHAnsi"/>
                <w:i/>
                <w:iCs/>
              </w:rPr>
              <w:t>:</w:t>
            </w:r>
            <w:r w:rsidRPr="00A8232D">
              <w:rPr>
                <w:rFonts w:asciiTheme="minorHAnsi" w:hAnsiTheme="minorHAnsi" w:cstheme="minorHAnsi"/>
              </w:rPr>
              <w:t xml:space="preserve"> </w:t>
            </w:r>
            <w:r w:rsidRPr="00E847ED">
              <w:rPr>
                <w:rFonts w:asciiTheme="minorHAnsi" w:hAnsiTheme="minorHAnsi" w:cstheme="minorHAnsi"/>
                <w:i/>
                <w:iCs/>
              </w:rPr>
              <w:t xml:space="preserve">The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disturbing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world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psychopaths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among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us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8232D">
              <w:rPr>
                <w:rFonts w:asciiTheme="minorHAnsi" w:hAnsiTheme="minorHAnsi" w:cstheme="minorHAnsi"/>
              </w:rPr>
              <w:t>Guilford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 Press.</w:t>
            </w:r>
          </w:p>
          <w:p w14:paraId="44A27982" w14:textId="77777777" w:rsidR="00A8232D" w:rsidRPr="00A8232D" w:rsidRDefault="00A8232D" w:rsidP="00A8232D">
            <w:pPr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A8232D">
              <w:rPr>
                <w:rFonts w:asciiTheme="minorHAnsi" w:hAnsiTheme="minorHAnsi" w:cstheme="minorHAnsi"/>
              </w:rPr>
              <w:t>Sarnoff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 A. </w:t>
            </w:r>
            <w:proofErr w:type="spellStart"/>
            <w:r w:rsidRPr="00A8232D">
              <w:rPr>
                <w:rFonts w:asciiTheme="minorHAnsi" w:hAnsiTheme="minorHAnsi" w:cstheme="minorHAnsi"/>
              </w:rPr>
              <w:t>Mednick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8232D">
              <w:rPr>
                <w:rFonts w:asciiTheme="minorHAnsi" w:hAnsiTheme="minorHAnsi" w:cstheme="minorHAnsi"/>
              </w:rPr>
              <w:t>Susan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 A. </w:t>
            </w:r>
            <w:proofErr w:type="spellStart"/>
            <w:r w:rsidRPr="00A8232D">
              <w:rPr>
                <w:rFonts w:asciiTheme="minorHAnsi" w:hAnsiTheme="minorHAnsi" w:cstheme="minorHAnsi"/>
              </w:rPr>
              <w:t>Stack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8232D">
              <w:rPr>
                <w:rFonts w:asciiTheme="minorHAnsi" w:hAnsiTheme="minorHAnsi" w:cstheme="minorHAnsi"/>
              </w:rPr>
              <w:t>Terrie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 E. </w:t>
            </w:r>
            <w:proofErr w:type="spellStart"/>
            <w:r w:rsidRPr="00A8232D">
              <w:rPr>
                <w:rFonts w:asciiTheme="minorHAnsi" w:hAnsiTheme="minorHAnsi" w:cstheme="minorHAnsi"/>
              </w:rPr>
              <w:t>Moffitt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, </w:t>
            </w:r>
            <w:r w:rsidRPr="00E847ED">
              <w:rPr>
                <w:rFonts w:asciiTheme="minorHAnsi" w:hAnsiTheme="minorHAnsi" w:cstheme="minorHAnsi"/>
                <w:i/>
                <w:iCs/>
              </w:rPr>
              <w:t xml:space="preserve">The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Causes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Crime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: New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Biological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Approaches</w:t>
            </w:r>
            <w:proofErr w:type="spellEnd"/>
            <w:r w:rsidRPr="00A8232D">
              <w:rPr>
                <w:rFonts w:asciiTheme="minorHAnsi" w:hAnsiTheme="minorHAnsi" w:cstheme="minorHAnsi"/>
              </w:rPr>
              <w:t xml:space="preserve">. (2009). United </w:t>
            </w:r>
            <w:proofErr w:type="spellStart"/>
            <w:r w:rsidRPr="00A8232D">
              <w:rPr>
                <w:rFonts w:asciiTheme="minorHAnsi" w:hAnsiTheme="minorHAnsi" w:cstheme="minorHAnsi"/>
              </w:rPr>
              <w:t>Kingdom</w:t>
            </w:r>
            <w:proofErr w:type="spellEnd"/>
            <w:r w:rsidRPr="00A8232D">
              <w:rPr>
                <w:rFonts w:asciiTheme="minorHAnsi" w:hAnsiTheme="minorHAnsi" w:cstheme="minorHAnsi"/>
              </w:rPr>
              <w:t>: Cambridge University Press.</w:t>
            </w:r>
          </w:p>
          <w:p w14:paraId="62C8F47C" w14:textId="281C530F" w:rsidR="00A8232D" w:rsidRPr="0075351E" w:rsidRDefault="00A8232D" w:rsidP="00A8232D">
            <w:pPr>
              <w:spacing w:before="60" w:after="60"/>
              <w:rPr>
                <w:rFonts w:asciiTheme="minorHAnsi" w:hAnsiTheme="minorHAnsi" w:cstheme="minorHAnsi"/>
              </w:rPr>
            </w:pPr>
            <w:r w:rsidRPr="00A8232D">
              <w:rPr>
                <w:rFonts w:asciiTheme="minorHAnsi" w:hAnsiTheme="minorHAnsi" w:cstheme="minorHAnsi"/>
              </w:rPr>
              <w:t xml:space="preserve">Babiak, P., &amp; Hare, R. D. (2006).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Snakes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suits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When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psychopaths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go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847ED">
              <w:rPr>
                <w:rFonts w:asciiTheme="minorHAnsi" w:hAnsiTheme="minorHAnsi" w:cstheme="minorHAnsi"/>
                <w:i/>
                <w:iCs/>
              </w:rPr>
              <w:t>work</w:t>
            </w:r>
            <w:proofErr w:type="spellEnd"/>
            <w:r w:rsidRPr="00E847ED">
              <w:rPr>
                <w:rFonts w:asciiTheme="minorHAnsi" w:hAnsiTheme="minorHAnsi" w:cstheme="minorHAnsi"/>
                <w:i/>
                <w:iCs/>
              </w:rPr>
              <w:t>.</w:t>
            </w:r>
            <w:r w:rsidRPr="00A8232D">
              <w:rPr>
                <w:rFonts w:asciiTheme="minorHAnsi" w:hAnsiTheme="minorHAnsi" w:cstheme="minorHAnsi"/>
              </w:rPr>
              <w:t xml:space="preserve"> HarperCollins Publishers.</w:t>
            </w:r>
          </w:p>
        </w:tc>
      </w:tr>
    </w:tbl>
    <w:p w14:paraId="18327C21" w14:textId="77777777" w:rsidR="00A90A8D" w:rsidRPr="00F46DDF" w:rsidRDefault="00A90A8D" w:rsidP="00A90A8D">
      <w:pPr>
        <w:rPr>
          <w:rFonts w:asciiTheme="minorHAnsi" w:hAnsiTheme="minorHAnsi" w:cstheme="minorHAnsi"/>
        </w:rPr>
      </w:pPr>
    </w:p>
    <w:p w14:paraId="63D0CAB7" w14:textId="77777777" w:rsidR="007F12FA" w:rsidRDefault="007F12FA" w:rsidP="00A90A8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7F12FA" w:rsidRPr="00F46DDF" w14:paraId="04703F43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BFDA851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B336D02" w14:textId="77777777" w:rsidR="00EC61D7" w:rsidRPr="00EC61D7" w:rsidRDefault="00EC61D7" w:rsidP="00EC61D7">
            <w:pPr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EC61D7">
              <w:rPr>
                <w:rFonts w:asciiTheme="minorHAnsi" w:hAnsiTheme="minorHAnsi" w:cstheme="minorHAnsi"/>
              </w:rPr>
              <w:t>Criminal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61D7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101</w:t>
            </w:r>
          </w:p>
          <w:p w14:paraId="2D2F2376" w14:textId="0EE9BF45" w:rsidR="007F12FA" w:rsidRPr="00E45CAC" w:rsidRDefault="00EC61D7" w:rsidP="00EC61D7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C61D7">
              <w:rPr>
                <w:rFonts w:asciiTheme="minorHAnsi" w:hAnsiTheme="minorHAnsi" w:cstheme="minorHAnsi"/>
              </w:rPr>
              <w:t>Understanding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61D7">
              <w:rPr>
                <w:rFonts w:asciiTheme="minorHAnsi" w:hAnsiTheme="minorHAnsi" w:cstheme="minorHAnsi"/>
              </w:rPr>
              <w:t>the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61D7">
              <w:rPr>
                <w:rFonts w:asciiTheme="minorHAnsi" w:hAnsiTheme="minorHAnsi" w:cstheme="minorHAnsi"/>
              </w:rPr>
              <w:t>Criminal</w:t>
            </w:r>
            <w:proofErr w:type="spellEnd"/>
            <w:r w:rsidRPr="00EC61D7">
              <w:rPr>
                <w:rFonts w:asciiTheme="minorHAnsi" w:hAnsiTheme="minorHAnsi" w:cstheme="minorHAnsi"/>
              </w:rPr>
              <w:t xml:space="preserve"> Mind</w:t>
            </w:r>
          </w:p>
        </w:tc>
      </w:tr>
      <w:tr w:rsidR="007F12FA" w:rsidRPr="00F46DDF" w14:paraId="088900EC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1379533" w14:textId="77777777" w:rsidR="007F12FA" w:rsidRPr="00F46DDF" w:rsidRDefault="00330CB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Level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2"/>
            </w:r>
          </w:p>
        </w:tc>
        <w:tc>
          <w:tcPr>
            <w:tcW w:w="7087" w:type="dxa"/>
            <w:gridSpan w:val="3"/>
            <w:vAlign w:val="center"/>
          </w:tcPr>
          <w:p w14:paraId="2C63B7A5" w14:textId="385B6FDE" w:rsidR="007F12FA" w:rsidRPr="00E45CAC" w:rsidRDefault="00EC61D7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</w:tr>
      <w:tr w:rsidR="007F12FA" w:rsidRPr="00F46DDF" w14:paraId="4118CFFF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0AF51842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Prerequisites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3"/>
            </w:r>
          </w:p>
        </w:tc>
        <w:tc>
          <w:tcPr>
            <w:tcW w:w="7087" w:type="dxa"/>
            <w:gridSpan w:val="3"/>
            <w:vAlign w:val="center"/>
          </w:tcPr>
          <w:p w14:paraId="77B04A21" w14:textId="61B9009F" w:rsidR="007F12FA" w:rsidRPr="00E45CAC" w:rsidRDefault="00EC61D7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F12FA" w:rsidRPr="00F46DDF" w14:paraId="6767873E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FF034CA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Requirement type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4"/>
            </w:r>
          </w:p>
        </w:tc>
        <w:tc>
          <w:tcPr>
            <w:tcW w:w="7087" w:type="dxa"/>
            <w:gridSpan w:val="3"/>
            <w:vAlign w:val="center"/>
          </w:tcPr>
          <w:p w14:paraId="6D260A56" w14:textId="77777777" w:rsidR="007F12FA" w:rsidRPr="00E45CAC" w:rsidRDefault="00210E90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Written assignment</w:t>
            </w:r>
            <w:r w:rsidRPr="00F46DDF">
              <w:rPr>
                <w:rFonts w:asciiTheme="minorHAnsi" w:hAnsiTheme="minorHAnsi" w:cstheme="minorHAnsi"/>
                <w:lang w:val="en-GB"/>
              </w:rPr>
              <w:t xml:space="preserve"> (in three-grade system)</w:t>
            </w:r>
          </w:p>
        </w:tc>
      </w:tr>
      <w:tr w:rsidR="007F12FA" w:rsidRPr="00F46DDF" w14:paraId="13E554AC" w14:textId="77777777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14:paraId="09BC3510" w14:textId="77777777" w:rsidR="007F12FA" w:rsidRPr="00F46DDF" w:rsidRDefault="00846E33" w:rsidP="00846E33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Number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5"/>
            </w:r>
            <w:r w:rsidRPr="00F46DDF">
              <w:rPr>
                <w:rFonts w:asciiTheme="minorHAnsi" w:hAnsiTheme="minorHAnsi" w:cstheme="minorHAnsi"/>
                <w:b/>
                <w:lang w:val="en-GB"/>
              </w:rPr>
              <w:t>and type of contact hours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6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144C4AA2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Full-time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210E90" w:rsidRPr="00210E90">
              <w:rPr>
                <w:rFonts w:asciiTheme="minorHAnsi" w:hAnsiTheme="minorHAnsi" w:cstheme="minorHAnsi"/>
                <w:lang w:val="en-GB"/>
              </w:rPr>
              <w:t>2 hours/week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DD7D595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6C299FD3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1AC13897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5FEDF711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472C23F0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036B8316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4E908EC0" w14:textId="77777777" w:rsidR="007F12FA" w:rsidRPr="00F46DDF" w:rsidRDefault="00423C17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X</w:t>
            </w:r>
          </w:p>
        </w:tc>
      </w:tr>
      <w:tr w:rsidR="007F12FA" w:rsidRPr="00F46DDF" w14:paraId="1AEB2635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01A4AE5C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25C1A710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Part-time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1132C7AA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6422823C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680F4F0A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4A257859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1A86D7E9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215B67F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56071075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4B81F4FA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E581A1C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Credit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7"/>
            </w:r>
          </w:p>
        </w:tc>
        <w:tc>
          <w:tcPr>
            <w:tcW w:w="7087" w:type="dxa"/>
            <w:gridSpan w:val="3"/>
            <w:vAlign w:val="center"/>
          </w:tcPr>
          <w:p w14:paraId="04EE7818" w14:textId="77777777" w:rsidR="007F12FA" w:rsidRPr="00E45CAC" w:rsidRDefault="00210E90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</w:tr>
      <w:tr w:rsidR="007F12FA" w:rsidRPr="00F46DDF" w14:paraId="19F9EE00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3A006DE" w14:textId="77777777" w:rsidR="007F12FA" w:rsidRPr="00F46DDF" w:rsidRDefault="00C87EFA" w:rsidP="00C87EFA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Responsible department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3D3449A4" w14:textId="6E29DA58" w:rsidR="007F12FA" w:rsidRPr="00E45CAC" w:rsidRDefault="00210E90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Department of </w:t>
            </w:r>
            <w:r w:rsidR="00F30C71">
              <w:rPr>
                <w:rFonts w:asciiTheme="minorHAnsi" w:hAnsiTheme="minorHAnsi" w:cstheme="minorHAnsi"/>
                <w:lang w:val="en-GB"/>
              </w:rPr>
              <w:t>Constitutional</w:t>
            </w:r>
            <w:r>
              <w:rPr>
                <w:rFonts w:asciiTheme="minorHAnsi" w:hAnsiTheme="minorHAnsi" w:cstheme="minorHAnsi"/>
                <w:lang w:val="en-GB"/>
              </w:rPr>
              <w:t xml:space="preserve"> law</w:t>
            </w:r>
          </w:p>
        </w:tc>
      </w:tr>
      <w:tr w:rsidR="007F12FA" w:rsidRPr="00F46DDF" w14:paraId="2D0D13BA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42C2C2D" w14:textId="77777777" w:rsidR="007F12FA" w:rsidRPr="00F46DDF" w:rsidRDefault="00C87E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lecturer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DA77A56" w14:textId="71BE976D" w:rsidR="007F12FA" w:rsidRPr="00E45CAC" w:rsidRDefault="00EC61D7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Walter FONTANINI</w:t>
            </w:r>
          </w:p>
        </w:tc>
      </w:tr>
      <w:tr w:rsidR="007F12FA" w:rsidRPr="00F46DDF" w14:paraId="22015B95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69BAA248" w14:textId="77777777" w:rsidR="007F12FA" w:rsidRPr="00F46DDF" w:rsidRDefault="00C87E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Aim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8"/>
            </w:r>
          </w:p>
        </w:tc>
        <w:tc>
          <w:tcPr>
            <w:tcW w:w="7087" w:type="dxa"/>
            <w:gridSpan w:val="3"/>
            <w:vAlign w:val="center"/>
          </w:tcPr>
          <w:p w14:paraId="37F08A96" w14:textId="2A90C4BE" w:rsidR="00655DC1" w:rsidRPr="00423C17" w:rsidRDefault="00EC61D7" w:rsidP="00423C1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seminar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responds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urgent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comprehension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intersection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between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psychological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benefit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seminar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acquiring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language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conceptual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frameworks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necessary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articulating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interpreting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psychological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evidence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proceedings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Understanding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complex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psychological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concepts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vital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prosecution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defence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individuals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also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shaping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preventative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measures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rehabilitation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strategies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knowledge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indispensable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pursuit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a more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informed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compassionate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</w:t>
            </w:r>
            <w:proofErr w:type="spellEnd"/>
            <w:r w:rsidR="00153A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F12FA" w:rsidRPr="00F46DDF" w14:paraId="0F4A1AE0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29233AB9" w14:textId="77777777" w:rsidR="007F12FA" w:rsidRPr="00F46DDF" w:rsidRDefault="00C87E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Outline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9"/>
            </w:r>
          </w:p>
        </w:tc>
        <w:tc>
          <w:tcPr>
            <w:tcW w:w="7087" w:type="dxa"/>
            <w:gridSpan w:val="3"/>
            <w:vAlign w:val="center"/>
          </w:tcPr>
          <w:p w14:paraId="7B900480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Neurophysiology: How our brain is made and works. Biological basis.</w:t>
            </w:r>
          </w:p>
          <w:p w14:paraId="5F098C5F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DSM5, The classification of psychological disorders for a proper communication in the Court</w:t>
            </w:r>
          </w:p>
          <w:p w14:paraId="0C5B0BAE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is Personality? Criminal Personality or Criminal Behaviour?</w:t>
            </w:r>
          </w:p>
          <w:p w14:paraId="1BDBCCA8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Personality disorders 1: Focus on Antisocial Personality Disorder and its prevalence in criminal populations</w:t>
            </w:r>
          </w:p>
          <w:p w14:paraId="5A471695" w14:textId="3091AD5F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Personality disorder 2: Discussion of Borderline Personality Disorder</w:t>
            </w:r>
            <w:proofErr w:type="gramStart"/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 Narcissistic</w:t>
            </w:r>
            <w:proofErr w:type="gramEnd"/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Personality Disorder, and  Dark Personality.</w:t>
            </w:r>
          </w:p>
          <w:p w14:paraId="743A2BE4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Personality disorder 3: Psychopathy, From Antisocial morality to criminal behaviour. In-depth look at psychopathy and sociopathy, Their differentiation and impact on criminal behaviour</w:t>
            </w:r>
          </w:p>
          <w:p w14:paraId="76B2BAE4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Anger, Aggression, Hostility: The psychology of violent crimes</w:t>
            </w:r>
          </w:p>
          <w:p w14:paraId="41B8C0C7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Domestic Violence</w:t>
            </w:r>
          </w:p>
          <w:p w14:paraId="67C8672F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Criminal for psychological or sociological reasons</w:t>
            </w:r>
          </w:p>
          <w:p w14:paraId="0E2B6E90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Paraphilia: Children and others sexual abuse</w:t>
            </w:r>
          </w:p>
          <w:p w14:paraId="333D40C9" w14:textId="77777777" w:rsidR="00EC61D7" w:rsidRPr="00EC61D7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Unformed minds: neurodevelopmental disorders and </w:t>
            </w:r>
            <w:proofErr w:type="gramStart"/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Early</w:t>
            </w:r>
            <w:proofErr w:type="gramEnd"/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adolescence delinquency: Childhood, Family or Peer pressure?</w:t>
            </w:r>
          </w:p>
          <w:p w14:paraId="47908BA5" w14:textId="4FEB3AE2" w:rsidR="007F12FA" w:rsidRPr="00210E90" w:rsidRDefault="00EC61D7" w:rsidP="00EC61D7">
            <w:pPr>
              <w:pStyle w:val="Listaszerbekezds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1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Victimology and Its Impact on Criminal Proceedings. Study of victims and the psychological effects of being victimised. Post Traumatic Stress Disorder, Anxiety and Panic</w:t>
            </w:r>
          </w:p>
        </w:tc>
      </w:tr>
      <w:tr w:rsidR="007F12FA" w:rsidRPr="00F46DDF" w14:paraId="4055AF68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28F5C65D" w14:textId="77777777" w:rsidR="007F12FA" w:rsidRPr="00F46DDF" w:rsidRDefault="00F46DD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Testing</w:t>
            </w:r>
            <w:r w:rsidR="00C87EFA" w:rsidRPr="00F46DDF">
              <w:rPr>
                <w:rFonts w:asciiTheme="minorHAnsi" w:hAnsiTheme="minorHAnsi" w:cstheme="minorHAnsi"/>
                <w:b/>
                <w:lang w:val="en-GB"/>
              </w:rPr>
              <w:t xml:space="preserve"> and evaluation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0"/>
            </w:r>
          </w:p>
        </w:tc>
        <w:tc>
          <w:tcPr>
            <w:tcW w:w="7087" w:type="dxa"/>
            <w:gridSpan w:val="3"/>
            <w:vAlign w:val="center"/>
          </w:tcPr>
          <w:p w14:paraId="77C7A018" w14:textId="08907DAC" w:rsidR="007F12FA" w:rsidRPr="00E45CAC" w:rsidRDefault="0044373C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Oral or written, </w:t>
            </w:r>
            <w:r w:rsidR="005E72F6">
              <w:rPr>
                <w:rFonts w:asciiTheme="minorHAnsi" w:hAnsiTheme="minorHAnsi" w:cstheme="minorHAnsi"/>
                <w:lang w:val="en-GB"/>
              </w:rPr>
              <w:t>Three absence will give a “Fail”</w:t>
            </w:r>
          </w:p>
        </w:tc>
      </w:tr>
      <w:tr w:rsidR="007F12FA" w:rsidRPr="00F46DDF" w14:paraId="67FA6E75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3236F7D5" w14:textId="77777777" w:rsidR="007F12FA" w:rsidRPr="00F46DDF" w:rsidRDefault="00F46DD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Course materials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1"/>
            </w:r>
          </w:p>
        </w:tc>
        <w:tc>
          <w:tcPr>
            <w:tcW w:w="7087" w:type="dxa"/>
            <w:gridSpan w:val="3"/>
            <w:vAlign w:val="center"/>
          </w:tcPr>
          <w:p w14:paraId="75192819" w14:textId="77777777" w:rsidR="00183DCA" w:rsidRPr="005E6CA9" w:rsidRDefault="000C583F" w:rsidP="00183DCA">
            <w:pPr>
              <w:spacing w:before="60" w:after="60"/>
              <w:rPr>
                <w:i/>
                <w:iCs/>
              </w:rPr>
            </w:pPr>
            <w:r w:rsidRPr="005E6CA9">
              <w:rPr>
                <w:rFonts w:asciiTheme="minorHAnsi" w:hAnsiTheme="minorHAnsi" w:cstheme="minorHAnsi"/>
                <w:i/>
                <w:iCs/>
                <w:lang w:val="en-GB"/>
              </w:rPr>
              <w:t>Handouts on the topic will be dispensed during the seminar for further reading.</w:t>
            </w:r>
            <w:r w:rsidR="00183DCA" w:rsidRPr="005E6CA9">
              <w:rPr>
                <w:i/>
                <w:iCs/>
              </w:rPr>
              <w:t xml:space="preserve"> </w:t>
            </w:r>
          </w:p>
          <w:p w14:paraId="716A4857" w14:textId="4DDEBD83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>Dictionary Reference:</w:t>
            </w:r>
          </w:p>
          <w:p w14:paraId="156615F0" w14:textId="77777777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>American Psychiatric Association. (2022). Diagnostic and statistical manual of mental disorders (5th ed., text rev.). https://doi.org/10.1176/appi.books.9780890425787</w:t>
            </w:r>
          </w:p>
          <w:p w14:paraId="0864540F" w14:textId="77777777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0BF97BF3" w14:textId="77777777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>Mandatory Reading:</w:t>
            </w:r>
          </w:p>
          <w:p w14:paraId="7D14CB1A" w14:textId="77777777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 xml:space="preserve">Bull, R., Bilby, C., Cooke, C., &amp; Grant, T. (2006). </w:t>
            </w:r>
            <w:r w:rsidRPr="005E6CA9">
              <w:rPr>
                <w:rFonts w:asciiTheme="minorHAnsi" w:hAnsiTheme="minorHAnsi" w:cstheme="minorHAnsi"/>
                <w:i/>
                <w:iCs/>
                <w:lang w:val="en-GB"/>
              </w:rPr>
              <w:t>Criminal psychology: A beginner's guide.</w:t>
            </w:r>
            <w:r w:rsidRPr="00183DC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83DCA">
              <w:rPr>
                <w:rFonts w:asciiTheme="minorHAnsi" w:hAnsiTheme="minorHAnsi" w:cstheme="minorHAnsi"/>
                <w:lang w:val="en-GB"/>
              </w:rPr>
              <w:t>Oneworld</w:t>
            </w:r>
            <w:proofErr w:type="spellEnd"/>
            <w:r w:rsidRPr="00183DCA">
              <w:rPr>
                <w:rFonts w:asciiTheme="minorHAnsi" w:hAnsiTheme="minorHAnsi" w:cstheme="minorHAnsi"/>
                <w:lang w:val="en-GB"/>
              </w:rPr>
              <w:t xml:space="preserve"> Publications.</w:t>
            </w:r>
          </w:p>
          <w:p w14:paraId="6738DAE8" w14:textId="77777777" w:rsidR="005E6CA9" w:rsidRDefault="005E6CA9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7545B3D0" w14:textId="4BAA818D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>Suggested Readings:</w:t>
            </w:r>
          </w:p>
          <w:p w14:paraId="1B7E9D4C" w14:textId="77777777" w:rsidR="00183DCA" w:rsidRPr="00183DCA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 xml:space="preserve">Hare, R. D. (1999). </w:t>
            </w:r>
            <w:r w:rsidRPr="005E6CA9">
              <w:rPr>
                <w:rFonts w:asciiTheme="minorHAnsi" w:hAnsiTheme="minorHAnsi" w:cstheme="minorHAnsi"/>
                <w:i/>
                <w:iCs/>
                <w:lang w:val="en-GB"/>
              </w:rPr>
              <w:t>Without conscience: The disturbing world of the psychopaths among us</w:t>
            </w:r>
            <w:r w:rsidRPr="00183DCA">
              <w:rPr>
                <w:rFonts w:asciiTheme="minorHAnsi" w:hAnsiTheme="minorHAnsi" w:cstheme="minorHAnsi"/>
                <w:lang w:val="en-GB"/>
              </w:rPr>
              <w:t>. Guilford Press.</w:t>
            </w:r>
          </w:p>
          <w:p w14:paraId="057B8C46" w14:textId="398A95A3" w:rsidR="004C61AE" w:rsidRDefault="00053904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Sarnoff</w:t>
            </w:r>
            <w:proofErr w:type="spellEnd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A. </w:t>
            </w:r>
            <w:proofErr w:type="spellStart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Mednick</w:t>
            </w:r>
            <w:proofErr w:type="spellEnd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Susan</w:t>
            </w:r>
            <w:proofErr w:type="spellEnd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A. </w:t>
            </w:r>
            <w:proofErr w:type="spellStart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Stack</w:t>
            </w:r>
            <w:proofErr w:type="spellEnd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Terrie</w:t>
            </w:r>
            <w:proofErr w:type="spellEnd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E. </w:t>
            </w:r>
            <w:proofErr w:type="spellStart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Moffitt</w:t>
            </w:r>
            <w:proofErr w:type="spellEnd"/>
            <w:r w:rsidRPr="0005390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r w:rsidR="0002235D" w:rsidRPr="00053904">
              <w:rPr>
                <w:rFonts w:asciiTheme="minorHAnsi" w:hAnsiTheme="minorHAnsi" w:cstheme="minorHAnsi"/>
                <w:i/>
                <w:iCs/>
                <w:lang w:val="en-GB"/>
              </w:rPr>
              <w:t>The Causes of Crime: New Biological Approaches.</w:t>
            </w:r>
            <w:r w:rsidR="0002235D" w:rsidRPr="0002235D">
              <w:rPr>
                <w:rFonts w:asciiTheme="minorHAnsi" w:hAnsiTheme="minorHAnsi" w:cstheme="minorHAnsi"/>
                <w:lang w:val="en-GB"/>
              </w:rPr>
              <w:t> (2009). United Kingdom: Cambridge University Press.</w:t>
            </w:r>
          </w:p>
          <w:p w14:paraId="01CE7210" w14:textId="27D730E5" w:rsidR="001756CD" w:rsidRPr="00E45CAC" w:rsidRDefault="00183DCA" w:rsidP="00183DC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83DCA">
              <w:rPr>
                <w:rFonts w:asciiTheme="minorHAnsi" w:hAnsiTheme="minorHAnsi" w:cstheme="minorHAnsi"/>
                <w:lang w:val="en-GB"/>
              </w:rPr>
              <w:t xml:space="preserve">Babiak, P., &amp; Hare, R. D. (2006). </w:t>
            </w:r>
            <w:r w:rsidRPr="005E6CA9">
              <w:rPr>
                <w:rFonts w:asciiTheme="minorHAnsi" w:hAnsiTheme="minorHAnsi" w:cstheme="minorHAnsi"/>
                <w:i/>
                <w:iCs/>
                <w:lang w:val="en-GB"/>
              </w:rPr>
              <w:t>Snakes in suits: When psychopaths go to work</w:t>
            </w:r>
            <w:r w:rsidRPr="00183DCA">
              <w:rPr>
                <w:rFonts w:asciiTheme="minorHAnsi" w:hAnsiTheme="minorHAnsi" w:cstheme="minorHAnsi"/>
                <w:lang w:val="en-GB"/>
              </w:rPr>
              <w:t>. HarperCollins Publishers.</w:t>
            </w:r>
          </w:p>
        </w:tc>
      </w:tr>
    </w:tbl>
    <w:p w14:paraId="0D6C6383" w14:textId="77777777" w:rsidR="007F12FA" w:rsidRPr="00F46DDF" w:rsidRDefault="007F12FA" w:rsidP="00A90A8D">
      <w:pPr>
        <w:jc w:val="both"/>
        <w:rPr>
          <w:rFonts w:asciiTheme="minorHAnsi" w:hAnsiTheme="minorHAnsi" w:cstheme="minorHAnsi"/>
          <w:lang w:val="en-GB"/>
        </w:rPr>
      </w:pPr>
    </w:p>
    <w:sectPr w:rsidR="007F12FA" w:rsidRPr="00F46DDF" w:rsidSect="00655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963F" w14:textId="77777777" w:rsidR="00117877" w:rsidRDefault="00117877" w:rsidP="00791B0A">
      <w:r>
        <w:separator/>
      </w:r>
    </w:p>
  </w:endnote>
  <w:endnote w:type="continuationSeparator" w:id="0">
    <w:p w14:paraId="4D28A1F7" w14:textId="77777777" w:rsidR="00117877" w:rsidRDefault="00117877" w:rsidP="007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7681" w14:textId="77777777" w:rsidR="00117877" w:rsidRDefault="00117877" w:rsidP="00791B0A">
      <w:r>
        <w:separator/>
      </w:r>
    </w:p>
  </w:footnote>
  <w:footnote w:type="continuationSeparator" w:id="0">
    <w:p w14:paraId="616A2A2A" w14:textId="77777777" w:rsidR="00117877" w:rsidRDefault="00117877" w:rsidP="00791B0A">
      <w:r>
        <w:continuationSeparator/>
      </w:r>
    </w:p>
  </w:footnote>
  <w:footnote w:id="1">
    <w:p w14:paraId="4D797530" w14:textId="77777777"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="00330CBF">
        <w:rPr>
          <w:rFonts w:asciiTheme="minorHAnsi" w:hAnsiTheme="minorHAnsi" w:cstheme="minorHAnsi"/>
          <w:b/>
        </w:rPr>
        <w:t>Szint</w:t>
      </w:r>
      <w:r w:rsidRPr="00F46DDF">
        <w:rPr>
          <w:rFonts w:asciiTheme="minorHAnsi" w:hAnsiTheme="minorHAnsi" w:cstheme="minorHAnsi"/>
          <w:b/>
        </w:rPr>
        <w:t>:</w:t>
      </w:r>
      <w:r w:rsidR="00330CBF">
        <w:rPr>
          <w:rFonts w:asciiTheme="minorHAnsi" w:hAnsiTheme="minorHAnsi" w:cstheme="minorHAnsi"/>
        </w:rPr>
        <w:t>1-10: amely félévhez a tárgy a mintatanterv szerint tartozik, vagy amelyen hallgatása egyébként ajánlott</w:t>
      </w:r>
      <w:r w:rsidRPr="00F46DDF">
        <w:rPr>
          <w:rFonts w:asciiTheme="minorHAnsi" w:hAnsiTheme="minorHAnsi" w:cstheme="minorHAnsi"/>
        </w:rPr>
        <w:t>.</w:t>
      </w:r>
    </w:p>
  </w:footnote>
  <w:footnote w:id="2">
    <w:p w14:paraId="47918156" w14:textId="77777777"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  <w:b/>
        </w:rPr>
        <w:t>Előfeltételt</w:t>
      </w:r>
      <w:r w:rsidRPr="00F46DDF">
        <w:rPr>
          <w:rFonts w:asciiTheme="minorHAnsi" w:hAnsiTheme="minorHAnsi" w:cstheme="minorHAnsi"/>
        </w:rPr>
        <w:t xml:space="preserve"> meghatározni opcionális. Megadható például előfeltételként valamely tárgy előhallgatása vagy párhuzamos hallgatása; minimális kreditszám. Az erre vonatkozó szűrőt a Tanulmányi Osztály tudja beállítani.</w:t>
      </w:r>
    </w:p>
  </w:footnote>
  <w:footnote w:id="3">
    <w:p w14:paraId="341BA459" w14:textId="77777777" w:rsidR="00186AF4" w:rsidRPr="00F46DDF" w:rsidRDefault="00186AF4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="0075351E" w:rsidRPr="00F46DDF">
        <w:rPr>
          <w:rFonts w:asciiTheme="minorHAnsi" w:hAnsiTheme="minorHAnsi" w:cstheme="minorHAnsi"/>
          <w:b/>
        </w:rPr>
        <w:t>Követelmény típus:</w:t>
      </w:r>
      <w:r w:rsidR="0075351E" w:rsidRPr="00F46DDF">
        <w:rPr>
          <w:rFonts w:asciiTheme="minorHAnsi" w:hAnsiTheme="minorHAnsi" w:cstheme="minorHAnsi"/>
        </w:rPr>
        <w:t xml:space="preserve"> k</w:t>
      </w:r>
      <w:r w:rsidRPr="00F46DDF">
        <w:rPr>
          <w:rFonts w:asciiTheme="minorHAnsi" w:hAnsiTheme="minorHAnsi" w:cstheme="minorHAnsi"/>
        </w:rPr>
        <w:t>ötelezően választhatónál „Évközi jegy” (ötfokozatú)”, szabadon választhatónál „Beszámoló (háromfokozatú)”.</w:t>
      </w:r>
    </w:p>
  </w:footnote>
  <w:footnote w:id="4">
    <w:p w14:paraId="237CB796" w14:textId="77777777"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  <w:b/>
        </w:rPr>
        <w:t>Óraszám:</w:t>
      </w:r>
      <w:r w:rsidRPr="00F46DDF">
        <w:rPr>
          <w:rFonts w:asciiTheme="minorHAnsi" w:hAnsiTheme="minorHAnsi" w:cstheme="minorHAnsi"/>
        </w:rPr>
        <w:t xml:space="preserve"> kötelezően választhatónál nappalin 2 óra/hét, levelezőn 3 óra/félév. Szabadon választhatónál nappalin 2 óra/hét, levelezőn 2 óra/félév.</w:t>
      </w:r>
    </w:p>
  </w:footnote>
  <w:footnote w:id="5">
    <w:p w14:paraId="029BB363" w14:textId="77777777" w:rsidR="0075351E" w:rsidRPr="00F46DDF" w:rsidRDefault="0075351E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  <w:b/>
        </w:rPr>
        <w:t>Óratípus:</w:t>
      </w:r>
      <w:r w:rsidRPr="00F46DDF">
        <w:rPr>
          <w:rFonts w:asciiTheme="minorHAnsi" w:hAnsiTheme="minorHAnsi" w:cstheme="minorHAnsi"/>
        </w:rPr>
        <w:t xml:space="preserve"> kötelezően választhatónál „Előadás”, szabadon választhatónál „Gyakorlat”.</w:t>
      </w:r>
    </w:p>
  </w:footnote>
  <w:footnote w:id="6">
    <w:p w14:paraId="2A3D91CA" w14:textId="77777777" w:rsidR="00186AF4" w:rsidRPr="00F46DDF" w:rsidRDefault="00186AF4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="0075351E" w:rsidRPr="00F46DDF">
        <w:rPr>
          <w:rFonts w:asciiTheme="minorHAnsi" w:hAnsiTheme="minorHAnsi" w:cstheme="minorHAnsi"/>
          <w:b/>
        </w:rPr>
        <w:t>Kredit:</w:t>
      </w:r>
      <w:r w:rsidR="0075351E" w:rsidRPr="00F46DDF">
        <w:rPr>
          <w:rFonts w:asciiTheme="minorHAnsi" w:hAnsiTheme="minorHAnsi" w:cstheme="minorHAnsi"/>
        </w:rPr>
        <w:t xml:space="preserve"> k</w:t>
      </w:r>
      <w:r w:rsidRPr="00F46DDF">
        <w:rPr>
          <w:rFonts w:asciiTheme="minorHAnsi" w:hAnsiTheme="minorHAnsi" w:cstheme="minorHAnsi"/>
        </w:rPr>
        <w:t>ötelezően és szabadon választhatóknál egyaránt 2 kredit.</w:t>
      </w:r>
    </w:p>
  </w:footnote>
  <w:footnote w:id="7">
    <w:p w14:paraId="170ECE66" w14:textId="77777777" w:rsidR="00186AF4" w:rsidRPr="00F46DDF" w:rsidRDefault="00186AF4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="0075351E" w:rsidRPr="00F46DDF">
        <w:rPr>
          <w:rFonts w:asciiTheme="minorHAnsi" w:hAnsiTheme="minorHAnsi" w:cstheme="minorHAnsi"/>
          <w:b/>
        </w:rPr>
        <w:t>Felelős szervezet neve:</w:t>
      </w:r>
      <w:r w:rsidR="0075351E" w:rsidRPr="00F46DDF">
        <w:rPr>
          <w:rFonts w:asciiTheme="minorHAnsi" w:hAnsiTheme="minorHAnsi" w:cstheme="minorHAnsi"/>
        </w:rPr>
        <w:t xml:space="preserve"> konkrét t</w:t>
      </w:r>
      <w:r w:rsidRPr="00F46DDF">
        <w:rPr>
          <w:rFonts w:asciiTheme="minorHAnsi" w:hAnsiTheme="minorHAnsi" w:cstheme="minorHAnsi"/>
        </w:rPr>
        <w:t>anszék, intézet, stb.</w:t>
      </w:r>
    </w:p>
  </w:footnote>
  <w:footnote w:id="8">
    <w:p w14:paraId="2E10EBA2" w14:textId="77777777" w:rsidR="0075351E" w:rsidRPr="00F46DDF" w:rsidRDefault="0075351E" w:rsidP="007F12FA">
      <w:pPr>
        <w:jc w:val="both"/>
        <w:rPr>
          <w:rFonts w:asciiTheme="minorHAnsi" w:hAnsiTheme="minorHAnsi" w:cstheme="minorHAnsi"/>
          <w:sz w:val="20"/>
          <w:szCs w:val="20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</w:rPr>
        <w:footnoteRef/>
      </w:r>
      <w:r w:rsidRPr="00F46DDF">
        <w:rPr>
          <w:rFonts w:asciiTheme="minorHAnsi" w:hAnsiTheme="minorHAnsi" w:cstheme="minorHAnsi"/>
          <w:b/>
          <w:sz w:val="20"/>
          <w:szCs w:val="20"/>
        </w:rPr>
        <w:t>Oktatás célja</w:t>
      </w:r>
      <w:r w:rsidR="00F52125" w:rsidRPr="00F46DDF">
        <w:rPr>
          <w:rFonts w:asciiTheme="minorHAnsi" w:hAnsiTheme="minorHAnsi" w:cstheme="minorHAnsi"/>
          <w:sz w:val="20"/>
          <w:szCs w:val="20"/>
        </w:rPr>
        <w:t xml:space="preserve"> (kellően alapos kifejtéssel)</w:t>
      </w:r>
      <w:r w:rsidRPr="00F46DDF">
        <w:rPr>
          <w:rFonts w:asciiTheme="minorHAnsi" w:hAnsiTheme="minorHAnsi" w:cstheme="minorHAnsi"/>
          <w:sz w:val="20"/>
          <w:szCs w:val="20"/>
        </w:rPr>
        <w:t xml:space="preserve">: a </w:t>
      </w:r>
      <w:r w:rsidRPr="00F46DDF">
        <w:rPr>
          <w:rFonts w:asciiTheme="minorHAnsi" w:hAnsiTheme="minorHAnsi" w:cstheme="minorHAnsi"/>
          <w:b/>
          <w:sz w:val="20"/>
          <w:szCs w:val="20"/>
        </w:rPr>
        <w:t>képzési és kimeneti követelményhez</w:t>
      </w:r>
      <w:r w:rsidR="00F52125" w:rsidRPr="00F46DDF">
        <w:rPr>
          <w:rFonts w:asciiTheme="minorHAnsi" w:hAnsiTheme="minorHAnsi" w:cstheme="minorHAnsi"/>
          <w:b/>
          <w:sz w:val="20"/>
          <w:szCs w:val="20"/>
        </w:rPr>
        <w:t xml:space="preserve"> (KKK)</w:t>
      </w:r>
      <w:r w:rsidRPr="00F46DDF">
        <w:rPr>
          <w:rFonts w:asciiTheme="minorHAnsi" w:hAnsiTheme="minorHAnsi" w:cstheme="minorHAnsi"/>
          <w:b/>
          <w:sz w:val="20"/>
          <w:szCs w:val="20"/>
        </w:rPr>
        <w:t xml:space="preserve"> igazodva</w:t>
      </w:r>
      <w:r w:rsidRPr="00F46DDF">
        <w:rPr>
          <w:rFonts w:asciiTheme="minorHAnsi" w:hAnsiTheme="minorHAnsi" w:cstheme="minorHAnsi"/>
          <w:sz w:val="20"/>
          <w:szCs w:val="20"/>
        </w:rPr>
        <w:t xml:space="preserve">, így pl. jogász osztatlan szakon a </w:t>
      </w:r>
      <w:r w:rsidRPr="00F46DDF">
        <w:rPr>
          <w:rFonts w:asciiTheme="minorHAnsi" w:hAnsiTheme="minorHAnsi" w:cstheme="minorHAnsi"/>
          <w:i/>
          <w:sz w:val="20"/>
          <w:szCs w:val="20"/>
        </w:rPr>
        <w:t>18/2016. (VIII. 5.) EMMI rendelet</w:t>
      </w:r>
      <w:r w:rsidRPr="00F46DDF">
        <w:rPr>
          <w:rFonts w:asciiTheme="minorHAnsi" w:hAnsiTheme="minorHAnsi" w:cstheme="minorHAnsi"/>
          <w:sz w:val="20"/>
          <w:szCs w:val="20"/>
        </w:rPr>
        <w:t xml:space="preserve"> 4. melléklet V./2. </w:t>
      </w:r>
      <w:proofErr w:type="gramStart"/>
      <w:r w:rsidRPr="00F46DDF">
        <w:rPr>
          <w:rFonts w:asciiTheme="minorHAnsi" w:hAnsiTheme="minorHAnsi" w:cstheme="minorHAnsi"/>
          <w:sz w:val="20"/>
          <w:szCs w:val="20"/>
        </w:rPr>
        <w:t>fejezet</w:t>
      </w:r>
      <w:proofErr w:type="gramEnd"/>
      <w:r w:rsidRPr="00F46DDF">
        <w:rPr>
          <w:rFonts w:asciiTheme="minorHAnsi" w:hAnsiTheme="minorHAnsi" w:cstheme="minorHAnsi"/>
          <w:sz w:val="20"/>
          <w:szCs w:val="20"/>
        </w:rPr>
        <w:t xml:space="preserve"> 7.1.1. pontban felsorolt </w:t>
      </w:r>
      <w:r w:rsidR="00F52125" w:rsidRPr="00F46DDF">
        <w:rPr>
          <w:rFonts w:asciiTheme="minorHAnsi" w:hAnsiTheme="minorHAnsi" w:cstheme="minorHAnsi"/>
          <w:sz w:val="20"/>
          <w:szCs w:val="20"/>
        </w:rPr>
        <w:t>tudás-, képesség-, attitűd-, autonómia- és felelősségelemek közül melyek átadásához, fejlesztéséhez járul hozzá az adott tárgy és hogyan. Itt kell megadni azt is, hogy a KKK 8.1.1. pontjában meghatározott kategóriák közül leginkább melyikbe tartozik az adott tárgy (társadalomtudományi alapismeretek, jogász szakterület-specifikus szakmai ismeretek, az alapvető szakmai ismeretekhez kapcsolódó választható ismeretkörök, stb.).</w:t>
      </w:r>
    </w:p>
  </w:footnote>
  <w:footnote w:id="9">
    <w:p w14:paraId="5A2C71C1" w14:textId="77777777" w:rsidR="00F52125" w:rsidRPr="00F46DDF" w:rsidRDefault="00F52125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  <w:b/>
        </w:rPr>
        <w:t>Tantárgy tartalma:</w:t>
      </w:r>
      <w:r w:rsidRPr="00F46DDF">
        <w:rPr>
          <w:rFonts w:asciiTheme="minorHAnsi" w:hAnsiTheme="minorHAnsi" w:cstheme="minorHAnsi"/>
        </w:rPr>
        <w:t xml:space="preserve"> itt kell megadni mintegy 10-12 pontban a tantárgy tematikáját (tematikus elemeit).</w:t>
      </w:r>
      <w:r w:rsidR="00330CBF">
        <w:rPr>
          <w:rFonts w:asciiTheme="minorHAnsi" w:hAnsiTheme="minorHAnsi" w:cstheme="minorHAnsi"/>
        </w:rPr>
        <w:t xml:space="preserve"> Ne</w:t>
      </w:r>
      <w:r w:rsidR="00720C83">
        <w:rPr>
          <w:rFonts w:asciiTheme="minorHAnsi" w:hAnsiTheme="minorHAnsi" w:cstheme="minorHAnsi"/>
        </w:rPr>
        <w:t>m</w:t>
      </w:r>
      <w:r w:rsidR="00330CBF">
        <w:rPr>
          <w:rFonts w:asciiTheme="minorHAnsi" w:hAnsiTheme="minorHAnsi" w:cstheme="minorHAnsi"/>
        </w:rPr>
        <w:t xml:space="preserve"> dátum szerint </w:t>
      </w:r>
      <w:r w:rsidR="00720C83">
        <w:rPr>
          <w:rFonts w:asciiTheme="minorHAnsi" w:hAnsiTheme="minorHAnsi" w:cstheme="minorHAnsi"/>
        </w:rPr>
        <w:t>kell</w:t>
      </w:r>
      <w:r w:rsidR="00330CBF">
        <w:rPr>
          <w:rFonts w:asciiTheme="minorHAnsi" w:hAnsiTheme="minorHAnsi" w:cstheme="minorHAnsi"/>
        </w:rPr>
        <w:t xml:space="preserve"> meg</w:t>
      </w:r>
      <w:r w:rsidR="00720C83">
        <w:rPr>
          <w:rFonts w:asciiTheme="minorHAnsi" w:hAnsiTheme="minorHAnsi" w:cstheme="minorHAnsi"/>
        </w:rPr>
        <w:t>adni</w:t>
      </w:r>
      <w:r w:rsidR="00330CBF">
        <w:rPr>
          <w:rFonts w:asciiTheme="minorHAnsi" w:hAnsiTheme="minorHAnsi" w:cstheme="minorHAnsi"/>
        </w:rPr>
        <w:t xml:space="preserve">, hanem </w:t>
      </w:r>
      <w:proofErr w:type="spellStart"/>
      <w:r w:rsidR="00330CBF">
        <w:rPr>
          <w:rFonts w:asciiTheme="minorHAnsi" w:hAnsiTheme="minorHAnsi" w:cstheme="minorHAnsi"/>
        </w:rPr>
        <w:t>sorszámozva</w:t>
      </w:r>
      <w:proofErr w:type="spellEnd"/>
      <w:r w:rsidR="00330CBF">
        <w:rPr>
          <w:rFonts w:asciiTheme="minorHAnsi" w:hAnsiTheme="minorHAnsi" w:cstheme="minorHAnsi"/>
        </w:rPr>
        <w:t>!</w:t>
      </w:r>
    </w:p>
  </w:footnote>
  <w:footnote w:id="10">
    <w:p w14:paraId="7614D306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  <w:b/>
        </w:rPr>
        <w:t>Számonkérési és értékelési rendszere:</w:t>
      </w:r>
      <w:r w:rsidRPr="00F46DDF">
        <w:rPr>
          <w:rFonts w:asciiTheme="minorHAnsi" w:hAnsiTheme="minorHAnsi" w:cstheme="minorHAnsi"/>
        </w:rPr>
        <w:t xml:space="preserve"> a fentebb meghatározott követelmény típuson túl itt kell részletezni, hogy miként történik a számonkérés. </w:t>
      </w:r>
      <w:r w:rsidR="00590B54">
        <w:rPr>
          <w:rFonts w:asciiTheme="minorHAnsi" w:hAnsiTheme="minorHAnsi" w:cstheme="minorHAnsi"/>
        </w:rPr>
        <w:t xml:space="preserve">Írásbeli, szóbeli vagy kombinált vizsga? </w:t>
      </w:r>
      <w:r w:rsidRPr="00F46DDF">
        <w:rPr>
          <w:rFonts w:asciiTheme="minorHAnsi" w:hAnsiTheme="minorHAnsi" w:cstheme="minorHAnsi"/>
        </w:rPr>
        <w:t>Milyen félévközi tanulmányi követelmény van (pl. házi dolgozat, prezentáció)</w:t>
      </w:r>
      <w:r w:rsidR="00590B54">
        <w:rPr>
          <w:rFonts w:asciiTheme="minorHAnsi" w:hAnsiTheme="minorHAnsi" w:cstheme="minorHAnsi"/>
        </w:rPr>
        <w:t>? M</w:t>
      </w:r>
      <w:r w:rsidRPr="00F46DDF">
        <w:rPr>
          <w:rFonts w:asciiTheme="minorHAnsi" w:hAnsiTheme="minorHAnsi" w:cstheme="minorHAnsi"/>
        </w:rPr>
        <w:t>eghatározott számú hiányzáshoz kapcsolódik-e szankció és milyen (pl. aláírás megtagadása, plusz feladat), s a minősítést mire kapja a hallgató, esetleg milyen részminősítésekből tevődik az össze</w:t>
      </w:r>
      <w:r w:rsidR="00590B54">
        <w:rPr>
          <w:rFonts w:asciiTheme="minorHAnsi" w:hAnsiTheme="minorHAnsi" w:cstheme="minorHAnsi"/>
        </w:rPr>
        <w:t>?</w:t>
      </w:r>
      <w:r w:rsidRPr="00F46DDF">
        <w:rPr>
          <w:rFonts w:asciiTheme="minorHAnsi" w:hAnsiTheme="minorHAnsi" w:cstheme="minorHAnsi"/>
        </w:rPr>
        <w:t xml:space="preserve"> [Vö. </w:t>
      </w:r>
      <w:proofErr w:type="spellStart"/>
      <w:r w:rsidRPr="00F46DDF">
        <w:rPr>
          <w:rFonts w:asciiTheme="minorHAnsi" w:hAnsiTheme="minorHAnsi" w:cstheme="minorHAnsi"/>
        </w:rPr>
        <w:t>TVSz</w:t>
      </w:r>
      <w:proofErr w:type="spellEnd"/>
      <w:r w:rsidRPr="00F46DDF">
        <w:rPr>
          <w:rFonts w:asciiTheme="minorHAnsi" w:hAnsiTheme="minorHAnsi" w:cstheme="minorHAnsi"/>
        </w:rPr>
        <w:t xml:space="preserve"> 33. § (4) </w:t>
      </w:r>
      <w:proofErr w:type="spellStart"/>
      <w:r w:rsidRPr="00F46DDF">
        <w:rPr>
          <w:rFonts w:asciiTheme="minorHAnsi" w:hAnsiTheme="minorHAnsi" w:cstheme="minorHAnsi"/>
        </w:rPr>
        <w:t>bek</w:t>
      </w:r>
      <w:proofErr w:type="spellEnd"/>
      <w:r w:rsidRPr="00F46DDF">
        <w:rPr>
          <w:rFonts w:asciiTheme="minorHAnsi" w:hAnsiTheme="minorHAnsi" w:cstheme="minorHAnsi"/>
        </w:rPr>
        <w:t>.].</w:t>
      </w:r>
    </w:p>
  </w:footnote>
  <w:footnote w:id="11">
    <w:p w14:paraId="17F08C30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  <w:b/>
        </w:rPr>
        <w:t>Irodalom:</w:t>
      </w:r>
      <w:r w:rsidRPr="00F46DDF">
        <w:rPr>
          <w:rFonts w:asciiTheme="minorHAnsi" w:hAnsiTheme="minorHAnsi" w:cstheme="minorHAnsi"/>
        </w:rPr>
        <w:t xml:space="preserve"> itt kell meghatározni a tananyagot, a kötelező és (opcionálisan) az ajánlott irodalmat. Érdemes utalni arra is, hogy az előadásokon elhangzottak is a kötelező tananyag részét képezik.</w:t>
      </w:r>
    </w:p>
  </w:footnote>
  <w:footnote w:id="12">
    <w:p w14:paraId="023EBC6C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330CBF">
        <w:rPr>
          <w:rFonts w:asciiTheme="minorHAnsi" w:hAnsiTheme="minorHAnsi" w:cstheme="minorHAnsi"/>
          <w:b/>
          <w:lang w:val="en-GB"/>
        </w:rPr>
        <w:t>Level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330CBF">
        <w:rPr>
          <w:rFonts w:asciiTheme="minorHAnsi" w:hAnsiTheme="minorHAnsi" w:cstheme="minorHAnsi"/>
          <w:lang w:val="en-GB"/>
        </w:rPr>
        <w:t>1</w:t>
      </w:r>
      <w:proofErr w:type="gramEnd"/>
      <w:r w:rsidR="00330CBF">
        <w:rPr>
          <w:rFonts w:asciiTheme="minorHAnsi" w:hAnsiTheme="minorHAnsi" w:cstheme="minorHAnsi"/>
          <w:lang w:val="en-GB"/>
        </w:rPr>
        <w:t>-10: the semester in which the course shall be announced according to the curriculum, or in which it is recommended for students to attend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13">
    <w:p w14:paraId="3BCF2A71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proofErr w:type="spellStart"/>
      <w:r w:rsidR="001C4B9F" w:rsidRPr="00F46DDF">
        <w:rPr>
          <w:rFonts w:asciiTheme="minorHAnsi" w:hAnsiTheme="minorHAnsi" w:cstheme="minorHAnsi"/>
          <w:b/>
          <w:lang w:val="en-GB"/>
        </w:rPr>
        <w:t>Prerequisites</w:t>
      </w:r>
      <w:proofErr w:type="gramStart"/>
      <w:r w:rsidR="001C4B9F" w:rsidRPr="00F46DDF">
        <w:rPr>
          <w:rFonts w:asciiTheme="minorHAnsi" w:hAnsiTheme="minorHAnsi" w:cstheme="minorHAnsi"/>
          <w:b/>
          <w:lang w:val="en-GB"/>
        </w:rPr>
        <w:t>:</w:t>
      </w:r>
      <w:r w:rsidR="001C4B9F" w:rsidRPr="00F46DDF">
        <w:rPr>
          <w:rFonts w:asciiTheme="minorHAnsi" w:hAnsiTheme="minorHAnsi" w:cstheme="minorHAnsi"/>
          <w:lang w:val="en-GB"/>
        </w:rPr>
        <w:t>optional</w:t>
      </w:r>
      <w:proofErr w:type="spellEnd"/>
      <w:proofErr w:type="gramEnd"/>
      <w:r w:rsidRPr="00F46DDF">
        <w:rPr>
          <w:rFonts w:asciiTheme="minorHAnsi" w:hAnsiTheme="minorHAnsi" w:cstheme="minorHAnsi"/>
          <w:lang w:val="en-GB"/>
        </w:rPr>
        <w:t xml:space="preserve">. </w:t>
      </w:r>
      <w:r w:rsidR="001C4B9F" w:rsidRPr="00F46DDF">
        <w:rPr>
          <w:rFonts w:asciiTheme="minorHAnsi" w:hAnsiTheme="minorHAnsi" w:cstheme="minorHAnsi"/>
          <w:lang w:val="en-GB"/>
        </w:rPr>
        <w:t>E.g. preconditioned subject(s), subjects to be concurrently signed up; a minimum number of credits completed.</w:t>
      </w:r>
    </w:p>
  </w:footnote>
  <w:footnote w:id="14">
    <w:p w14:paraId="159BF52A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1C4B9F" w:rsidRPr="00F46DDF">
        <w:rPr>
          <w:rFonts w:asciiTheme="minorHAnsi" w:hAnsiTheme="minorHAnsi" w:cstheme="minorHAnsi"/>
          <w:b/>
          <w:lang w:val="en-GB"/>
        </w:rPr>
        <w:t xml:space="preserve">Requirement </w:t>
      </w:r>
      <w:proofErr w:type="spellStart"/>
      <w:r w:rsidR="001C4B9F" w:rsidRPr="00F46DDF">
        <w:rPr>
          <w:rFonts w:asciiTheme="minorHAnsi" w:hAnsiTheme="minorHAnsi" w:cstheme="minorHAnsi"/>
          <w:b/>
          <w:lang w:val="en-GB"/>
        </w:rPr>
        <w:t>type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1C4B9F" w:rsidRPr="00F46DDF">
        <w:rPr>
          <w:rFonts w:asciiTheme="minorHAnsi" w:hAnsiTheme="minorHAnsi" w:cstheme="minorHAnsi"/>
          <w:lang w:val="en-GB"/>
        </w:rPr>
        <w:t>in</w:t>
      </w:r>
      <w:proofErr w:type="spellEnd"/>
      <w:proofErr w:type="gramEnd"/>
      <w:r w:rsidR="001C4B9F" w:rsidRPr="00F46DDF">
        <w:rPr>
          <w:rFonts w:asciiTheme="minorHAnsi" w:hAnsiTheme="minorHAnsi" w:cstheme="minorHAnsi"/>
          <w:lang w:val="en-GB"/>
        </w:rPr>
        <w:t xml:space="preserve"> case of </w:t>
      </w:r>
      <w:r w:rsidR="00846E33" w:rsidRPr="00F46DDF">
        <w:rPr>
          <w:rFonts w:asciiTheme="minorHAnsi" w:hAnsiTheme="minorHAnsi" w:cstheme="minorHAnsi"/>
          <w:lang w:val="en-GB"/>
        </w:rPr>
        <w:t>elective course-units</w:t>
      </w:r>
      <w:r w:rsidR="001C4B9F" w:rsidRPr="00F46DDF">
        <w:rPr>
          <w:rFonts w:asciiTheme="minorHAnsi" w:hAnsiTheme="minorHAnsi" w:cstheme="minorHAnsi"/>
          <w:lang w:val="en-GB"/>
        </w:rPr>
        <w:t xml:space="preserve"> („</w:t>
      </w:r>
      <w:proofErr w:type="spellStart"/>
      <w:r w:rsidR="001C4B9F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1C4B9F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Mid-term grade (in five-grade system)”;</w:t>
      </w:r>
      <w:r w:rsidR="00846E33" w:rsidRPr="00F46DDF">
        <w:rPr>
          <w:rFonts w:asciiTheme="minorHAnsi" w:hAnsiTheme="minorHAnsi" w:cstheme="minorHAnsi"/>
          <w:lang w:val="en-GB"/>
        </w:rPr>
        <w:t xml:space="preserve"> 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Written assignment</w:t>
      </w:r>
      <w:r w:rsidR="00846E33" w:rsidRPr="00F46DDF">
        <w:rPr>
          <w:rFonts w:asciiTheme="minorHAnsi" w:hAnsiTheme="minorHAnsi" w:cstheme="minorHAnsi"/>
          <w:lang w:val="en-GB"/>
        </w:rPr>
        <w:t xml:space="preserve"> (in three-grade system)”.</w:t>
      </w:r>
    </w:p>
  </w:footnote>
  <w:footnote w:id="15">
    <w:p w14:paraId="1B191B03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846E33" w:rsidRPr="00F46DDF">
        <w:rPr>
          <w:rFonts w:asciiTheme="minorHAnsi" w:hAnsiTheme="minorHAnsi" w:cstheme="minorHAnsi"/>
          <w:b/>
          <w:lang w:val="en-GB"/>
        </w:rPr>
        <w:t xml:space="preserve">Number and type of </w:t>
      </w:r>
      <w:proofErr w:type="spellStart"/>
      <w:r w:rsidR="00846E33" w:rsidRPr="00F46DDF">
        <w:rPr>
          <w:rFonts w:asciiTheme="minorHAnsi" w:hAnsiTheme="minorHAnsi" w:cstheme="minorHAnsi"/>
          <w:b/>
          <w:lang w:val="en-GB"/>
        </w:rPr>
        <w:t>classes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>in</w:t>
      </w:r>
      <w:proofErr w:type="spellEnd"/>
      <w:proofErr w:type="gramEnd"/>
      <w:r w:rsidR="00846E33" w:rsidRPr="00F46DDF">
        <w:rPr>
          <w:rFonts w:asciiTheme="minorHAnsi" w:hAnsiTheme="minorHAnsi" w:cstheme="minorHAnsi"/>
          <w:lang w:val="en-GB"/>
        </w:rPr>
        <w:t xml:space="preserve"> case of elective course-units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3 hours/semester for part-time students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846E33" w:rsidRPr="00F46DDF">
        <w:rPr>
          <w:rFonts w:asciiTheme="minorHAnsi" w:hAnsiTheme="minorHAnsi" w:cstheme="minorHAnsi"/>
          <w:lang w:val="en-GB"/>
        </w:rPr>
        <w:t xml:space="preserve">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2 hours/semester for part-time students.</w:t>
      </w:r>
    </w:p>
  </w:footnote>
  <w:footnote w:id="16">
    <w:p w14:paraId="2D2DF1E5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846E33" w:rsidRPr="00F46DDF">
        <w:rPr>
          <w:rFonts w:asciiTheme="minorHAnsi" w:hAnsiTheme="minorHAnsi" w:cstheme="minorHAnsi"/>
          <w:b/>
          <w:lang w:val="en-GB"/>
        </w:rPr>
        <w:t xml:space="preserve">Type of </w:t>
      </w:r>
      <w:r w:rsidR="00C87EFA" w:rsidRPr="00F46DDF">
        <w:rPr>
          <w:rFonts w:asciiTheme="minorHAnsi" w:hAnsiTheme="minorHAnsi" w:cstheme="minorHAnsi"/>
          <w:b/>
          <w:lang w:val="en-GB"/>
        </w:rPr>
        <w:t xml:space="preserve">contact </w:t>
      </w:r>
      <w:proofErr w:type="spellStart"/>
      <w:r w:rsidR="00C87EFA" w:rsidRPr="00F46DDF">
        <w:rPr>
          <w:rFonts w:asciiTheme="minorHAnsi" w:hAnsiTheme="minorHAnsi" w:cstheme="minorHAnsi"/>
          <w:b/>
          <w:lang w:val="en-GB"/>
        </w:rPr>
        <w:t>hours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>in</w:t>
      </w:r>
      <w:proofErr w:type="spellEnd"/>
      <w:proofErr w:type="gramEnd"/>
      <w:r w:rsidR="00C87EFA" w:rsidRPr="00F46DDF">
        <w:rPr>
          <w:rFonts w:asciiTheme="minorHAnsi" w:hAnsiTheme="minorHAnsi" w:cstheme="minorHAnsi"/>
          <w:lang w:val="en-GB"/>
        </w:rPr>
        <w:t xml:space="preserve">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 „Lecture”;</w:t>
      </w:r>
      <w:r w:rsidR="00C87EFA" w:rsidRPr="00F46DDF">
        <w:rPr>
          <w:rFonts w:asciiTheme="minorHAnsi" w:hAnsiTheme="minorHAnsi" w:cstheme="minorHAnsi"/>
          <w:lang w:val="en-GB"/>
        </w:rPr>
        <w:t xml:space="preserve"> in case of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 xml:space="preserve"> „Seminar”.</w:t>
      </w:r>
    </w:p>
  </w:footnote>
  <w:footnote w:id="17">
    <w:p w14:paraId="56A5B3AF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C87EFA" w:rsidRPr="00F46DDF">
        <w:rPr>
          <w:rFonts w:asciiTheme="minorHAnsi" w:hAnsiTheme="minorHAnsi" w:cstheme="minorHAnsi"/>
          <w:b/>
          <w:lang w:val="en-GB"/>
        </w:rPr>
        <w:t>Credit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>2</w:t>
      </w:r>
      <w:proofErr w:type="gramEnd"/>
      <w:r w:rsidR="00C87EFA" w:rsidRPr="00F46DDF">
        <w:rPr>
          <w:rFonts w:asciiTheme="minorHAnsi" w:hAnsiTheme="minorHAnsi" w:cstheme="minorHAnsi"/>
          <w:lang w:val="en-GB"/>
        </w:rPr>
        <w:t xml:space="preserve"> credits both 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 and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18">
    <w:p w14:paraId="2DEB2415" w14:textId="77777777" w:rsidR="007F12FA" w:rsidRPr="00F46DDF" w:rsidRDefault="007F12FA" w:rsidP="007F12F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  <w:lang w:val="en-GB"/>
        </w:rPr>
        <w:footnoteRef/>
      </w:r>
      <w:r w:rsidR="00C87EFA" w:rsidRPr="00F46DDF">
        <w:rPr>
          <w:rFonts w:asciiTheme="minorHAnsi" w:hAnsiTheme="minorHAnsi" w:cstheme="minorHAnsi"/>
          <w:b/>
          <w:sz w:val="20"/>
          <w:szCs w:val="20"/>
          <w:lang w:val="en-GB"/>
        </w:rPr>
        <w:t xml:space="preserve">Aim of the </w:t>
      </w:r>
      <w:proofErr w:type="spellStart"/>
      <w:r w:rsidR="00C87EFA" w:rsidRPr="00F46DDF">
        <w:rPr>
          <w:rFonts w:asciiTheme="minorHAnsi" w:hAnsiTheme="minorHAnsi" w:cstheme="minorHAnsi"/>
          <w:b/>
          <w:sz w:val="20"/>
          <w:szCs w:val="20"/>
          <w:lang w:val="en-GB"/>
        </w:rPr>
        <w:t>course</w:t>
      </w:r>
      <w:proofErr w:type="gramStart"/>
      <w:r w:rsidRPr="00F46DDF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  <w:r w:rsidR="00F46DDF" w:rsidRPr="00F46DDF">
        <w:rPr>
          <w:rFonts w:asciiTheme="minorHAnsi" w:hAnsiTheme="minorHAnsi" w:cstheme="minorHAnsi"/>
          <w:sz w:val="20"/>
          <w:szCs w:val="20"/>
          <w:lang w:val="en-GB"/>
        </w:rPr>
        <w:t>this</w:t>
      </w:r>
      <w:proofErr w:type="spellEnd"/>
      <w:proofErr w:type="gramEnd"/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is to be outlined in ac</w:t>
      </w:r>
      <w:r w:rsidR="00E45CAC">
        <w:rPr>
          <w:rFonts w:asciiTheme="minorHAnsi" w:hAnsiTheme="minorHAnsi" w:cstheme="minorHAnsi"/>
          <w:sz w:val="20"/>
          <w:szCs w:val="20"/>
          <w:lang w:val="en-GB"/>
        </w:rPr>
        <w:t>cordance with the qualification</w:t>
      </w:r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requirements. For the Law Master qualification requirements please study </w:t>
      </w:r>
      <w:r w:rsidR="00C87EFA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Decree </w:t>
      </w:r>
      <w:r w:rsidR="00F46DDF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No. </w:t>
      </w:r>
      <w:r w:rsidR="00C87EFA" w:rsidRPr="00F46DDF">
        <w:rPr>
          <w:rFonts w:asciiTheme="minorHAnsi" w:hAnsiTheme="minorHAnsi" w:cstheme="minorHAnsi"/>
          <w:i/>
          <w:sz w:val="20"/>
          <w:szCs w:val="20"/>
          <w:lang w:val="en-GB"/>
        </w:rPr>
        <w:t>18/2016. (VIII. 5.)</w:t>
      </w:r>
      <w:r w:rsidR="00F46DDF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 EMMI</w:t>
      </w:r>
      <w:r w:rsidR="00C87EFA"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, </w:t>
      </w:r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>Annex 4, Chapter V</w:t>
      </w:r>
      <w:proofErr w:type="gramStart"/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>./</w:t>
      </w:r>
      <w:proofErr w:type="gramEnd"/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2., 7.1.1. </w:t>
      </w:r>
      <w:proofErr w:type="gramStart"/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>and</w:t>
      </w:r>
      <w:proofErr w:type="gramEnd"/>
      <w:r w:rsidR="00C87EFA"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8.1.1.</w:t>
      </w:r>
    </w:p>
  </w:footnote>
  <w:footnote w:id="19">
    <w:p w14:paraId="30D3F57F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C87EFA" w:rsidRPr="00F46DDF">
        <w:rPr>
          <w:rFonts w:asciiTheme="minorHAnsi" w:hAnsiTheme="minorHAnsi" w:cstheme="minorHAnsi"/>
          <w:b/>
          <w:lang w:val="en-GB"/>
        </w:rPr>
        <w:t xml:space="preserve">Outline of the </w:t>
      </w:r>
      <w:proofErr w:type="spellStart"/>
      <w:r w:rsidR="00C87EFA" w:rsidRPr="00F46DDF">
        <w:rPr>
          <w:rFonts w:asciiTheme="minorHAnsi" w:hAnsiTheme="minorHAnsi" w:cstheme="minorHAnsi"/>
          <w:b/>
          <w:lang w:val="en-GB"/>
        </w:rPr>
        <w:t>course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>please</w:t>
      </w:r>
      <w:proofErr w:type="spellEnd"/>
      <w:proofErr w:type="gramEnd"/>
      <w:r w:rsidR="00C87EFA" w:rsidRPr="00F46DDF">
        <w:rPr>
          <w:rFonts w:asciiTheme="minorHAnsi" w:hAnsiTheme="minorHAnsi" w:cstheme="minorHAnsi"/>
          <w:lang w:val="en-GB"/>
        </w:rPr>
        <w:t xml:space="preserve"> specify at least 10-12 thematic items</w:t>
      </w:r>
      <w:r w:rsidRPr="00F46DDF">
        <w:rPr>
          <w:rFonts w:asciiTheme="minorHAnsi" w:hAnsiTheme="minorHAnsi" w:cstheme="minorHAnsi"/>
          <w:lang w:val="en-GB"/>
        </w:rPr>
        <w:t>.</w:t>
      </w:r>
      <w:r w:rsidR="00330CBF">
        <w:rPr>
          <w:rFonts w:asciiTheme="minorHAnsi" w:hAnsiTheme="minorHAnsi" w:cstheme="minorHAnsi"/>
          <w:lang w:val="en-GB"/>
        </w:rPr>
        <w:t xml:space="preserve"> Please don’t </w:t>
      </w:r>
      <w:r w:rsidR="002F2146">
        <w:rPr>
          <w:rFonts w:asciiTheme="minorHAnsi" w:hAnsiTheme="minorHAnsi" w:cstheme="minorHAnsi"/>
          <w:lang w:val="en-GB"/>
        </w:rPr>
        <w:t>assign</w:t>
      </w:r>
      <w:r w:rsidR="00330CBF">
        <w:rPr>
          <w:rFonts w:asciiTheme="minorHAnsi" w:hAnsiTheme="minorHAnsi" w:cstheme="minorHAnsi"/>
          <w:lang w:val="en-GB"/>
        </w:rPr>
        <w:t xml:space="preserve"> concrete dates </w:t>
      </w:r>
      <w:r w:rsidR="002F2146">
        <w:rPr>
          <w:rFonts w:asciiTheme="minorHAnsi" w:hAnsiTheme="minorHAnsi" w:cstheme="minorHAnsi"/>
          <w:lang w:val="en-GB"/>
        </w:rPr>
        <w:t xml:space="preserve">to </w:t>
      </w:r>
      <w:proofErr w:type="spellStart"/>
      <w:r w:rsidR="002F2146">
        <w:rPr>
          <w:rFonts w:asciiTheme="minorHAnsi" w:hAnsiTheme="minorHAnsi" w:cstheme="minorHAnsi"/>
          <w:lang w:val="en-GB"/>
        </w:rPr>
        <w:t>thedifferent</w:t>
      </w:r>
      <w:proofErr w:type="spellEnd"/>
      <w:r w:rsidR="00330CBF">
        <w:rPr>
          <w:rFonts w:asciiTheme="minorHAnsi" w:hAnsiTheme="minorHAnsi" w:cstheme="minorHAnsi"/>
          <w:lang w:val="en-GB"/>
        </w:rPr>
        <w:t xml:space="preserve"> items, </w:t>
      </w:r>
      <w:r w:rsidR="00E45CAC">
        <w:rPr>
          <w:rFonts w:asciiTheme="minorHAnsi" w:hAnsiTheme="minorHAnsi" w:cstheme="minorHAnsi"/>
          <w:lang w:val="en-GB"/>
        </w:rPr>
        <w:t>but mark them with numbers!</w:t>
      </w:r>
    </w:p>
  </w:footnote>
  <w:footnote w:id="20">
    <w:p w14:paraId="4E7DE7FF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F46DDF" w:rsidRPr="00F46DDF">
        <w:rPr>
          <w:rFonts w:asciiTheme="minorHAnsi" w:hAnsiTheme="minorHAnsi" w:cstheme="minorHAnsi"/>
          <w:b/>
          <w:lang w:val="en-GB"/>
        </w:rPr>
        <w:t>Testing</w:t>
      </w:r>
      <w:r w:rsidR="00C87EFA" w:rsidRPr="00F46DDF">
        <w:rPr>
          <w:rFonts w:asciiTheme="minorHAnsi" w:hAnsiTheme="minorHAnsi" w:cstheme="minorHAnsi"/>
          <w:b/>
          <w:lang w:val="en-GB"/>
        </w:rPr>
        <w:t xml:space="preserve"> and </w:t>
      </w:r>
      <w:proofErr w:type="spellStart"/>
      <w:r w:rsidR="00C87EFA" w:rsidRPr="00F46DDF">
        <w:rPr>
          <w:rFonts w:asciiTheme="minorHAnsi" w:hAnsiTheme="minorHAnsi" w:cstheme="minorHAnsi"/>
          <w:b/>
          <w:lang w:val="en-GB"/>
        </w:rPr>
        <w:t>evaluation</w:t>
      </w:r>
      <w:proofErr w:type="gramStart"/>
      <w:r w:rsidRPr="00F46DDF">
        <w:rPr>
          <w:rFonts w:asciiTheme="minorHAnsi" w:hAnsiTheme="minorHAnsi" w:cstheme="minorHAnsi"/>
          <w:b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>please</w:t>
      </w:r>
      <w:proofErr w:type="spellEnd"/>
      <w:proofErr w:type="gramEnd"/>
      <w:r w:rsidR="00C87EFA" w:rsidRPr="00F46DDF">
        <w:rPr>
          <w:rFonts w:asciiTheme="minorHAnsi" w:hAnsiTheme="minorHAnsi" w:cstheme="minorHAnsi"/>
          <w:lang w:val="en-GB"/>
        </w:rPr>
        <w:t xml:space="preserve"> define how students will be examined and evaluated. </w:t>
      </w:r>
      <w:r w:rsidR="00F46DDF" w:rsidRPr="00F46DDF">
        <w:rPr>
          <w:rFonts w:asciiTheme="minorHAnsi" w:hAnsiTheme="minorHAnsi" w:cstheme="minorHAnsi"/>
          <w:lang w:val="en-GB"/>
        </w:rPr>
        <w:t>Oral exam, written exam or combined exam? Are there any mid-semester requirements to be fulfilled? Is the absence from class sanctioned (and if yes, how)? Are there any partial qualifications?</w:t>
      </w:r>
    </w:p>
  </w:footnote>
  <w:footnote w:id="21">
    <w:p w14:paraId="4F39F9D4" w14:textId="5D374B76" w:rsidR="007F12FA" w:rsidRDefault="007F12FA" w:rsidP="007F12FA">
      <w:pPr>
        <w:pStyle w:val="Lbjegyzetszveg"/>
        <w:jc w:val="both"/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="00F46DDF" w:rsidRPr="00F46DDF">
        <w:rPr>
          <w:rFonts w:asciiTheme="minorHAnsi" w:hAnsiTheme="minorHAnsi" w:cstheme="minorHAnsi"/>
          <w:b/>
          <w:lang w:val="en-GB"/>
        </w:rPr>
        <w:t>Course materials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="000943E1">
        <w:rPr>
          <w:rFonts w:asciiTheme="minorHAnsi" w:hAnsiTheme="minorHAnsi" w:cstheme="minorHAnsi"/>
          <w:b/>
          <w:lang w:val="en-GB"/>
        </w:rPr>
        <w:t xml:space="preserve"> </w:t>
      </w:r>
      <w:r w:rsidR="00590B54">
        <w:rPr>
          <w:rFonts w:asciiTheme="minorHAnsi" w:hAnsiTheme="minorHAnsi" w:cstheme="minorHAnsi"/>
          <w:lang w:val="en-GB"/>
        </w:rPr>
        <w:t>compulsory</w:t>
      </w:r>
      <w:r w:rsidR="00F46DDF" w:rsidRPr="00F46DDF">
        <w:rPr>
          <w:rFonts w:asciiTheme="minorHAnsi" w:hAnsiTheme="minorHAnsi" w:cstheme="minorHAnsi"/>
          <w:lang w:val="en-GB"/>
        </w:rPr>
        <w:t xml:space="preserve"> (and </w:t>
      </w:r>
      <w:r w:rsidR="00590B54">
        <w:rPr>
          <w:rFonts w:asciiTheme="minorHAnsi" w:hAnsiTheme="minorHAnsi" w:cstheme="minorHAnsi"/>
          <w:lang w:val="en-GB"/>
        </w:rPr>
        <w:t>recommended</w:t>
      </w:r>
      <w:r w:rsidR="00F46DDF" w:rsidRPr="00F46DDF">
        <w:rPr>
          <w:rFonts w:asciiTheme="minorHAnsi" w:hAnsiTheme="minorHAnsi" w:cstheme="minorHAnsi"/>
          <w:lang w:val="en-GB"/>
        </w:rPr>
        <w:t>) course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F5D"/>
    <w:multiLevelType w:val="hybridMultilevel"/>
    <w:tmpl w:val="D25C9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AA8"/>
    <w:multiLevelType w:val="hybridMultilevel"/>
    <w:tmpl w:val="4B1A8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938"/>
    <w:multiLevelType w:val="hybridMultilevel"/>
    <w:tmpl w:val="7CBCB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4EDA"/>
    <w:multiLevelType w:val="hybridMultilevel"/>
    <w:tmpl w:val="927A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14E9"/>
    <w:multiLevelType w:val="hybridMultilevel"/>
    <w:tmpl w:val="1F462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8D"/>
    <w:rsid w:val="0002235D"/>
    <w:rsid w:val="00024624"/>
    <w:rsid w:val="00053904"/>
    <w:rsid w:val="000619CA"/>
    <w:rsid w:val="000943E1"/>
    <w:rsid w:val="000C583F"/>
    <w:rsid w:val="00111ECB"/>
    <w:rsid w:val="00117877"/>
    <w:rsid w:val="00117BC7"/>
    <w:rsid w:val="001217C5"/>
    <w:rsid w:val="00153AD8"/>
    <w:rsid w:val="001632C1"/>
    <w:rsid w:val="001756CD"/>
    <w:rsid w:val="00183DCA"/>
    <w:rsid w:val="00186AF4"/>
    <w:rsid w:val="00192E81"/>
    <w:rsid w:val="001B4F34"/>
    <w:rsid w:val="001C4646"/>
    <w:rsid w:val="001C4B9F"/>
    <w:rsid w:val="001D055E"/>
    <w:rsid w:val="00201BB5"/>
    <w:rsid w:val="00210E90"/>
    <w:rsid w:val="00224874"/>
    <w:rsid w:val="00227EA0"/>
    <w:rsid w:val="002622C9"/>
    <w:rsid w:val="00296DBF"/>
    <w:rsid w:val="002F2146"/>
    <w:rsid w:val="002F366B"/>
    <w:rsid w:val="00313E3B"/>
    <w:rsid w:val="00330CBF"/>
    <w:rsid w:val="00383D32"/>
    <w:rsid w:val="00396C14"/>
    <w:rsid w:val="003B5768"/>
    <w:rsid w:val="003C5B9B"/>
    <w:rsid w:val="003F6718"/>
    <w:rsid w:val="00423C17"/>
    <w:rsid w:val="0044373C"/>
    <w:rsid w:val="004464B3"/>
    <w:rsid w:val="004C08E5"/>
    <w:rsid w:val="004C2DCF"/>
    <w:rsid w:val="004C61AE"/>
    <w:rsid w:val="005204F2"/>
    <w:rsid w:val="0052347F"/>
    <w:rsid w:val="00541CF6"/>
    <w:rsid w:val="00565239"/>
    <w:rsid w:val="00590B54"/>
    <w:rsid w:val="005E6CA9"/>
    <w:rsid w:val="005E72F6"/>
    <w:rsid w:val="0062549F"/>
    <w:rsid w:val="0063518D"/>
    <w:rsid w:val="00655DC1"/>
    <w:rsid w:val="00695F73"/>
    <w:rsid w:val="006C3ABD"/>
    <w:rsid w:val="006E6ED4"/>
    <w:rsid w:val="006E791A"/>
    <w:rsid w:val="00715FF2"/>
    <w:rsid w:val="00720C83"/>
    <w:rsid w:val="00734EBE"/>
    <w:rsid w:val="0075026C"/>
    <w:rsid w:val="0075351E"/>
    <w:rsid w:val="00791B0A"/>
    <w:rsid w:val="007C5A3D"/>
    <w:rsid w:val="007F12FA"/>
    <w:rsid w:val="008221C7"/>
    <w:rsid w:val="00834CD4"/>
    <w:rsid w:val="00843F44"/>
    <w:rsid w:val="00846E33"/>
    <w:rsid w:val="00865A8B"/>
    <w:rsid w:val="008C5271"/>
    <w:rsid w:val="008D3CAD"/>
    <w:rsid w:val="008D41B1"/>
    <w:rsid w:val="008E2618"/>
    <w:rsid w:val="008E3A93"/>
    <w:rsid w:val="008F3771"/>
    <w:rsid w:val="00914528"/>
    <w:rsid w:val="009B6DE3"/>
    <w:rsid w:val="009D39C3"/>
    <w:rsid w:val="00A37C81"/>
    <w:rsid w:val="00A8232D"/>
    <w:rsid w:val="00A90A8D"/>
    <w:rsid w:val="00AF0CE4"/>
    <w:rsid w:val="00B44FA4"/>
    <w:rsid w:val="00B56FE5"/>
    <w:rsid w:val="00B83FC9"/>
    <w:rsid w:val="00C87EFA"/>
    <w:rsid w:val="00CD0BCB"/>
    <w:rsid w:val="00D13C7B"/>
    <w:rsid w:val="00D317B1"/>
    <w:rsid w:val="00D554BB"/>
    <w:rsid w:val="00D72490"/>
    <w:rsid w:val="00D800E0"/>
    <w:rsid w:val="00DB1F41"/>
    <w:rsid w:val="00DE2460"/>
    <w:rsid w:val="00DF2660"/>
    <w:rsid w:val="00DF2BBC"/>
    <w:rsid w:val="00E45CAC"/>
    <w:rsid w:val="00E52B29"/>
    <w:rsid w:val="00E66A52"/>
    <w:rsid w:val="00E7148F"/>
    <w:rsid w:val="00E847ED"/>
    <w:rsid w:val="00E9259A"/>
    <w:rsid w:val="00EA4D99"/>
    <w:rsid w:val="00EB1920"/>
    <w:rsid w:val="00EC61D7"/>
    <w:rsid w:val="00EE6300"/>
    <w:rsid w:val="00EE694B"/>
    <w:rsid w:val="00EF7AF5"/>
    <w:rsid w:val="00F24B0E"/>
    <w:rsid w:val="00F30C71"/>
    <w:rsid w:val="00F46DDF"/>
    <w:rsid w:val="00F52125"/>
    <w:rsid w:val="00FC3B2B"/>
    <w:rsid w:val="00FC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9098"/>
  <w15:docId w15:val="{001E24FD-6BC9-402E-9161-8E31CD0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A8D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eknormal">
    <w:name w:val="aeknormal"/>
    <w:basedOn w:val="Bekezdsalapbettpusa"/>
    <w:rsid w:val="00A37C81"/>
  </w:style>
  <w:style w:type="paragraph" w:styleId="Lbjegyzetszveg">
    <w:name w:val="footnote text"/>
    <w:basedOn w:val="Norml"/>
    <w:link w:val="LbjegyzetszvegChar"/>
    <w:uiPriority w:val="99"/>
    <w:unhideWhenUsed/>
    <w:rsid w:val="00791B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91B0A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791B0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D41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B1"/>
    <w:rPr>
      <w:rFonts w:eastAsia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B1"/>
    <w:rPr>
      <w:rFonts w:eastAsia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B1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10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1756CD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7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154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837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540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6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8C21-BB8C-4903-AFA2-9C98788E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783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Réti Anna</cp:lastModifiedBy>
  <cp:revision>3</cp:revision>
  <dcterms:created xsi:type="dcterms:W3CDTF">2024-05-15T08:05:00Z</dcterms:created>
  <dcterms:modified xsi:type="dcterms:W3CDTF">2024-05-15T08:46:00Z</dcterms:modified>
</cp:coreProperties>
</file>