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00" w:rsidRPr="00E64559" w:rsidRDefault="006A1800" w:rsidP="006A1800">
      <w:pPr>
        <w:shd w:val="clear" w:color="auto" w:fill="FFFFFF" w:themeFill="background1"/>
        <w:spacing w:after="0" w:line="240" w:lineRule="auto"/>
        <w:rPr>
          <w:rFonts w:ascii="PT Sans" w:hAnsi="PT Sans" w:cs="Times New Roman"/>
          <w:sz w:val="24"/>
          <w:szCs w:val="24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2147"/>
        <w:gridCol w:w="1962"/>
        <w:gridCol w:w="2359"/>
        <w:gridCol w:w="7561"/>
      </w:tblGrid>
      <w:tr w:rsidR="00404FE3" w:rsidRPr="00E64559" w:rsidTr="00F207DD">
        <w:tc>
          <w:tcPr>
            <w:tcW w:w="14029" w:type="dxa"/>
            <w:gridSpan w:val="4"/>
          </w:tcPr>
          <w:p w:rsidR="006A1800" w:rsidRPr="00E64559" w:rsidRDefault="006A1800" w:rsidP="00F207DD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bCs/>
                <w:sz w:val="24"/>
                <w:szCs w:val="24"/>
              </w:rPr>
              <w:t>DOKTORI SZIMPÓZIUM</w:t>
            </w:r>
          </w:p>
          <w:p w:rsidR="006A1800" w:rsidRPr="00E64559" w:rsidRDefault="00DC6A66" w:rsidP="00DD62CC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  <w:sz w:val="24"/>
                <w:szCs w:val="24"/>
              </w:rPr>
            </w:pPr>
            <w:r>
              <w:rPr>
                <w:rFonts w:ascii="PT Sans" w:hAnsi="PT Sans" w:cs="Times New Roman"/>
                <w:bCs/>
                <w:sz w:val="24"/>
                <w:szCs w:val="24"/>
              </w:rPr>
              <w:t xml:space="preserve">2023. </w:t>
            </w:r>
            <w:r w:rsidR="00155CCB" w:rsidRPr="00E64559">
              <w:rPr>
                <w:rFonts w:ascii="PT Sans" w:hAnsi="PT Sans" w:cs="Times New Roman"/>
                <w:bCs/>
                <w:sz w:val="24"/>
                <w:szCs w:val="24"/>
              </w:rPr>
              <w:t xml:space="preserve">november 10. </w:t>
            </w:r>
            <w:r w:rsidR="006A1800" w:rsidRPr="00E64559">
              <w:rPr>
                <w:rFonts w:ascii="PT Sans" w:hAnsi="PT Sans" w:cs="Times New Roman"/>
                <w:bCs/>
                <w:sz w:val="24"/>
                <w:szCs w:val="24"/>
              </w:rPr>
              <w:t xml:space="preserve">péntek </w:t>
            </w:r>
            <w:r w:rsidR="00ED5F74" w:rsidRPr="00E64559">
              <w:rPr>
                <w:rFonts w:ascii="PT Sans" w:hAnsi="PT Sans" w:cs="Times New Roman"/>
                <w:bCs/>
                <w:sz w:val="24"/>
                <w:szCs w:val="24"/>
              </w:rPr>
              <w:t>1</w:t>
            </w:r>
            <w:r w:rsidR="00155CCB" w:rsidRPr="00E64559">
              <w:rPr>
                <w:rFonts w:ascii="PT Sans" w:hAnsi="PT Sans" w:cs="Times New Roman"/>
                <w:bCs/>
                <w:sz w:val="24"/>
                <w:szCs w:val="24"/>
              </w:rPr>
              <w:t>2</w:t>
            </w:r>
            <w:r w:rsidR="006A1800" w:rsidRPr="00E64559">
              <w:rPr>
                <w:rFonts w:ascii="PT Sans" w:hAnsi="PT Sans" w:cs="Times New Roman"/>
                <w:bCs/>
                <w:sz w:val="24"/>
                <w:szCs w:val="24"/>
              </w:rPr>
              <w:t xml:space="preserve"> óra</w:t>
            </w:r>
          </w:p>
          <w:p w:rsidR="00DD62CC" w:rsidRPr="00E64559" w:rsidRDefault="00DD62CC" w:rsidP="00DD62CC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  <w:sz w:val="24"/>
                <w:szCs w:val="24"/>
                <w:u w:val="single"/>
              </w:rPr>
            </w:pPr>
          </w:p>
        </w:tc>
      </w:tr>
      <w:tr w:rsidR="00404FE3" w:rsidRPr="00E64559" w:rsidTr="00372A47">
        <w:tc>
          <w:tcPr>
            <w:tcW w:w="2147" w:type="dxa"/>
          </w:tcPr>
          <w:p w:rsidR="006A1800" w:rsidRPr="00E64559" w:rsidRDefault="006A1800" w:rsidP="00F207DD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</w:tcPr>
          <w:p w:rsidR="006A1800" w:rsidRPr="00E64559" w:rsidRDefault="006A1800" w:rsidP="00F207DD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Doktorandusz</w:t>
            </w:r>
          </w:p>
        </w:tc>
        <w:tc>
          <w:tcPr>
            <w:tcW w:w="2359" w:type="dxa"/>
          </w:tcPr>
          <w:p w:rsidR="006A1800" w:rsidRPr="00E64559" w:rsidRDefault="006A1800" w:rsidP="00F207DD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  <w:t>Témavezető:</w:t>
            </w:r>
          </w:p>
        </w:tc>
        <w:tc>
          <w:tcPr>
            <w:tcW w:w="7561" w:type="dxa"/>
          </w:tcPr>
          <w:p w:rsidR="006A1800" w:rsidRPr="00E64559" w:rsidRDefault="006A1800" w:rsidP="00F207DD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  <w:t>Előadás címe:</w:t>
            </w:r>
          </w:p>
        </w:tc>
      </w:tr>
      <w:tr w:rsidR="00404FE3" w:rsidRPr="00E64559" w:rsidTr="00372A47">
        <w:tc>
          <w:tcPr>
            <w:tcW w:w="2147" w:type="dxa"/>
          </w:tcPr>
          <w:p w:rsidR="00520A04" w:rsidRPr="00E64559" w:rsidRDefault="00372A47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Környezetjog:</w:t>
            </w:r>
          </w:p>
        </w:tc>
        <w:tc>
          <w:tcPr>
            <w:tcW w:w="1962" w:type="dxa"/>
          </w:tcPr>
          <w:p w:rsidR="00520A04" w:rsidRPr="00E64559" w:rsidRDefault="00520A04" w:rsidP="00520A04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9" w:type="dxa"/>
          </w:tcPr>
          <w:p w:rsidR="00520A04" w:rsidRPr="00E64559" w:rsidRDefault="00520A04" w:rsidP="00520A04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61" w:type="dxa"/>
          </w:tcPr>
          <w:p w:rsidR="00520A04" w:rsidRPr="00E64559" w:rsidRDefault="00520A04" w:rsidP="00520A04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86770C" w:rsidRPr="00E64559" w:rsidTr="00372A47">
        <w:tc>
          <w:tcPr>
            <w:tcW w:w="2147" w:type="dxa"/>
          </w:tcPr>
          <w:p w:rsidR="00776A0E" w:rsidRPr="00E64559" w:rsidRDefault="00776A0E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1</w:t>
            </w:r>
            <w:r w:rsidR="002C64EA"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2</w:t>
            </w: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.</w:t>
            </w:r>
            <w:r w:rsidR="002C64EA"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0</w:t>
            </w: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962" w:type="dxa"/>
          </w:tcPr>
          <w:p w:rsidR="00776A0E" w:rsidRPr="00E64559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Farkas Dóra</w:t>
            </w:r>
          </w:p>
        </w:tc>
        <w:tc>
          <w:tcPr>
            <w:tcW w:w="2359" w:type="dxa"/>
          </w:tcPr>
          <w:p w:rsidR="00776A0E" w:rsidRPr="00E64559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Bándi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Gyula</w:t>
            </w:r>
          </w:p>
        </w:tc>
        <w:tc>
          <w:tcPr>
            <w:tcW w:w="7561" w:type="dxa"/>
          </w:tcPr>
          <w:p w:rsidR="00776A0E" w:rsidRPr="00E64559" w:rsidRDefault="00951BC2" w:rsidP="00951BC2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  <w:r w:rsidRPr="00951BC2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951BC2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információhoz</w:t>
            </w:r>
            <w:proofErr w:type="gramEnd"/>
            <w:r w:rsidRPr="00951BC2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való jog környezeti ügyekben</w:t>
            </w: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Versenyjog: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61" w:type="dxa"/>
          </w:tcPr>
          <w:p w:rsidR="007B2FC7" w:rsidRPr="00E64559" w:rsidRDefault="007B2FC7" w:rsidP="007B2FC7">
            <w:pPr>
              <w:rPr>
                <w:rFonts w:ascii="PT Sans" w:hAnsi="PT Sans"/>
                <w:color w:val="000000"/>
                <w:sz w:val="24"/>
                <w:szCs w:val="24"/>
                <w:shd w:val="clear" w:color="auto" w:fill="FDFDFD"/>
              </w:rPr>
            </w:pP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12.20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E64559">
              <w:rPr>
                <w:rFonts w:ascii="PT Sans" w:hAnsi="PT Sans" w:cs="Times New Roman"/>
                <w:sz w:val="24"/>
                <w:szCs w:val="24"/>
              </w:rPr>
              <w:t>Csurgai</w:t>
            </w:r>
            <w:proofErr w:type="spellEnd"/>
            <w:r w:rsidRPr="00E64559">
              <w:rPr>
                <w:rFonts w:ascii="PT Sans" w:hAnsi="PT Sans" w:cs="Times New Roman"/>
                <w:sz w:val="24"/>
                <w:szCs w:val="24"/>
              </w:rPr>
              <w:t>-Horváth Gergely</w:t>
            </w: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Tóth Tihamér </w:t>
            </w:r>
          </w:p>
        </w:tc>
        <w:tc>
          <w:tcPr>
            <w:tcW w:w="7561" w:type="dxa"/>
            <w:shd w:val="clear" w:color="auto" w:fill="FFFFFF" w:themeFill="background1"/>
          </w:tcPr>
          <w:p w:rsidR="007B2FC7" w:rsidRPr="00E64559" w:rsidRDefault="007B2FC7" w:rsidP="007B2FC7">
            <w:pPr>
              <w:rPr>
                <w:rFonts w:ascii="PT Sans" w:hAnsi="PT Sans"/>
                <w:color w:val="000000"/>
                <w:sz w:val="24"/>
                <w:szCs w:val="24"/>
                <w:shd w:val="clear" w:color="auto" w:fill="FDFDFD"/>
              </w:rPr>
            </w:pPr>
            <w:r w:rsidRPr="00E64559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Az önpreferálás versenyjogon túlmenő, ágazati szabályok alapján történő szabályozása</w:t>
            </w: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Munkajog: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7561" w:type="dxa"/>
            <w:shd w:val="clear" w:color="auto" w:fill="FFFFFF" w:themeFill="background1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E64559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12.40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Petri Dávid</w:t>
            </w: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Kártyás Gábor</w:t>
            </w:r>
          </w:p>
        </w:tc>
        <w:tc>
          <w:tcPr>
            <w:tcW w:w="7561" w:type="dxa"/>
          </w:tcPr>
          <w:p w:rsidR="007B2FC7" w:rsidRPr="00E64559" w:rsidRDefault="007B2FC7" w:rsidP="007B2FC7">
            <w:pPr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 foglalkozási megbetegedések </w:t>
            </w:r>
            <w:r w:rsidRPr="00E64559">
              <w:rPr>
                <w:rStyle w:val="object"/>
                <w:rFonts w:ascii="PT Sans" w:hAnsi="PT Sans" w:cs="Tahoma"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E64559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 xml:space="preserve">ülönböző felelősségi </w:t>
            </w:r>
            <w:proofErr w:type="spellStart"/>
            <w:r w:rsidRPr="00E64559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alakzatai</w:t>
            </w:r>
            <w:proofErr w:type="spellEnd"/>
            <w:r w:rsidRPr="00E64559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 xml:space="preserve"> és egymáshoz való viszonya</w:t>
            </w: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Pénzügyi jog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7561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/>
                <w:bCs/>
                <w:color w:val="FF0000"/>
                <w:sz w:val="24"/>
                <w:szCs w:val="24"/>
                <w:shd w:val="clear" w:color="auto" w:fill="FDFDFD"/>
              </w:rPr>
            </w:pP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7B2FC7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</w:t>
            </w:r>
            <w:r w:rsidR="00E64559" w:rsidRPr="00E64559"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E64559">
              <w:rPr>
                <w:rFonts w:ascii="PT Sans" w:hAnsi="PT Sans" w:cs="Times New Roman"/>
                <w:sz w:val="24"/>
                <w:szCs w:val="24"/>
              </w:rPr>
              <w:t>.</w:t>
            </w:r>
            <w:r w:rsidR="00E64559" w:rsidRPr="00E64559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E64559">
              <w:rPr>
                <w:rFonts w:ascii="PT Sans" w:hAnsi="PT Sans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Lakatos Veronika</w:t>
            </w: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Halász Zsolt</w:t>
            </w:r>
          </w:p>
        </w:tc>
        <w:tc>
          <w:tcPr>
            <w:tcW w:w="7561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/>
                <w:bCs/>
                <w:color w:val="FF0000"/>
                <w:sz w:val="24"/>
                <w:szCs w:val="24"/>
                <w:shd w:val="clear" w:color="auto" w:fill="FDFDFD"/>
              </w:rPr>
            </w:pPr>
            <w:r w:rsidRPr="00E64559">
              <w:rPr>
                <w:rFonts w:ascii="PT Sans" w:hAnsi="PT Sans"/>
                <w:bCs/>
                <w:sz w:val="24"/>
                <w:szCs w:val="24"/>
                <w:shd w:val="clear" w:color="auto" w:fill="FDFDFD"/>
              </w:rPr>
              <w:t>A</w:t>
            </w:r>
            <w:r w:rsidRPr="00E64559">
              <w:rPr>
                <w:rFonts w:ascii="PT Sans" w:hAnsi="PT Sans"/>
                <w:color w:val="000000"/>
                <w:sz w:val="24"/>
                <w:szCs w:val="24"/>
              </w:rPr>
              <w:t>z állam szerepe a lakossági eladósodottság megakadályozásában</w:t>
            </w:r>
          </w:p>
        </w:tc>
      </w:tr>
      <w:tr w:rsidR="007B2FC7" w:rsidRPr="00E64559" w:rsidTr="00372A47">
        <w:tc>
          <w:tcPr>
            <w:tcW w:w="2147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Európai jog: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7561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/>
                <w:bCs/>
                <w:color w:val="FF0000"/>
                <w:sz w:val="24"/>
                <w:szCs w:val="24"/>
                <w:shd w:val="clear" w:color="auto" w:fill="FDFDFD"/>
              </w:rPr>
            </w:pPr>
          </w:p>
        </w:tc>
      </w:tr>
      <w:tr w:rsidR="007B2FC7" w:rsidRPr="00E64559" w:rsidTr="00372A47">
        <w:trPr>
          <w:trHeight w:val="171"/>
        </w:trPr>
        <w:tc>
          <w:tcPr>
            <w:tcW w:w="2147" w:type="dxa"/>
          </w:tcPr>
          <w:p w:rsidR="007B2FC7" w:rsidRPr="00E64559" w:rsidRDefault="003B06C6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13.2</w:t>
            </w:r>
            <w:r w:rsidR="00E64559" w:rsidRPr="00E64559">
              <w:rPr>
                <w:rFonts w:ascii="PT Sans" w:hAnsi="PT Sans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Gurisev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-Pap Viola</w:t>
            </w: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Gyeney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Laura</w:t>
            </w:r>
          </w:p>
        </w:tc>
        <w:tc>
          <w:tcPr>
            <w:tcW w:w="7561" w:type="dxa"/>
          </w:tcPr>
          <w:p w:rsidR="007B2FC7" w:rsidRPr="008352DA" w:rsidRDefault="008352DA" w:rsidP="008352DA">
            <w:pPr>
              <w:rPr>
                <w:rFonts w:ascii="PT Sans" w:hAnsi="PT Sans"/>
                <w:bCs/>
                <w:color w:val="FF0000"/>
                <w:sz w:val="24"/>
                <w:szCs w:val="24"/>
                <w:shd w:val="clear" w:color="auto" w:fill="FDFDFD"/>
              </w:rPr>
            </w:pPr>
            <w:r w:rsidRPr="008352DA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Az uniós polgárok védelme harmadik államokban - egy egyre nagyobb jelentőséggel bíró uniós polgári jogosultság</w:t>
            </w:r>
          </w:p>
        </w:tc>
      </w:tr>
      <w:tr w:rsidR="007B2FC7" w:rsidRPr="00E64559" w:rsidTr="00372A47">
        <w:trPr>
          <w:trHeight w:val="171"/>
        </w:trPr>
        <w:tc>
          <w:tcPr>
            <w:tcW w:w="2147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Nemzetközi magánjog:</w:t>
            </w:r>
          </w:p>
        </w:tc>
        <w:tc>
          <w:tcPr>
            <w:tcW w:w="1962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9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61" w:type="dxa"/>
          </w:tcPr>
          <w:p w:rsidR="007B2FC7" w:rsidRPr="00E64559" w:rsidRDefault="007B2FC7" w:rsidP="007B2FC7">
            <w:pPr>
              <w:shd w:val="clear" w:color="auto" w:fill="FFFFFF" w:themeFill="background1"/>
              <w:rPr>
                <w:rFonts w:ascii="PT Sans" w:hAnsi="PT Sans" w:cs="Arial"/>
                <w:color w:val="000000"/>
                <w:sz w:val="24"/>
                <w:szCs w:val="24"/>
                <w:shd w:val="clear" w:color="auto" w:fill="FDFDFD"/>
              </w:rPr>
            </w:pPr>
          </w:p>
        </w:tc>
      </w:tr>
      <w:tr w:rsidR="001C056D" w:rsidRPr="00E64559" w:rsidTr="00372A47">
        <w:trPr>
          <w:trHeight w:val="171"/>
        </w:trPr>
        <w:tc>
          <w:tcPr>
            <w:tcW w:w="2147" w:type="dxa"/>
          </w:tcPr>
          <w:p w:rsidR="001C056D" w:rsidRPr="00E64559" w:rsidRDefault="001C056D" w:rsidP="001C056D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E64559">
              <w:rPr>
                <w:rFonts w:ascii="PT Sans" w:hAnsi="PT Sans" w:cs="Times New Roman"/>
                <w:sz w:val="24"/>
                <w:szCs w:val="24"/>
              </w:rPr>
              <w:t>.</w:t>
            </w:r>
            <w:r>
              <w:rPr>
                <w:rFonts w:ascii="PT Sans" w:hAnsi="PT Sans" w:cs="Times New Roman"/>
                <w:sz w:val="24"/>
                <w:szCs w:val="24"/>
              </w:rPr>
              <w:t>4</w:t>
            </w:r>
            <w:r w:rsidRPr="00E64559">
              <w:rPr>
                <w:rFonts w:ascii="PT Sans" w:hAnsi="PT Sans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1C056D" w:rsidRPr="00E64559" w:rsidRDefault="001C056D" w:rsidP="001C056D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Szalai Ildikó</w:t>
            </w:r>
          </w:p>
        </w:tc>
        <w:tc>
          <w:tcPr>
            <w:tcW w:w="2359" w:type="dxa"/>
          </w:tcPr>
          <w:p w:rsidR="001C056D" w:rsidRPr="00E64559" w:rsidRDefault="001C056D" w:rsidP="001C056D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Raffai Katalin</w:t>
            </w:r>
          </w:p>
        </w:tc>
        <w:tc>
          <w:tcPr>
            <w:tcW w:w="7561" w:type="dxa"/>
          </w:tcPr>
          <w:p w:rsidR="001C056D" w:rsidRPr="00E64559" w:rsidRDefault="001C056D" w:rsidP="001C056D">
            <w:pPr>
              <w:shd w:val="clear" w:color="auto" w:fill="FFFFFF" w:themeFill="background1"/>
              <w:rPr>
                <w:rFonts w:ascii="PT Sans" w:hAnsi="PT Sans" w:cs="Arial"/>
                <w:color w:val="000000"/>
                <w:sz w:val="24"/>
                <w:szCs w:val="24"/>
                <w:shd w:val="clear" w:color="auto" w:fill="FDFDFD"/>
              </w:rPr>
            </w:pPr>
            <w:r w:rsidRPr="00E64559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 beruházási választottbírósági ítéletek elismerésével és végrehajtásával kapcsolatos jelenkori kihívások</w:t>
            </w:r>
          </w:p>
        </w:tc>
      </w:tr>
    </w:tbl>
    <w:p w:rsidR="006A1800" w:rsidRPr="00E64559" w:rsidRDefault="006A1800">
      <w:pPr>
        <w:rPr>
          <w:rFonts w:ascii="PT Sans" w:hAnsi="PT Sans" w:cs="Times New Roman"/>
          <w:sz w:val="24"/>
          <w:szCs w:val="24"/>
        </w:rPr>
      </w:pPr>
      <w:bookmarkStart w:id="0" w:name="_GoBack"/>
      <w:bookmarkEnd w:id="0"/>
    </w:p>
    <w:p w:rsidR="006A1800" w:rsidRPr="00E64559" w:rsidRDefault="006A1800">
      <w:pPr>
        <w:rPr>
          <w:rFonts w:ascii="PT Sans" w:hAnsi="PT Sans" w:cs="Times New Roman"/>
          <w:sz w:val="24"/>
          <w:szCs w:val="24"/>
        </w:rPr>
      </w:pPr>
    </w:p>
    <w:p w:rsidR="006A1800" w:rsidRPr="00E64559" w:rsidRDefault="006A1800">
      <w:pPr>
        <w:rPr>
          <w:rFonts w:ascii="PT Sans" w:hAnsi="PT Sans" w:cs="Times New Roman"/>
          <w:sz w:val="24"/>
          <w:szCs w:val="24"/>
        </w:rPr>
      </w:pPr>
    </w:p>
    <w:p w:rsidR="00F67EDB" w:rsidRPr="00E64559" w:rsidRDefault="00F67EDB">
      <w:pPr>
        <w:rPr>
          <w:rFonts w:ascii="PT Sans" w:hAnsi="PT Sans" w:cs="Times New Roman"/>
          <w:sz w:val="24"/>
          <w:szCs w:val="24"/>
        </w:rPr>
      </w:pPr>
    </w:p>
    <w:p w:rsidR="00D931FA" w:rsidRPr="00E64559" w:rsidRDefault="00D931FA">
      <w:pPr>
        <w:rPr>
          <w:rFonts w:ascii="PT Sans" w:hAnsi="PT Sans" w:cs="Times New Roman"/>
          <w:sz w:val="24"/>
          <w:szCs w:val="24"/>
        </w:rPr>
      </w:pPr>
    </w:p>
    <w:p w:rsidR="006A1800" w:rsidRPr="00E64559" w:rsidRDefault="006A1800">
      <w:pPr>
        <w:rPr>
          <w:rFonts w:ascii="PT Sans" w:hAnsi="PT Sans" w:cs="Times New Roman"/>
          <w:sz w:val="24"/>
          <w:szCs w:val="24"/>
        </w:rPr>
      </w:pPr>
    </w:p>
    <w:p w:rsidR="0031536B" w:rsidRPr="00E64559" w:rsidRDefault="0031536B" w:rsidP="005E3DDE">
      <w:pPr>
        <w:shd w:val="clear" w:color="auto" w:fill="FFFFFF" w:themeFill="background1"/>
        <w:spacing w:after="0" w:line="240" w:lineRule="auto"/>
        <w:rPr>
          <w:rFonts w:ascii="PT Sans" w:hAnsi="PT Sans" w:cs="Times New Roman"/>
          <w:sz w:val="24"/>
          <w:szCs w:val="24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7938"/>
      </w:tblGrid>
      <w:tr w:rsidR="00404FE3" w:rsidRPr="00E64559" w:rsidTr="00577189">
        <w:tc>
          <w:tcPr>
            <w:tcW w:w="14029" w:type="dxa"/>
            <w:gridSpan w:val="4"/>
          </w:tcPr>
          <w:p w:rsidR="00FB7729" w:rsidRPr="00E64559" w:rsidRDefault="00FB7729" w:rsidP="00606E4E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  <w:sz w:val="24"/>
                <w:szCs w:val="24"/>
                <w:u w:val="single"/>
              </w:rPr>
            </w:pPr>
            <w:r w:rsidRPr="00E64559">
              <w:rPr>
                <w:rFonts w:ascii="PT Sans" w:hAnsi="PT Sans" w:cs="Times New Roman"/>
                <w:bCs/>
                <w:sz w:val="24"/>
                <w:szCs w:val="24"/>
              </w:rPr>
              <w:t>DOKTORI SZIMPÓZIUM</w:t>
            </w:r>
            <w:r w:rsidR="00606E4E">
              <w:rPr>
                <w:rFonts w:ascii="PT Sans" w:hAnsi="PT Sans" w:cs="Times New Roman"/>
                <w:bCs/>
                <w:sz w:val="24"/>
                <w:szCs w:val="24"/>
              </w:rPr>
              <w:t xml:space="preserve"> </w:t>
            </w:r>
            <w:r w:rsidR="00DC6A66">
              <w:rPr>
                <w:rFonts w:ascii="PT Sans" w:hAnsi="PT Sans" w:cs="Times New Roman"/>
                <w:bCs/>
                <w:sz w:val="24"/>
                <w:szCs w:val="24"/>
              </w:rPr>
              <w:t xml:space="preserve">2023. </w:t>
            </w:r>
            <w:r w:rsidR="00155CCB" w:rsidRPr="00E64559">
              <w:rPr>
                <w:rFonts w:ascii="PT Sans" w:hAnsi="PT Sans" w:cs="Times New Roman"/>
                <w:bCs/>
                <w:sz w:val="24"/>
                <w:szCs w:val="24"/>
              </w:rPr>
              <w:t>november 17</w:t>
            </w:r>
            <w:r w:rsidRPr="00E64559">
              <w:rPr>
                <w:rFonts w:ascii="PT Sans" w:hAnsi="PT Sans" w:cs="Times New Roman"/>
                <w:bCs/>
                <w:sz w:val="24"/>
                <w:szCs w:val="24"/>
              </w:rPr>
              <w:t xml:space="preserve">. péntek </w:t>
            </w:r>
            <w:r w:rsidR="00155CCB" w:rsidRPr="00E64559">
              <w:rPr>
                <w:rFonts w:ascii="PT Sans" w:hAnsi="PT Sans" w:cs="Times New Roman"/>
                <w:bCs/>
                <w:sz w:val="24"/>
                <w:szCs w:val="24"/>
              </w:rPr>
              <w:t>12</w:t>
            </w:r>
            <w:r w:rsidR="00E30C8D" w:rsidRPr="00E64559">
              <w:rPr>
                <w:rFonts w:ascii="PT Sans" w:hAnsi="PT Sans" w:cs="Times New Roman"/>
                <w:bCs/>
                <w:sz w:val="24"/>
                <w:szCs w:val="24"/>
              </w:rPr>
              <w:t>.00</w:t>
            </w:r>
            <w:r w:rsidRPr="00E64559">
              <w:rPr>
                <w:rFonts w:ascii="PT Sans" w:hAnsi="PT Sans" w:cs="Times New Roman"/>
                <w:bCs/>
                <w:sz w:val="24"/>
                <w:szCs w:val="24"/>
              </w:rPr>
              <w:t xml:space="preserve"> óra</w:t>
            </w:r>
          </w:p>
        </w:tc>
      </w:tr>
      <w:tr w:rsidR="0086770C" w:rsidRPr="00E64559" w:rsidTr="00BC18E5">
        <w:tc>
          <w:tcPr>
            <w:tcW w:w="1696" w:type="dxa"/>
          </w:tcPr>
          <w:p w:rsidR="00497FEE" w:rsidRPr="00E64559" w:rsidRDefault="00497FEE" w:rsidP="005E3DDE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FEE" w:rsidRPr="00E64559" w:rsidRDefault="00497FEE" w:rsidP="005E3DDE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Doktorandusz</w:t>
            </w:r>
          </w:p>
        </w:tc>
        <w:tc>
          <w:tcPr>
            <w:tcW w:w="2410" w:type="dxa"/>
          </w:tcPr>
          <w:p w:rsidR="00497FEE" w:rsidRPr="00E64559" w:rsidRDefault="00497FEE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  <w:t>Témavezető:</w:t>
            </w:r>
          </w:p>
        </w:tc>
        <w:tc>
          <w:tcPr>
            <w:tcW w:w="7938" w:type="dxa"/>
          </w:tcPr>
          <w:p w:rsidR="00497FEE" w:rsidRPr="00E64559" w:rsidRDefault="00497FEE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  <w:t>Előadás címe:</w:t>
            </w:r>
          </w:p>
        </w:tc>
      </w:tr>
      <w:tr w:rsidR="00E64559" w:rsidRPr="00E64559" w:rsidTr="00BC18E5">
        <w:tc>
          <w:tcPr>
            <w:tcW w:w="1696" w:type="dxa"/>
          </w:tcPr>
          <w:p w:rsidR="00E64559" w:rsidRPr="00E64559" w:rsidRDefault="00E64559" w:rsidP="005E3DDE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Polgári Jog:</w:t>
            </w:r>
          </w:p>
        </w:tc>
        <w:tc>
          <w:tcPr>
            <w:tcW w:w="1985" w:type="dxa"/>
          </w:tcPr>
          <w:p w:rsidR="00E64559" w:rsidRPr="00E64559" w:rsidRDefault="00E64559" w:rsidP="005E3DDE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559" w:rsidRPr="00E64559" w:rsidRDefault="00E64559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7938" w:type="dxa"/>
          </w:tcPr>
          <w:p w:rsidR="00E64559" w:rsidRPr="00E64559" w:rsidRDefault="00E64559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A46E5B" w:rsidRPr="00E64559" w:rsidTr="003045C8">
        <w:tc>
          <w:tcPr>
            <w:tcW w:w="1696" w:type="dxa"/>
          </w:tcPr>
          <w:p w:rsidR="00A46E5B" w:rsidRPr="00E64559" w:rsidRDefault="00A46E5B" w:rsidP="003045C8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273345" w:rsidRPr="00E64559" w:rsidRDefault="00A46E5B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 xml:space="preserve">Badacsonyi </w:t>
            </w:r>
            <w:proofErr w:type="spellStart"/>
            <w:r w:rsidRPr="00E64559">
              <w:rPr>
                <w:rFonts w:ascii="PT Sans" w:hAnsi="PT Sans" w:cs="Times New Roman"/>
                <w:sz w:val="24"/>
                <w:szCs w:val="24"/>
              </w:rPr>
              <w:t>Tegza</w:t>
            </w:r>
            <w:proofErr w:type="spellEnd"/>
          </w:p>
        </w:tc>
        <w:tc>
          <w:tcPr>
            <w:tcW w:w="2410" w:type="dxa"/>
          </w:tcPr>
          <w:p w:rsidR="00A46E5B" w:rsidRPr="00E64559" w:rsidRDefault="00A46E5B" w:rsidP="003045C8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Landi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7938" w:type="dxa"/>
          </w:tcPr>
          <w:p w:rsidR="00A46E5B" w:rsidRPr="00E64559" w:rsidRDefault="00A46E5B" w:rsidP="003045C8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Tahoma"/>
                <w:sz w:val="24"/>
                <w:szCs w:val="24"/>
                <w:shd w:val="clear" w:color="auto" w:fill="FDFDFD"/>
              </w:rPr>
              <w:t>Fokozott védelemben részesülő jogalanyok a fogyasztóvédelemben.</w:t>
            </w:r>
          </w:p>
        </w:tc>
      </w:tr>
      <w:tr w:rsidR="002C64EA" w:rsidRPr="00E64559" w:rsidTr="00BC18E5">
        <w:tc>
          <w:tcPr>
            <w:tcW w:w="1696" w:type="dxa"/>
          </w:tcPr>
          <w:p w:rsidR="002C64EA" w:rsidRPr="00E64559" w:rsidRDefault="007B2FC7" w:rsidP="007B2FC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12.20</w:t>
            </w:r>
          </w:p>
        </w:tc>
        <w:tc>
          <w:tcPr>
            <w:tcW w:w="1985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Király Zsuzsanna</w:t>
            </w:r>
          </w:p>
        </w:tc>
        <w:tc>
          <w:tcPr>
            <w:tcW w:w="2410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Landi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7938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64EA" w:rsidRPr="00E64559" w:rsidTr="00BC18E5">
        <w:tc>
          <w:tcPr>
            <w:tcW w:w="1696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Nemzetközi közjog:</w:t>
            </w:r>
          </w:p>
        </w:tc>
        <w:tc>
          <w:tcPr>
            <w:tcW w:w="1985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7938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64EA" w:rsidRPr="00E64559" w:rsidTr="00BC18E5">
        <w:tc>
          <w:tcPr>
            <w:tcW w:w="1696" w:type="dxa"/>
          </w:tcPr>
          <w:p w:rsidR="002C64EA" w:rsidRPr="00E64559" w:rsidRDefault="002C64EA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12.</w:t>
            </w:r>
            <w:r w:rsidR="007B2FC7"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4</w:t>
            </w: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985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Galambosi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2410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Ádány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7938" w:type="dxa"/>
          </w:tcPr>
          <w:p w:rsidR="002C64EA" w:rsidRPr="00E64559" w:rsidRDefault="002C64EA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Tahoma"/>
                <w:bCs/>
                <w:sz w:val="24"/>
                <w:szCs w:val="24"/>
                <w:shd w:val="clear" w:color="auto" w:fill="FDFDFD"/>
              </w:rPr>
              <w:t>A terrorizmus elleni </w:t>
            </w:r>
            <w:r w:rsidRPr="00E64559">
              <w:rPr>
                <w:rStyle w:val="object"/>
                <w:rFonts w:ascii="PT Sans" w:hAnsi="PT Sans" w:cs="Tahoma"/>
                <w:bCs/>
                <w:sz w:val="24"/>
                <w:szCs w:val="24"/>
                <w:shd w:val="clear" w:color="auto" w:fill="FDFDFD"/>
              </w:rPr>
              <w:t>k</w:t>
            </w:r>
            <w:r w:rsidRPr="00E64559">
              <w:rPr>
                <w:rFonts w:ascii="PT Sans" w:hAnsi="PT Sans" w:cs="Tahoma"/>
                <w:bCs/>
                <w:sz w:val="24"/>
                <w:szCs w:val="24"/>
                <w:shd w:val="clear" w:color="auto" w:fill="FDFDFD"/>
              </w:rPr>
              <w:t>üzdelem legfőbb nemzetközi jogi kihívásai </w:t>
            </w:r>
          </w:p>
        </w:tc>
      </w:tr>
      <w:tr w:rsidR="00E64559" w:rsidRPr="00E64559" w:rsidTr="00BC18E5">
        <w:tc>
          <w:tcPr>
            <w:tcW w:w="1696" w:type="dxa"/>
          </w:tcPr>
          <w:p w:rsidR="00E64559" w:rsidRPr="00E64559" w:rsidRDefault="00E64559" w:rsidP="007B2FC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Büntetőjog:</w:t>
            </w:r>
          </w:p>
        </w:tc>
        <w:tc>
          <w:tcPr>
            <w:tcW w:w="1985" w:type="dxa"/>
          </w:tcPr>
          <w:p w:rsidR="00E64559" w:rsidRPr="00E64559" w:rsidRDefault="00E64559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64559" w:rsidRPr="00E64559" w:rsidRDefault="00E64559" w:rsidP="002C64E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38" w:type="dxa"/>
          </w:tcPr>
          <w:p w:rsidR="00E64559" w:rsidRPr="00E64559" w:rsidRDefault="00E64559" w:rsidP="002C64EA">
            <w:pPr>
              <w:shd w:val="clear" w:color="auto" w:fill="FFFFFF" w:themeFill="background1"/>
              <w:rPr>
                <w:rFonts w:ascii="PT Sans" w:hAnsi="PT Sans" w:cs="Tahoma"/>
                <w:b/>
                <w:bCs/>
                <w:sz w:val="24"/>
                <w:szCs w:val="24"/>
                <w:shd w:val="clear" w:color="auto" w:fill="FDFDFD"/>
              </w:rPr>
            </w:pPr>
          </w:p>
        </w:tc>
      </w:tr>
      <w:tr w:rsidR="00E64559" w:rsidRPr="00E64559" w:rsidTr="00BC18E5">
        <w:tc>
          <w:tcPr>
            <w:tcW w:w="1696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E64559">
              <w:rPr>
                <w:rFonts w:ascii="PT Sans" w:hAnsi="PT Sans" w:cs="Times New Roman"/>
                <w:sz w:val="24"/>
                <w:szCs w:val="24"/>
              </w:rPr>
              <w:t>Artner</w:t>
            </w:r>
            <w:proofErr w:type="spellEnd"/>
            <w:r w:rsidRPr="00E64559">
              <w:rPr>
                <w:rFonts w:ascii="PT Sans" w:hAnsi="PT Sans" w:cs="Times New Roman"/>
                <w:sz w:val="24"/>
                <w:szCs w:val="24"/>
              </w:rPr>
              <w:t xml:space="preserve"> Péter</w:t>
            </w:r>
          </w:p>
        </w:tc>
        <w:tc>
          <w:tcPr>
            <w:tcW w:w="2410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Békés Ádám</w:t>
            </w:r>
          </w:p>
        </w:tc>
        <w:tc>
          <w:tcPr>
            <w:tcW w:w="7938" w:type="dxa"/>
          </w:tcPr>
          <w:p w:rsidR="00E64559" w:rsidRPr="00E64559" w:rsidRDefault="00E64559" w:rsidP="00E64559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/>
                <w:sz w:val="24"/>
                <w:szCs w:val="24"/>
                <w:shd w:val="clear" w:color="auto" w:fill="FDFDFD"/>
              </w:rPr>
              <w:t>"Tevékeny megbánás és őszinte bűnbánat" - a büntetéstől való mentesülés egy lehetősége az állami és az egyházi büntetőjogban.</w:t>
            </w:r>
          </w:p>
        </w:tc>
      </w:tr>
      <w:tr w:rsidR="00E64559" w:rsidRPr="00E64559" w:rsidTr="00BC18E5">
        <w:tc>
          <w:tcPr>
            <w:tcW w:w="1696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13.20</w:t>
            </w:r>
          </w:p>
        </w:tc>
        <w:tc>
          <w:tcPr>
            <w:tcW w:w="1985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E64559">
              <w:rPr>
                <w:rFonts w:ascii="PT Sans" w:hAnsi="PT Sans" w:cs="Times New Roman"/>
                <w:sz w:val="24"/>
                <w:szCs w:val="24"/>
              </w:rPr>
              <w:t>Forstner</w:t>
            </w:r>
            <w:proofErr w:type="spellEnd"/>
            <w:r w:rsidRPr="00E64559">
              <w:rPr>
                <w:rFonts w:ascii="PT Sans" w:hAnsi="PT Sans" w:cs="Times New Roman"/>
                <w:sz w:val="24"/>
                <w:szCs w:val="24"/>
              </w:rPr>
              <w:t xml:space="preserve"> Róbert</w:t>
            </w:r>
          </w:p>
        </w:tc>
        <w:tc>
          <w:tcPr>
            <w:tcW w:w="2410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Molnár Gábor</w:t>
            </w:r>
          </w:p>
        </w:tc>
        <w:tc>
          <w:tcPr>
            <w:tcW w:w="7938" w:type="dxa"/>
          </w:tcPr>
          <w:p w:rsidR="00E64559" w:rsidRPr="00E64559" w:rsidRDefault="00E64559" w:rsidP="00E64559">
            <w:pPr>
              <w:rPr>
                <w:rFonts w:ascii="PT Sans" w:hAnsi="PT Sans"/>
                <w:sz w:val="24"/>
                <w:szCs w:val="24"/>
                <w:shd w:val="clear" w:color="auto" w:fill="FDFDFD"/>
              </w:rPr>
            </w:pPr>
            <w:r w:rsidRPr="00E64559">
              <w:rPr>
                <w:rFonts w:ascii="PT Sans" w:hAnsi="PT Sans" w:cs="Tahoma"/>
                <w:bCs/>
                <w:iCs/>
                <w:sz w:val="24"/>
                <w:szCs w:val="24"/>
                <w:shd w:val="clear" w:color="auto" w:fill="FDFDFD"/>
              </w:rPr>
              <w:t>"A büntetés-végrehajtás átadásának és átvételének megjelenése az Európai Bűnügyi Együttmű</w:t>
            </w:r>
            <w:r w:rsidRPr="00E64559">
              <w:rPr>
                <w:rStyle w:val="object"/>
                <w:rFonts w:ascii="PT Sans" w:hAnsi="PT Sans" w:cs="Tahoma"/>
                <w:bCs/>
                <w:iCs/>
                <w:sz w:val="24"/>
                <w:szCs w:val="24"/>
                <w:shd w:val="clear" w:color="auto" w:fill="FDFDFD"/>
              </w:rPr>
              <w:t>k</w:t>
            </w:r>
            <w:r w:rsidRPr="00E64559">
              <w:rPr>
                <w:rFonts w:ascii="PT Sans" w:hAnsi="PT Sans" w:cs="Tahoma"/>
                <w:bCs/>
                <w:iCs/>
                <w:sz w:val="24"/>
                <w:szCs w:val="24"/>
                <w:shd w:val="clear" w:color="auto" w:fill="FDFDFD"/>
              </w:rPr>
              <w:t>ödés tükrében".</w:t>
            </w:r>
          </w:p>
        </w:tc>
      </w:tr>
      <w:tr w:rsidR="00E64559" w:rsidRPr="00E64559" w:rsidTr="00BC18E5">
        <w:tc>
          <w:tcPr>
            <w:tcW w:w="1696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Jogtörténet:</w:t>
            </w:r>
          </w:p>
        </w:tc>
        <w:tc>
          <w:tcPr>
            <w:tcW w:w="1985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38" w:type="dxa"/>
          </w:tcPr>
          <w:p w:rsidR="00E64559" w:rsidRPr="00E64559" w:rsidRDefault="00E64559" w:rsidP="00E64559">
            <w:pPr>
              <w:rPr>
                <w:rFonts w:ascii="PT Sans" w:hAnsi="PT Sans" w:cs="Tahoma"/>
                <w:bCs/>
                <w:iCs/>
                <w:sz w:val="24"/>
                <w:szCs w:val="24"/>
                <w:shd w:val="clear" w:color="auto" w:fill="FDFDFD"/>
              </w:rPr>
            </w:pPr>
          </w:p>
        </w:tc>
      </w:tr>
      <w:tr w:rsidR="00E64559" w:rsidRPr="00E64559" w:rsidTr="00BC18E5">
        <w:tc>
          <w:tcPr>
            <w:tcW w:w="1696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13.40</w:t>
            </w:r>
          </w:p>
        </w:tc>
        <w:tc>
          <w:tcPr>
            <w:tcW w:w="1985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E64559">
              <w:rPr>
                <w:rFonts w:ascii="PT Sans" w:hAnsi="PT Sans" w:cs="Arial"/>
                <w:sz w:val="24"/>
                <w:szCs w:val="24"/>
                <w:shd w:val="clear" w:color="auto" w:fill="FFFFFF"/>
              </w:rPr>
              <w:t>Krasić</w:t>
            </w:r>
            <w:proofErr w:type="spellEnd"/>
            <w:r w:rsidRPr="00E64559">
              <w:rPr>
                <w:rFonts w:ascii="PT Sans" w:hAnsi="PT Sans" w:cs="Arial"/>
                <w:sz w:val="24"/>
                <w:szCs w:val="24"/>
                <w:shd w:val="clear" w:color="auto" w:fill="FFFFFF"/>
              </w:rPr>
              <w:t xml:space="preserve"> Katarina</w:t>
            </w:r>
          </w:p>
        </w:tc>
        <w:tc>
          <w:tcPr>
            <w:tcW w:w="2410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Komáromi László</w:t>
            </w:r>
          </w:p>
        </w:tc>
        <w:tc>
          <w:tcPr>
            <w:tcW w:w="7938" w:type="dxa"/>
          </w:tcPr>
          <w:p w:rsidR="00E64559" w:rsidRPr="00E64559" w:rsidRDefault="00E64559" w:rsidP="00E64559">
            <w:pPr>
              <w:rPr>
                <w:rFonts w:ascii="PT Sans" w:hAnsi="PT Sans" w:cs="Tahoma"/>
                <w:bCs/>
                <w:iCs/>
                <w:sz w:val="24"/>
                <w:szCs w:val="24"/>
                <w:shd w:val="clear" w:color="auto" w:fill="FDFDFD"/>
              </w:rPr>
            </w:pP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Legal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and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philosophical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assumptions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for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determining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the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legal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status of human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embryo</w:t>
            </w:r>
            <w:proofErr w:type="spellEnd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 xml:space="preserve"> and </w:t>
            </w:r>
            <w:proofErr w:type="spellStart"/>
            <w:r w:rsidRPr="00E64559">
              <w:rPr>
                <w:rFonts w:ascii="PT Sans" w:hAnsi="PT Sans" w:cs="Segoe UI"/>
                <w:sz w:val="24"/>
                <w:szCs w:val="24"/>
                <w:shd w:val="clear" w:color="auto" w:fill="FDFCFA"/>
              </w:rPr>
              <w:t>fetus</w:t>
            </w:r>
            <w:proofErr w:type="spellEnd"/>
          </w:p>
        </w:tc>
      </w:tr>
      <w:tr w:rsidR="00E64559" w:rsidRPr="00E64559" w:rsidTr="00CC09B1">
        <w:tc>
          <w:tcPr>
            <w:tcW w:w="1696" w:type="dxa"/>
          </w:tcPr>
          <w:p w:rsidR="00E64559" w:rsidRPr="00E64559" w:rsidRDefault="00746D17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Pénzügyi jog</w:t>
            </w:r>
          </w:p>
        </w:tc>
        <w:tc>
          <w:tcPr>
            <w:tcW w:w="1985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64559" w:rsidRPr="00E64559" w:rsidRDefault="00E64559" w:rsidP="00E64559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E64559" w:rsidRPr="00E64559" w:rsidRDefault="00E64559" w:rsidP="00E64559">
            <w:pPr>
              <w:shd w:val="clear" w:color="auto" w:fill="FFFFFF" w:themeFill="background1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746D17" w:rsidRPr="00E64559" w:rsidTr="00CC09B1">
        <w:tc>
          <w:tcPr>
            <w:tcW w:w="1696" w:type="dxa"/>
          </w:tcPr>
          <w:p w:rsidR="00746D17" w:rsidRPr="00746D17" w:rsidRDefault="00746D17" w:rsidP="00746D1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746D17" w:rsidRPr="00E64559" w:rsidRDefault="00746D17" w:rsidP="00746D1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Butor</w:t>
            </w:r>
            <w:proofErr w:type="spell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2410" w:type="dxa"/>
          </w:tcPr>
          <w:p w:rsidR="00746D17" w:rsidRPr="00E64559" w:rsidRDefault="00746D17" w:rsidP="00746D1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Halász Zsolt</w:t>
            </w:r>
          </w:p>
        </w:tc>
        <w:tc>
          <w:tcPr>
            <w:tcW w:w="7938" w:type="dxa"/>
            <w:shd w:val="clear" w:color="auto" w:fill="FFFFFF" w:themeFill="background1"/>
          </w:tcPr>
          <w:p w:rsidR="00746D17" w:rsidRPr="00E64559" w:rsidRDefault="00746D17" w:rsidP="00746D17">
            <w:pPr>
              <w:shd w:val="clear" w:color="auto" w:fill="FFFFFF" w:themeFill="background1"/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  <w:r w:rsidRPr="00E64559">
              <w:rPr>
                <w:rFonts w:ascii="PT Sans" w:hAnsi="PT Sans" w:cs="Arial"/>
                <w:color w:val="000000"/>
                <w:sz w:val="24"/>
                <w:szCs w:val="24"/>
                <w:shd w:val="clear" w:color="auto" w:fill="FDFDFD"/>
              </w:rPr>
              <w:t>A pénzforgalmi szolgáltatások áfa kezelése kapcsán felmerülő egyes </w:t>
            </w:r>
            <w:r w:rsidRPr="00E64559">
              <w:rPr>
                <w:rStyle w:val="object"/>
                <w:rFonts w:ascii="PT Sans" w:hAnsi="PT Sans" w:cs="Arial"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E64559">
              <w:rPr>
                <w:rFonts w:ascii="PT Sans" w:hAnsi="PT Sans" w:cs="Arial"/>
                <w:color w:val="000000"/>
                <w:sz w:val="24"/>
                <w:szCs w:val="24"/>
                <w:shd w:val="clear" w:color="auto" w:fill="FDFDFD"/>
              </w:rPr>
              <w:t>érdések</w:t>
            </w:r>
          </w:p>
        </w:tc>
      </w:tr>
      <w:tr w:rsidR="00FD7773" w:rsidRPr="00E64559" w:rsidTr="00CC09B1">
        <w:tc>
          <w:tcPr>
            <w:tcW w:w="1696" w:type="dxa"/>
          </w:tcPr>
          <w:p w:rsidR="00FD7773" w:rsidRDefault="00FD7773" w:rsidP="00746D17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i/>
                <w:sz w:val="24"/>
                <w:szCs w:val="24"/>
              </w:rPr>
              <w:t>Nemzetközi magánjog:</w:t>
            </w:r>
          </w:p>
        </w:tc>
        <w:tc>
          <w:tcPr>
            <w:tcW w:w="1985" w:type="dxa"/>
          </w:tcPr>
          <w:p w:rsidR="00FD7773" w:rsidRPr="00E64559" w:rsidRDefault="00FD7773" w:rsidP="00746D1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FD7773" w:rsidRPr="00E64559" w:rsidRDefault="00FD7773" w:rsidP="00746D17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FD7773" w:rsidRPr="00E64559" w:rsidRDefault="00FD7773" w:rsidP="00746D17">
            <w:pPr>
              <w:shd w:val="clear" w:color="auto" w:fill="FFFFFF" w:themeFill="background1"/>
              <w:rPr>
                <w:rFonts w:ascii="PT Sans" w:hAnsi="PT Sans" w:cs="Arial"/>
                <w:color w:val="000000"/>
                <w:sz w:val="24"/>
                <w:szCs w:val="24"/>
                <w:shd w:val="clear" w:color="auto" w:fill="FDFDFD"/>
              </w:rPr>
            </w:pPr>
          </w:p>
        </w:tc>
      </w:tr>
      <w:tr w:rsidR="00FD7773" w:rsidRPr="00E64559" w:rsidTr="00CC09B1">
        <w:tc>
          <w:tcPr>
            <w:tcW w:w="1696" w:type="dxa"/>
          </w:tcPr>
          <w:p w:rsidR="00FD7773" w:rsidRDefault="00FD7773" w:rsidP="00FD7773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14.20</w:t>
            </w:r>
          </w:p>
        </w:tc>
        <w:tc>
          <w:tcPr>
            <w:tcW w:w="1985" w:type="dxa"/>
          </w:tcPr>
          <w:p w:rsidR="00FD7773" w:rsidRPr="00E64559" w:rsidRDefault="00FD7773" w:rsidP="00FD7773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  <w:r w:rsidRPr="00E64559">
              <w:rPr>
                <w:rFonts w:ascii="PT Sans" w:hAnsi="PT Sans" w:cs="Times New Roman"/>
                <w:sz w:val="24"/>
                <w:szCs w:val="24"/>
              </w:rPr>
              <w:t>Bencsik Imola</w:t>
            </w:r>
          </w:p>
        </w:tc>
        <w:tc>
          <w:tcPr>
            <w:tcW w:w="2410" w:type="dxa"/>
          </w:tcPr>
          <w:p w:rsidR="00FD7773" w:rsidRPr="00E64559" w:rsidRDefault="00FD7773" w:rsidP="00FD7773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Burián László </w:t>
            </w:r>
          </w:p>
        </w:tc>
        <w:tc>
          <w:tcPr>
            <w:tcW w:w="7938" w:type="dxa"/>
            <w:shd w:val="clear" w:color="auto" w:fill="FFFFFF" w:themeFill="background1"/>
          </w:tcPr>
          <w:p w:rsidR="00FD7773" w:rsidRPr="00E64559" w:rsidRDefault="00FD7773" w:rsidP="00FD7773">
            <w:pPr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hu-HU"/>
              </w:rPr>
            </w:pPr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A nyelvi </w:t>
            </w:r>
            <w:proofErr w:type="gramStart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aspektusok</w:t>
            </w:r>
            <w:proofErr w:type="gramEnd"/>
            <w:r w:rsidRPr="00E6455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relevanciája a nemzetközi kereskedelmi választottbírósági eljárásokban</w:t>
            </w:r>
          </w:p>
        </w:tc>
      </w:tr>
    </w:tbl>
    <w:p w:rsidR="009B5C4C" w:rsidRPr="00E64559" w:rsidRDefault="009B5C4C" w:rsidP="005E3DDE">
      <w:pPr>
        <w:shd w:val="clear" w:color="auto" w:fill="FFFFFF" w:themeFill="background1"/>
        <w:spacing w:after="0" w:line="240" w:lineRule="auto"/>
        <w:rPr>
          <w:rFonts w:ascii="PT Sans" w:hAnsi="PT Sans"/>
          <w:sz w:val="24"/>
          <w:szCs w:val="24"/>
        </w:rPr>
      </w:pPr>
    </w:p>
    <w:sectPr w:rsidR="009B5C4C" w:rsidRPr="00E64559" w:rsidSect="0031536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9"/>
    <w:rsid w:val="00014E16"/>
    <w:rsid w:val="00021B4B"/>
    <w:rsid w:val="00024CB0"/>
    <w:rsid w:val="00035072"/>
    <w:rsid w:val="0004597E"/>
    <w:rsid w:val="0005040B"/>
    <w:rsid w:val="00052812"/>
    <w:rsid w:val="00061447"/>
    <w:rsid w:val="00084BE0"/>
    <w:rsid w:val="000A0C1F"/>
    <w:rsid w:val="000B2DA4"/>
    <w:rsid w:val="000D0A58"/>
    <w:rsid w:val="000D1217"/>
    <w:rsid w:val="000E0548"/>
    <w:rsid w:val="00105A75"/>
    <w:rsid w:val="00115531"/>
    <w:rsid w:val="00147F15"/>
    <w:rsid w:val="00150871"/>
    <w:rsid w:val="00155CCB"/>
    <w:rsid w:val="001731A9"/>
    <w:rsid w:val="00183CEF"/>
    <w:rsid w:val="001C056D"/>
    <w:rsid w:val="001C6F79"/>
    <w:rsid w:val="001D6AE8"/>
    <w:rsid w:val="001F160D"/>
    <w:rsid w:val="002237C1"/>
    <w:rsid w:val="002242F4"/>
    <w:rsid w:val="00236D61"/>
    <w:rsid w:val="00270B20"/>
    <w:rsid w:val="00273345"/>
    <w:rsid w:val="00284854"/>
    <w:rsid w:val="00297721"/>
    <w:rsid w:val="002A2729"/>
    <w:rsid w:val="002B6606"/>
    <w:rsid w:val="002C3377"/>
    <w:rsid w:val="002C64EA"/>
    <w:rsid w:val="002E13A8"/>
    <w:rsid w:val="002F4884"/>
    <w:rsid w:val="0031536B"/>
    <w:rsid w:val="003202CE"/>
    <w:rsid w:val="0035235B"/>
    <w:rsid w:val="003600CA"/>
    <w:rsid w:val="00372A47"/>
    <w:rsid w:val="00375918"/>
    <w:rsid w:val="00380A52"/>
    <w:rsid w:val="00386B10"/>
    <w:rsid w:val="003975F1"/>
    <w:rsid w:val="003A25A0"/>
    <w:rsid w:val="003B06C6"/>
    <w:rsid w:val="003F0B31"/>
    <w:rsid w:val="003F191B"/>
    <w:rsid w:val="003F2646"/>
    <w:rsid w:val="00404FE3"/>
    <w:rsid w:val="0040677E"/>
    <w:rsid w:val="0042198D"/>
    <w:rsid w:val="00446979"/>
    <w:rsid w:val="00450594"/>
    <w:rsid w:val="00453D12"/>
    <w:rsid w:val="00497FEE"/>
    <w:rsid w:val="004D1564"/>
    <w:rsid w:val="00501D9F"/>
    <w:rsid w:val="0051449F"/>
    <w:rsid w:val="00520A04"/>
    <w:rsid w:val="00561CF8"/>
    <w:rsid w:val="0056728F"/>
    <w:rsid w:val="00577189"/>
    <w:rsid w:val="00586E7D"/>
    <w:rsid w:val="005A1164"/>
    <w:rsid w:val="005B4EE7"/>
    <w:rsid w:val="005E3DDE"/>
    <w:rsid w:val="005F7D42"/>
    <w:rsid w:val="00606E4E"/>
    <w:rsid w:val="00611C8F"/>
    <w:rsid w:val="00612D94"/>
    <w:rsid w:val="0062781F"/>
    <w:rsid w:val="00635047"/>
    <w:rsid w:val="006352EA"/>
    <w:rsid w:val="006363FD"/>
    <w:rsid w:val="006509B7"/>
    <w:rsid w:val="00676CA8"/>
    <w:rsid w:val="006934E5"/>
    <w:rsid w:val="006A1800"/>
    <w:rsid w:val="006D1023"/>
    <w:rsid w:val="006E2BF9"/>
    <w:rsid w:val="007040C1"/>
    <w:rsid w:val="00707B74"/>
    <w:rsid w:val="007210D0"/>
    <w:rsid w:val="007241DF"/>
    <w:rsid w:val="00746D17"/>
    <w:rsid w:val="0075393F"/>
    <w:rsid w:val="00755528"/>
    <w:rsid w:val="007716D7"/>
    <w:rsid w:val="00776A0E"/>
    <w:rsid w:val="007A11DF"/>
    <w:rsid w:val="007B2FC7"/>
    <w:rsid w:val="007D16AB"/>
    <w:rsid w:val="007F501A"/>
    <w:rsid w:val="0083046D"/>
    <w:rsid w:val="008352DA"/>
    <w:rsid w:val="00861CB0"/>
    <w:rsid w:val="0086770C"/>
    <w:rsid w:val="00893947"/>
    <w:rsid w:val="008B182F"/>
    <w:rsid w:val="008D2FE6"/>
    <w:rsid w:val="008F734A"/>
    <w:rsid w:val="009101FA"/>
    <w:rsid w:val="00914645"/>
    <w:rsid w:val="0092681C"/>
    <w:rsid w:val="00946055"/>
    <w:rsid w:val="00951BC2"/>
    <w:rsid w:val="009829AC"/>
    <w:rsid w:val="009A11CD"/>
    <w:rsid w:val="009B5C4C"/>
    <w:rsid w:val="009C19D1"/>
    <w:rsid w:val="009D4971"/>
    <w:rsid w:val="009E670B"/>
    <w:rsid w:val="00A02AA2"/>
    <w:rsid w:val="00A02CC1"/>
    <w:rsid w:val="00A2619E"/>
    <w:rsid w:val="00A36C6E"/>
    <w:rsid w:val="00A46E5B"/>
    <w:rsid w:val="00A56785"/>
    <w:rsid w:val="00AA100F"/>
    <w:rsid w:val="00AC4DAA"/>
    <w:rsid w:val="00B27F55"/>
    <w:rsid w:val="00B35B6A"/>
    <w:rsid w:val="00B90D41"/>
    <w:rsid w:val="00B9198E"/>
    <w:rsid w:val="00BC38CD"/>
    <w:rsid w:val="00BD4735"/>
    <w:rsid w:val="00C04162"/>
    <w:rsid w:val="00C04E21"/>
    <w:rsid w:val="00C119EF"/>
    <w:rsid w:val="00C138A7"/>
    <w:rsid w:val="00C65658"/>
    <w:rsid w:val="00CC09B1"/>
    <w:rsid w:val="00CC4FE5"/>
    <w:rsid w:val="00CC593C"/>
    <w:rsid w:val="00D472AC"/>
    <w:rsid w:val="00D5370A"/>
    <w:rsid w:val="00D56CCB"/>
    <w:rsid w:val="00D713AD"/>
    <w:rsid w:val="00D8149D"/>
    <w:rsid w:val="00D83714"/>
    <w:rsid w:val="00D85736"/>
    <w:rsid w:val="00D931FA"/>
    <w:rsid w:val="00D9346F"/>
    <w:rsid w:val="00D949CA"/>
    <w:rsid w:val="00DA4DB9"/>
    <w:rsid w:val="00DB07E4"/>
    <w:rsid w:val="00DB23BA"/>
    <w:rsid w:val="00DC2C85"/>
    <w:rsid w:val="00DC6A66"/>
    <w:rsid w:val="00DD62CC"/>
    <w:rsid w:val="00DD66E7"/>
    <w:rsid w:val="00E20789"/>
    <w:rsid w:val="00E30C8D"/>
    <w:rsid w:val="00E34895"/>
    <w:rsid w:val="00E35F68"/>
    <w:rsid w:val="00E36B79"/>
    <w:rsid w:val="00E4577B"/>
    <w:rsid w:val="00E64559"/>
    <w:rsid w:val="00E77AA7"/>
    <w:rsid w:val="00EA3CF1"/>
    <w:rsid w:val="00EC4BF9"/>
    <w:rsid w:val="00ED5F74"/>
    <w:rsid w:val="00EF1D14"/>
    <w:rsid w:val="00F148CE"/>
    <w:rsid w:val="00F33508"/>
    <w:rsid w:val="00F67EDB"/>
    <w:rsid w:val="00F81E00"/>
    <w:rsid w:val="00F933E3"/>
    <w:rsid w:val="00FA034A"/>
    <w:rsid w:val="00FB004D"/>
    <w:rsid w:val="00FB7729"/>
    <w:rsid w:val="00FD0CE9"/>
    <w:rsid w:val="00FD7773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0F9F-B831-4755-B188-5A0218A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7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D5370A"/>
  </w:style>
  <w:style w:type="character" w:customStyle="1" w:styleId="contentpasted0">
    <w:name w:val="contentpasted0"/>
    <w:basedOn w:val="Bekezdsalapbettpusa"/>
    <w:rsid w:val="0098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33</cp:revision>
  <cp:lastPrinted>2023-11-16T07:54:00Z</cp:lastPrinted>
  <dcterms:created xsi:type="dcterms:W3CDTF">2023-10-13T06:11:00Z</dcterms:created>
  <dcterms:modified xsi:type="dcterms:W3CDTF">2024-05-03T07:38:00Z</dcterms:modified>
</cp:coreProperties>
</file>