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78152" w14:textId="3C3B38CC" w:rsidR="002B66D4" w:rsidRDefault="002B66D4" w:rsidP="002B66D4">
      <w:pPr>
        <w:ind w:left="720" w:hanging="360"/>
        <w:jc w:val="center"/>
      </w:pPr>
      <w:r>
        <w:t>Lehetséges témakörök a diplomamunkához</w:t>
      </w:r>
    </w:p>
    <w:p w14:paraId="2D54406E" w14:textId="77777777" w:rsidR="002B66D4" w:rsidRDefault="002B66D4" w:rsidP="002B66D4">
      <w:pPr>
        <w:ind w:left="720" w:hanging="360"/>
        <w:jc w:val="center"/>
      </w:pPr>
    </w:p>
    <w:p w14:paraId="7C6541FF" w14:textId="357F9EDC" w:rsidR="00560C70" w:rsidRPr="00560C70" w:rsidRDefault="002B66D4" w:rsidP="00560C70">
      <w:pPr>
        <w:pStyle w:val="Compact"/>
        <w:numPr>
          <w:ilvl w:val="0"/>
          <w:numId w:val="1"/>
        </w:numPr>
        <w:rPr>
          <w:lang w:val="hu-HU"/>
        </w:rPr>
      </w:pPr>
      <w:r>
        <w:rPr>
          <w:lang w:val="hu-HU"/>
        </w:rPr>
        <w:t>S</w:t>
      </w:r>
      <w:r w:rsidR="00560C70" w:rsidRPr="00560C70">
        <w:rPr>
          <w:lang w:val="hu-HU"/>
        </w:rPr>
        <w:t xml:space="preserve">zerződéskötés digitális </w:t>
      </w:r>
      <w:r w:rsidR="00560C70">
        <w:rPr>
          <w:lang w:val="hu-HU"/>
        </w:rPr>
        <w:t>„</w:t>
      </w:r>
      <w:r w:rsidR="00560C70" w:rsidRPr="00560C70">
        <w:rPr>
          <w:lang w:val="hu-HU"/>
        </w:rPr>
        <w:t>körülmények” között</w:t>
      </w:r>
    </w:p>
    <w:p w14:paraId="53A1C753" w14:textId="173305CD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A szerződésszegés jogkövetkezményei</w:t>
      </w:r>
    </w:p>
    <w:p w14:paraId="0068A661" w14:textId="6CE4C250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A</w:t>
      </w:r>
      <w:r>
        <w:rPr>
          <w:lang w:val="hu-HU"/>
        </w:rPr>
        <w:t xml:space="preserve"> szerződés</w:t>
      </w:r>
      <w:r w:rsidRPr="00560C70">
        <w:rPr>
          <w:lang w:val="hu-HU"/>
        </w:rPr>
        <w:t xml:space="preserve"> érvénytelenség</w:t>
      </w:r>
      <w:r>
        <w:rPr>
          <w:lang w:val="hu-HU"/>
        </w:rPr>
        <w:t>e</w:t>
      </w:r>
      <w:r w:rsidRPr="00560C70">
        <w:rPr>
          <w:lang w:val="hu-HU"/>
        </w:rPr>
        <w:t xml:space="preserve"> és jogkövetkezményei</w:t>
      </w:r>
    </w:p>
    <w:p w14:paraId="49C387F1" w14:textId="033BACCB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 xml:space="preserve">A </w:t>
      </w:r>
      <w:r w:rsidR="00FA5206">
        <w:rPr>
          <w:lang w:val="hu-HU"/>
        </w:rPr>
        <w:t xml:space="preserve">szerződésszegéssel okozott károkért való </w:t>
      </w:r>
      <w:r w:rsidRPr="00560C70">
        <w:rPr>
          <w:lang w:val="hu-HU"/>
        </w:rPr>
        <w:t>felelősség határai</w:t>
      </w:r>
      <w:r w:rsidRPr="00560C70">
        <w:rPr>
          <w:lang w:val="hu-HU"/>
        </w:rPr>
        <w:br/>
      </w:r>
    </w:p>
    <w:p w14:paraId="4FDA271A" w14:textId="77777777" w:rsid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 xml:space="preserve">A körülmények megváltozása és a szerződés </w:t>
      </w:r>
      <w:r>
        <w:rPr>
          <w:lang w:val="hu-HU"/>
        </w:rPr>
        <w:t>„</w:t>
      </w:r>
      <w:r w:rsidRPr="00560C70">
        <w:rPr>
          <w:lang w:val="hu-HU"/>
        </w:rPr>
        <w:t>kiigazítása”</w:t>
      </w:r>
    </w:p>
    <w:p w14:paraId="25E4BD71" w14:textId="2CD1CE07" w:rsidR="000C7681" w:rsidRDefault="000C7681" w:rsidP="00560C70">
      <w:pPr>
        <w:pStyle w:val="Compact"/>
        <w:numPr>
          <w:ilvl w:val="0"/>
          <w:numId w:val="1"/>
        </w:numPr>
        <w:rPr>
          <w:lang w:val="hu-HU"/>
        </w:rPr>
      </w:pPr>
      <w:r>
        <w:rPr>
          <w:lang w:val="hu-HU"/>
        </w:rPr>
        <w:t>Rendelkezés a követelésről, követelésátruházás (engedményezés) mint „alábecsült” intézmény; az engedményezés összehasonlító jogi megközelítésben</w:t>
      </w:r>
    </w:p>
    <w:p w14:paraId="482EDDE5" w14:textId="0A1B07BC" w:rsidR="00FA5206" w:rsidRDefault="00FA5206" w:rsidP="00560C70">
      <w:pPr>
        <w:pStyle w:val="Compact"/>
        <w:numPr>
          <w:ilvl w:val="0"/>
          <w:numId w:val="1"/>
        </w:numPr>
        <w:rPr>
          <w:lang w:val="hu-HU"/>
        </w:rPr>
      </w:pPr>
      <w:r>
        <w:rPr>
          <w:lang w:val="hu-HU"/>
        </w:rPr>
        <w:t xml:space="preserve">Szerződésen kívüli kárfelelősség speciális esetei </w:t>
      </w:r>
      <w:r w:rsidR="00DD1ED8">
        <w:rPr>
          <w:lang w:val="hu-HU"/>
        </w:rPr>
        <w:t>(pl. állam kárfelelőssége</w:t>
      </w:r>
      <w:r w:rsidR="002B66D4">
        <w:rPr>
          <w:lang w:val="hu-HU"/>
        </w:rPr>
        <w:t xml:space="preserve"> a jogalkotással okozott kárért</w:t>
      </w:r>
      <w:r w:rsidR="00DD1ED8">
        <w:rPr>
          <w:lang w:val="hu-HU"/>
        </w:rPr>
        <w:t>)</w:t>
      </w:r>
    </w:p>
    <w:p w14:paraId="3F2151FD" w14:textId="798A42BA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A jogalap nélküli gazdagodás dogmatikája összehasonlító jogi megközelítésben</w:t>
      </w:r>
      <w:r w:rsidRPr="00560C70">
        <w:rPr>
          <w:lang w:val="hu-HU"/>
        </w:rPr>
        <w:br/>
      </w:r>
    </w:p>
    <w:p w14:paraId="7C5338D7" w14:textId="77777777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A tulajdonátruházás rendszerei összehasonlító jogi megközelítésben (a birtok szerepe, nem tulajdonostól való tulajdonszerzés, a tulajdonjog-fenntartás helye)</w:t>
      </w:r>
      <w:r w:rsidRPr="00560C70">
        <w:rPr>
          <w:lang w:val="hu-HU"/>
        </w:rPr>
        <w:br/>
      </w:r>
    </w:p>
    <w:p w14:paraId="1FB87975" w14:textId="28C9F412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 xml:space="preserve">A zálogjog és más dologi biztosítékok összehasonlító </w:t>
      </w:r>
      <w:r>
        <w:rPr>
          <w:lang w:val="hu-HU"/>
        </w:rPr>
        <w:t>jogi</w:t>
      </w:r>
      <w:r w:rsidRPr="00560C70">
        <w:rPr>
          <w:lang w:val="hu-HU"/>
        </w:rPr>
        <w:t xml:space="preserve"> elemzése</w:t>
      </w:r>
    </w:p>
    <w:p w14:paraId="03183FF8" w14:textId="77777777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A digitális tartalomra és digitális szolgáltatásokra irányuló szerződések</w:t>
      </w:r>
      <w:r w:rsidRPr="00560C70">
        <w:rPr>
          <w:lang w:val="hu-HU"/>
        </w:rPr>
        <w:br/>
      </w:r>
    </w:p>
    <w:p w14:paraId="545AC4FD" w14:textId="77777777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A tisztességtelen szerződési feltételek kontrollja az uniós és nemzeti magánjogban</w:t>
      </w:r>
      <w:r w:rsidRPr="00560C70">
        <w:rPr>
          <w:lang w:val="hu-HU"/>
        </w:rPr>
        <w:br/>
      </w:r>
    </w:p>
    <w:p w14:paraId="39440B15" w14:textId="77777777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A fogyasztói adásvétel az uniós magánjogban</w:t>
      </w:r>
      <w:r w:rsidRPr="00560C70">
        <w:rPr>
          <w:lang w:val="hu-HU"/>
        </w:rPr>
        <w:br/>
      </w:r>
    </w:p>
    <w:p w14:paraId="026A0810" w14:textId="646EFF20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 xml:space="preserve">Az adatgazdaság magánjogi architektúrája: az </w:t>
      </w:r>
      <w:r>
        <w:rPr>
          <w:lang w:val="hu-HU"/>
        </w:rPr>
        <w:t>„</w:t>
      </w:r>
      <w:r w:rsidRPr="00560C70">
        <w:rPr>
          <w:lang w:val="hu-HU"/>
        </w:rPr>
        <w:t>adattulajdon” kérdése a</w:t>
      </w:r>
      <w:r>
        <w:rPr>
          <w:lang w:val="hu-HU"/>
        </w:rPr>
        <w:t>z Adatrendelet (</w:t>
      </w:r>
      <w:r w:rsidRPr="00560C70">
        <w:rPr>
          <w:lang w:val="hu-HU"/>
        </w:rPr>
        <w:t>Data Act</w:t>
      </w:r>
      <w:r>
        <w:rPr>
          <w:lang w:val="hu-HU"/>
        </w:rPr>
        <w:t>)</w:t>
      </w:r>
      <w:r w:rsidRPr="00560C70">
        <w:rPr>
          <w:lang w:val="hu-HU"/>
        </w:rPr>
        <w:t xml:space="preserve"> és a</w:t>
      </w:r>
      <w:r>
        <w:rPr>
          <w:lang w:val="hu-HU"/>
        </w:rPr>
        <w:t>z Adatvédelmi rendelet (GDPR) alapulvételével</w:t>
      </w:r>
      <w:r w:rsidRPr="00560C70">
        <w:rPr>
          <w:lang w:val="hu-HU"/>
        </w:rPr>
        <w:t>, a szerződése</w:t>
      </w:r>
      <w:r>
        <w:rPr>
          <w:lang w:val="hu-HU"/>
        </w:rPr>
        <w:t xml:space="preserve">k </w:t>
      </w:r>
      <w:r w:rsidRPr="00560C70">
        <w:rPr>
          <w:lang w:val="hu-HU"/>
        </w:rPr>
        <w:t>szerepe</w:t>
      </w:r>
      <w:r w:rsidRPr="00560C70">
        <w:rPr>
          <w:lang w:val="hu-HU"/>
        </w:rPr>
        <w:br/>
      </w:r>
    </w:p>
    <w:p w14:paraId="38C402B6" w14:textId="77777777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A digitalizáció és adatgazdaság nemzetközi magánjogi kérdései</w:t>
      </w:r>
      <w:r w:rsidRPr="00560C70">
        <w:rPr>
          <w:lang w:val="hu-HU"/>
        </w:rPr>
        <w:br/>
      </w:r>
    </w:p>
    <w:p w14:paraId="52A8E319" w14:textId="77777777" w:rsidR="00560C70" w:rsidRP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Tokenizáció mint a digitalizált vagyoni forgalom dologi joga</w:t>
      </w:r>
      <w:r w:rsidRPr="00560C70">
        <w:rPr>
          <w:lang w:val="hu-HU"/>
        </w:rPr>
        <w:br/>
      </w:r>
    </w:p>
    <w:p w14:paraId="341D24E7" w14:textId="77777777" w:rsidR="00560C70" w:rsidRDefault="00560C70" w:rsidP="00560C70">
      <w:pPr>
        <w:pStyle w:val="Compact"/>
        <w:numPr>
          <w:ilvl w:val="0"/>
          <w:numId w:val="1"/>
        </w:numPr>
        <w:rPr>
          <w:lang w:val="hu-HU"/>
        </w:rPr>
      </w:pPr>
      <w:r w:rsidRPr="00560C70">
        <w:rPr>
          <w:lang w:val="hu-HU"/>
        </w:rPr>
        <w:t>Mesterséges intelligencia (autonóm rendszerek) és magánjogi felelősség</w:t>
      </w:r>
    </w:p>
    <w:p w14:paraId="4A7C0F0E" w14:textId="77777777" w:rsidR="002B66D4" w:rsidRDefault="002B66D4" w:rsidP="002B66D4">
      <w:pPr>
        <w:pStyle w:val="Compact"/>
        <w:ind w:left="720"/>
        <w:rPr>
          <w:lang w:val="hu-HU"/>
        </w:rPr>
      </w:pPr>
    </w:p>
    <w:p w14:paraId="1962558B" w14:textId="77777777" w:rsidR="002B66D4" w:rsidRPr="002B66D4" w:rsidRDefault="002B66D4" w:rsidP="002B66D4">
      <w:pPr>
        <w:pStyle w:val="Compact"/>
        <w:numPr>
          <w:ilvl w:val="0"/>
          <w:numId w:val="1"/>
        </w:numPr>
        <w:rPr>
          <w:lang w:val="hu-HU"/>
        </w:rPr>
      </w:pPr>
      <w:r w:rsidRPr="002B66D4">
        <w:rPr>
          <w:lang w:val="hu-HU"/>
        </w:rPr>
        <w:t>A magánjogi jogharmonizáció módszerei és korlátai az Európai Unióban</w:t>
      </w:r>
    </w:p>
    <w:p w14:paraId="5EDF915A" w14:textId="77777777" w:rsidR="002B66D4" w:rsidRDefault="002B66D4" w:rsidP="002B66D4">
      <w:pPr>
        <w:pStyle w:val="Compact"/>
        <w:ind w:left="720"/>
        <w:rPr>
          <w:lang w:val="hu-HU"/>
        </w:rPr>
      </w:pPr>
    </w:p>
    <w:p w14:paraId="6A4F0A22" w14:textId="28BA4547" w:rsidR="00560C70" w:rsidRPr="00560C70" w:rsidRDefault="00560C70" w:rsidP="00560C70">
      <w:pPr>
        <w:pStyle w:val="Compact"/>
        <w:numPr>
          <w:ilvl w:val="0"/>
          <w:numId w:val="1"/>
        </w:numPr>
        <w:rPr>
          <w:b/>
          <w:bCs/>
          <w:lang w:val="hu-HU"/>
        </w:rPr>
      </w:pPr>
      <w:r>
        <w:rPr>
          <w:b/>
          <w:bCs/>
          <w:lang w:val="hu-HU"/>
        </w:rPr>
        <w:t>Előzetes egyeztetés alapján b</w:t>
      </w:r>
      <w:r w:rsidRPr="00560C70">
        <w:rPr>
          <w:b/>
          <w:bCs/>
          <w:lang w:val="hu-HU"/>
        </w:rPr>
        <w:t>ármilyen más magánjog</w:t>
      </w:r>
      <w:r>
        <w:rPr>
          <w:b/>
          <w:bCs/>
          <w:lang w:val="hu-HU"/>
        </w:rPr>
        <w:t xml:space="preserve">i </w:t>
      </w:r>
      <w:r w:rsidRPr="00560C70">
        <w:rPr>
          <w:b/>
          <w:bCs/>
          <w:lang w:val="hu-HU"/>
        </w:rPr>
        <w:t>téma</w:t>
      </w:r>
    </w:p>
    <w:p w14:paraId="5D1D7E32" w14:textId="77777777" w:rsidR="00560C70" w:rsidRPr="00560C70" w:rsidRDefault="00560C70" w:rsidP="00560C70">
      <w:pPr>
        <w:pStyle w:val="Compact"/>
        <w:rPr>
          <w:lang w:val="hu-HU"/>
        </w:rPr>
      </w:pPr>
    </w:p>
    <w:p w14:paraId="44843C2C" w14:textId="77777777" w:rsidR="00560C70" w:rsidRPr="00560C70" w:rsidRDefault="00560C70"/>
    <w:sectPr w:rsidR="00560C70" w:rsidRPr="00560C70" w:rsidSect="00560C70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FC226E7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446125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70"/>
    <w:rsid w:val="000C7681"/>
    <w:rsid w:val="002B66D4"/>
    <w:rsid w:val="00560C70"/>
    <w:rsid w:val="00B954A8"/>
    <w:rsid w:val="00DD1ED8"/>
    <w:rsid w:val="00FA5206"/>
    <w:rsid w:val="00FA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A357B"/>
  <w15:chartTrackingRefBased/>
  <w15:docId w15:val="{6915FF79-81B6-48D8-989E-EF5F272BA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60C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60C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60C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60C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60C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60C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60C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60C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60C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60C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60C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60C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60C7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60C7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60C7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60C7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60C7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60C7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60C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60C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60C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60C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60C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60C7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60C7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60C7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60C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60C7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60C70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Szvegtrzs"/>
    <w:qFormat/>
    <w:rsid w:val="00560C70"/>
    <w:pPr>
      <w:spacing w:before="36" w:after="36" w:line="240" w:lineRule="auto"/>
    </w:pPr>
    <w:rPr>
      <w:rFonts w:eastAsiaTheme="minorEastAsia"/>
      <w:kern w:val="0"/>
      <w:lang w:val="en-US" w:eastAsia="zh-CN"/>
      <w14:ligatures w14:val="none"/>
    </w:rPr>
  </w:style>
  <w:style w:type="paragraph" w:styleId="Szvegtrzs">
    <w:name w:val="Body Text"/>
    <w:basedOn w:val="Norml"/>
    <w:link w:val="SzvegtrzsChar"/>
    <w:uiPriority w:val="99"/>
    <w:semiHidden/>
    <w:unhideWhenUsed/>
    <w:rsid w:val="00560C70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560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Ferenc</dc:creator>
  <cp:keywords/>
  <dc:description/>
  <cp:lastModifiedBy>Szilágyi Ferenc</cp:lastModifiedBy>
  <cp:revision>4</cp:revision>
  <dcterms:created xsi:type="dcterms:W3CDTF">2026-08-27T13:39:00Z</dcterms:created>
  <dcterms:modified xsi:type="dcterms:W3CDTF">2026-08-27T15:53:00Z</dcterms:modified>
</cp:coreProperties>
</file>