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5000" w:type="pct"/>
        <w:jc w:val="center"/>
        <w:tblInd w:w="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182"/>
        <w:gridCol w:w="6274"/>
      </w:tblGrid>
      <w:tr w:rsidR="00FF7CD8" w:rsidRPr="00D07B4F" w14:paraId="75523A07" w14:textId="77777777" w:rsidTr="00260D11">
        <w:trPr>
          <w:jc w:val="center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A952" w14:textId="77777777" w:rsidR="00FF7CD8" w:rsidRPr="00507B3D" w:rsidRDefault="00FF7CD8" w:rsidP="00507B3D">
            <w:pPr>
              <w:tabs>
                <w:tab w:val="left" w:pos="3780"/>
              </w:tabs>
              <w:rPr>
                <w:rFonts w:ascii="PT Sans" w:hAnsi="PT Sans"/>
                <w:b/>
                <w:bCs/>
              </w:rPr>
            </w:pPr>
            <w:r w:rsidRPr="00507B3D">
              <w:rPr>
                <w:rFonts w:ascii="PT Sans" w:hAnsi="PT Sans"/>
                <w:b/>
                <w:bCs/>
              </w:rPr>
              <w:t>Tantárgy neve: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88B4" w14:textId="44E02FFA" w:rsidR="00FF7CD8" w:rsidRPr="00974643" w:rsidRDefault="00974643" w:rsidP="00974643">
            <w:pPr>
              <w:spacing w:line="276" w:lineRule="auto"/>
              <w:rPr>
                <w:rFonts w:ascii="PT Sans" w:hAnsi="PT Sans" w:cs="Calibri"/>
              </w:rPr>
            </w:pPr>
            <w:r w:rsidRPr="00974643">
              <w:rPr>
                <w:rFonts w:ascii="PT Sans" w:hAnsi="PT Sans" w:cs="Calibri"/>
                <w:b/>
                <w:bCs/>
              </w:rPr>
              <w:t>Az európai közös monetáris politika és pénzügyi szuverenitás</w:t>
            </w:r>
          </w:p>
        </w:tc>
      </w:tr>
      <w:tr w:rsidR="00FF7CD8" w:rsidRPr="00D07B4F" w14:paraId="3FF03853" w14:textId="77777777" w:rsidTr="00260D11">
        <w:trPr>
          <w:jc w:val="center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1A2C" w14:textId="77777777" w:rsidR="00FF7CD8" w:rsidRPr="00507B3D" w:rsidRDefault="00FF7CD8" w:rsidP="00507B3D">
            <w:pPr>
              <w:tabs>
                <w:tab w:val="left" w:pos="3780"/>
              </w:tabs>
              <w:rPr>
                <w:rFonts w:ascii="PT Sans" w:hAnsi="PT Sans"/>
                <w:b/>
                <w:bCs/>
              </w:rPr>
            </w:pPr>
            <w:r w:rsidRPr="00507B3D">
              <w:rPr>
                <w:rFonts w:ascii="PT Sans" w:hAnsi="PT Sans"/>
                <w:b/>
                <w:bCs/>
              </w:rPr>
              <w:t xml:space="preserve">Tárgyfelelős: 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FF1A" w14:textId="72E7A8C0" w:rsidR="00FF7CD8" w:rsidRPr="00D07B4F" w:rsidRDefault="0096089A" w:rsidP="00507B3D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>
              <w:rPr>
                <w:rFonts w:ascii="PT Sans" w:hAnsi="PT Sans"/>
                <w:b/>
              </w:rPr>
              <w:t>Horváth Marcell</w:t>
            </w:r>
          </w:p>
        </w:tc>
      </w:tr>
      <w:tr w:rsidR="00DB424B" w:rsidRPr="00D07B4F" w14:paraId="62DA555D" w14:textId="77777777" w:rsidTr="00260D11">
        <w:trPr>
          <w:jc w:val="center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5B52" w14:textId="77777777" w:rsidR="00DB424B" w:rsidRDefault="00DB424B" w:rsidP="00887813">
            <w:pPr>
              <w:tabs>
                <w:tab w:val="left" w:pos="3780"/>
              </w:tabs>
              <w:spacing w:after="100"/>
              <w:rPr>
                <w:rFonts w:ascii="PT Sans" w:hAnsi="PT Sans"/>
                <w:b/>
                <w:bCs/>
                <w:color w:val="388600"/>
              </w:rPr>
            </w:pPr>
            <w:r w:rsidRPr="001D1C75">
              <w:rPr>
                <w:rFonts w:ascii="PT Sans" w:hAnsi="PT Sans"/>
                <w:b/>
                <w:bCs/>
                <w:color w:val="388600"/>
              </w:rPr>
              <w:t>Felelős szervezet neve:</w:t>
            </w:r>
          </w:p>
          <w:p w14:paraId="7C7ABC82" w14:textId="24A5ED48" w:rsidR="00887813" w:rsidRPr="00887813" w:rsidRDefault="00887813" w:rsidP="00507B3D">
            <w:pPr>
              <w:tabs>
                <w:tab w:val="left" w:pos="3780"/>
              </w:tabs>
              <w:rPr>
                <w:rFonts w:ascii="PT Sans" w:hAnsi="PT Sans"/>
                <w:i/>
                <w:iCs/>
                <w:color w:val="00B050"/>
              </w:rPr>
            </w:pPr>
            <w:proofErr w:type="gramStart"/>
            <w:r w:rsidRPr="00887813">
              <w:rPr>
                <w:rFonts w:ascii="PT Sans" w:hAnsi="PT Sans"/>
                <w:i/>
                <w:iCs/>
              </w:rPr>
              <w:t>konkrét</w:t>
            </w:r>
            <w:proofErr w:type="gramEnd"/>
            <w:r w:rsidRPr="00887813">
              <w:rPr>
                <w:rFonts w:ascii="PT Sans" w:hAnsi="PT Sans"/>
                <w:i/>
                <w:iCs/>
              </w:rPr>
              <w:t xml:space="preserve"> tanszék, intézet, stb.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B6E0" w14:textId="55F378FD" w:rsidR="00DB424B" w:rsidRPr="00D07B4F" w:rsidRDefault="0096089A" w:rsidP="00507B3D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96089A">
              <w:rPr>
                <w:rFonts w:ascii="PT Sans" w:hAnsi="PT Sans"/>
                <w:b/>
                <w:bCs/>
              </w:rPr>
              <w:t>Heller Farkas Közgazdaságtudományi Intézet</w:t>
            </w:r>
          </w:p>
        </w:tc>
      </w:tr>
      <w:tr w:rsidR="00DB424B" w:rsidRPr="00D07B4F" w14:paraId="7A8CA773" w14:textId="77777777" w:rsidTr="00260D11">
        <w:trPr>
          <w:jc w:val="center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0CF9" w14:textId="77777777" w:rsidR="00DB424B" w:rsidRPr="001D1C75" w:rsidRDefault="00DB424B" w:rsidP="00093A6B">
            <w:pPr>
              <w:tabs>
                <w:tab w:val="left" w:pos="3780"/>
              </w:tabs>
              <w:spacing w:after="100"/>
              <w:rPr>
                <w:rFonts w:ascii="PT Sans" w:hAnsi="PT Sans"/>
                <w:b/>
                <w:bCs/>
                <w:color w:val="388600"/>
              </w:rPr>
            </w:pPr>
            <w:r w:rsidRPr="001D1C75">
              <w:rPr>
                <w:rFonts w:ascii="PT Sans" w:hAnsi="PT Sans"/>
                <w:b/>
                <w:bCs/>
                <w:color w:val="388600"/>
              </w:rPr>
              <w:t>A tantárgy besorolása:</w:t>
            </w:r>
          </w:p>
          <w:p w14:paraId="44F11647" w14:textId="054304C2" w:rsidR="00507B3D" w:rsidRPr="00507B3D" w:rsidRDefault="00507B3D" w:rsidP="001D1C75">
            <w:pPr>
              <w:tabs>
                <w:tab w:val="left" w:pos="3780"/>
              </w:tabs>
              <w:jc w:val="both"/>
              <w:rPr>
                <w:rFonts w:ascii="PT Sans" w:hAnsi="PT Sans"/>
                <w:i/>
                <w:iCs/>
                <w:color w:val="00B050"/>
              </w:rPr>
            </w:pPr>
            <w:r w:rsidRPr="00507B3D">
              <w:rPr>
                <w:rFonts w:ascii="PT Sans" w:hAnsi="PT Sans"/>
                <w:i/>
                <w:iCs/>
              </w:rPr>
              <w:t>(kötelező, kötelezően választható, szabadon választható)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8E36" w14:textId="12E11CB0" w:rsidR="00DB424B" w:rsidRPr="00634628" w:rsidRDefault="0096089A" w:rsidP="00507B3D">
            <w:pPr>
              <w:tabs>
                <w:tab w:val="left" w:pos="3780"/>
              </w:tabs>
              <w:rPr>
                <w:rFonts w:ascii="PT Sans" w:hAnsi="PT Sans"/>
                <w:b/>
                <w:bCs/>
              </w:rPr>
            </w:pPr>
            <w:r w:rsidRPr="00634628">
              <w:rPr>
                <w:rFonts w:ascii="PT Sans" w:hAnsi="PT Sans"/>
                <w:b/>
                <w:bCs/>
              </w:rPr>
              <w:t>szabadon választható</w:t>
            </w:r>
          </w:p>
        </w:tc>
      </w:tr>
      <w:tr w:rsidR="00DB424B" w:rsidRPr="00D07B4F" w14:paraId="43D686D7" w14:textId="77777777" w:rsidTr="00260D11">
        <w:trPr>
          <w:jc w:val="center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6744" w14:textId="77777777" w:rsidR="00DB424B" w:rsidRPr="001D1C75" w:rsidRDefault="00DB424B" w:rsidP="00093A6B">
            <w:pPr>
              <w:tabs>
                <w:tab w:val="left" w:pos="3780"/>
              </w:tabs>
              <w:spacing w:after="100"/>
              <w:rPr>
                <w:rFonts w:ascii="PT Sans" w:hAnsi="PT Sans"/>
                <w:b/>
                <w:bCs/>
                <w:color w:val="388600"/>
              </w:rPr>
            </w:pPr>
            <w:r w:rsidRPr="001D1C75">
              <w:rPr>
                <w:rFonts w:ascii="PT Sans" w:hAnsi="PT Sans"/>
                <w:b/>
                <w:bCs/>
                <w:color w:val="388600"/>
              </w:rPr>
              <w:t>A tantárgy tantervi helye:</w:t>
            </w:r>
          </w:p>
          <w:p w14:paraId="6B1291C1" w14:textId="77777777" w:rsidR="00DB424B" w:rsidRDefault="00DB424B" w:rsidP="00507B3D">
            <w:pPr>
              <w:tabs>
                <w:tab w:val="left" w:pos="3780"/>
              </w:tabs>
              <w:rPr>
                <w:rFonts w:ascii="PT Sans" w:hAnsi="PT Sans"/>
                <w:i/>
                <w:iCs/>
              </w:rPr>
            </w:pPr>
            <w:r w:rsidRPr="001D1C75">
              <w:rPr>
                <w:rFonts w:ascii="PT Sans" w:hAnsi="PT Sans"/>
                <w:i/>
                <w:iCs/>
              </w:rPr>
              <w:t>(szint – hányadik félév)</w:t>
            </w:r>
          </w:p>
          <w:p w14:paraId="6BCA6143" w14:textId="7E013E29" w:rsidR="001D1C75" w:rsidRPr="001D1C75" w:rsidRDefault="001D1C75" w:rsidP="001D1C75">
            <w:pPr>
              <w:tabs>
                <w:tab w:val="left" w:pos="3780"/>
              </w:tabs>
              <w:jc w:val="both"/>
              <w:rPr>
                <w:rFonts w:ascii="PT Sans" w:hAnsi="PT Sans"/>
                <w:i/>
                <w:iCs/>
              </w:rPr>
            </w:pPr>
            <w:r>
              <w:rPr>
                <w:rFonts w:ascii="PT Sans" w:hAnsi="PT Sans"/>
                <w:i/>
                <w:iCs/>
              </w:rPr>
              <w:t>1-10: amely félévhez a tárgy a mintatanterv szerint tartozik, vagy amelyen hallgatása egyébként ajánlott meghatározni opcionális.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2872" w14:textId="13A28831" w:rsidR="00DB424B" w:rsidRPr="00D07B4F" w:rsidRDefault="00634628" w:rsidP="00507B3D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>
              <w:rPr>
                <w:rFonts w:ascii="PT Sans" w:hAnsi="PT Sans"/>
                <w:b/>
              </w:rPr>
              <w:t>3</w:t>
            </w:r>
          </w:p>
        </w:tc>
      </w:tr>
      <w:tr w:rsidR="00DB424B" w:rsidRPr="00D07B4F" w14:paraId="788E1F5D" w14:textId="77777777" w:rsidTr="00260D11">
        <w:trPr>
          <w:jc w:val="center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801A" w14:textId="77777777" w:rsidR="00DB424B" w:rsidRDefault="00DB424B" w:rsidP="00A579B3">
            <w:pPr>
              <w:tabs>
                <w:tab w:val="left" w:pos="3780"/>
              </w:tabs>
              <w:spacing w:after="100"/>
              <w:rPr>
                <w:rFonts w:ascii="PT Sans" w:hAnsi="PT Sans"/>
                <w:b/>
                <w:bCs/>
                <w:color w:val="388600"/>
              </w:rPr>
            </w:pPr>
            <w:r w:rsidRPr="001D1C75">
              <w:rPr>
                <w:rFonts w:ascii="PT Sans" w:hAnsi="PT Sans"/>
                <w:b/>
                <w:bCs/>
                <w:color w:val="388600"/>
              </w:rPr>
              <w:t>Előfeltétel:</w:t>
            </w:r>
          </w:p>
          <w:p w14:paraId="2BE36435" w14:textId="0CA56547" w:rsidR="00A579B3" w:rsidRPr="00507B3D" w:rsidRDefault="00A579B3" w:rsidP="00A579B3">
            <w:pPr>
              <w:tabs>
                <w:tab w:val="left" w:pos="3780"/>
              </w:tabs>
              <w:jc w:val="both"/>
              <w:rPr>
                <w:rFonts w:ascii="PT Sans" w:hAnsi="PT Sans"/>
                <w:b/>
                <w:bCs/>
                <w:color w:val="00B050"/>
              </w:rPr>
            </w:pPr>
            <w:r>
              <w:rPr>
                <w:rFonts w:ascii="PT Sans" w:hAnsi="PT Sans"/>
                <w:i/>
                <w:iCs/>
              </w:rPr>
              <w:t>Megadható például előfeltételként valamely tárgy előhallgatása vagy minimális kreditszám. Az erre vonatkozó szűrőt a Tanulmányi Osztály tudja beállítani.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14AD" w14:textId="77777777" w:rsidR="00DB424B" w:rsidRPr="00D07B4F" w:rsidRDefault="00DB424B" w:rsidP="00507B3D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</w:p>
        </w:tc>
      </w:tr>
      <w:tr w:rsidR="00222A26" w:rsidRPr="00D07B4F" w14:paraId="7623C225" w14:textId="77777777" w:rsidTr="00260D11">
        <w:trPr>
          <w:jc w:val="center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697C" w14:textId="5017C73F" w:rsidR="00222A26" w:rsidRPr="001D1C75" w:rsidRDefault="00222A26" w:rsidP="00507B3D">
            <w:pPr>
              <w:tabs>
                <w:tab w:val="left" w:pos="3780"/>
              </w:tabs>
              <w:rPr>
                <w:rFonts w:ascii="PT Sans" w:hAnsi="PT Sans"/>
                <w:b/>
                <w:bCs/>
              </w:rPr>
            </w:pPr>
            <w:r w:rsidRPr="001D1C75">
              <w:rPr>
                <w:rFonts w:ascii="PT Sans" w:hAnsi="PT Sans"/>
                <w:b/>
                <w:bCs/>
              </w:rPr>
              <w:t>Oktatás nyelve: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C364" w14:textId="7E9D9699" w:rsidR="00222A26" w:rsidRPr="001D1C75" w:rsidRDefault="0096089A" w:rsidP="00507B3D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>
              <w:rPr>
                <w:rFonts w:ascii="PT Sans" w:hAnsi="PT Sans"/>
                <w:b/>
              </w:rPr>
              <w:t>magyar</w:t>
            </w:r>
          </w:p>
        </w:tc>
      </w:tr>
      <w:tr w:rsidR="00FF7CD8" w:rsidRPr="00D07B4F" w14:paraId="3BFCEB15" w14:textId="77777777" w:rsidTr="00260D11">
        <w:trPr>
          <w:jc w:val="center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1474" w14:textId="77777777" w:rsidR="00FF7CD8" w:rsidRDefault="00FF7CD8" w:rsidP="00093A6B">
            <w:pPr>
              <w:tabs>
                <w:tab w:val="left" w:pos="3780"/>
              </w:tabs>
              <w:spacing w:after="100"/>
              <w:rPr>
                <w:rFonts w:ascii="PT Sans" w:hAnsi="PT Sans"/>
                <w:b/>
                <w:bCs/>
              </w:rPr>
            </w:pPr>
            <w:r w:rsidRPr="00507B3D">
              <w:rPr>
                <w:rFonts w:ascii="PT Sans" w:hAnsi="PT Sans"/>
                <w:b/>
                <w:bCs/>
              </w:rPr>
              <w:t>A tantárgy céljának rövid ismertetése:</w:t>
            </w:r>
          </w:p>
          <w:p w14:paraId="46BFE276" w14:textId="4A5F9F56" w:rsidR="001D1C75" w:rsidRPr="001D1C75" w:rsidRDefault="001D1C75" w:rsidP="001D1C75">
            <w:pPr>
              <w:tabs>
                <w:tab w:val="left" w:pos="3780"/>
              </w:tabs>
              <w:spacing w:after="100"/>
              <w:jc w:val="both"/>
              <w:rPr>
                <w:rFonts w:ascii="PT Sans" w:hAnsi="PT Sans"/>
                <w:i/>
                <w:iCs/>
                <w:color w:val="C00000"/>
              </w:rPr>
            </w:pPr>
            <w:r w:rsidRPr="001D1C75">
              <w:rPr>
                <w:rFonts w:ascii="PT Sans" w:hAnsi="PT Sans"/>
                <w:i/>
                <w:iCs/>
                <w:color w:val="C00000"/>
              </w:rPr>
              <w:t>Röviden, lényegre törően csak a célokat kell megnevezni. Arra a kérdésre kell válaszolni, hogy mit akarnak elérni a tárgy oktatásával, milyen tudást, képességet, készséget akarnak megalapozni, kiépíteni, fejleszteni.</w:t>
            </w:r>
          </w:p>
          <w:p w14:paraId="00645D18" w14:textId="77777777" w:rsidR="001D1C75" w:rsidRPr="001D1C75" w:rsidRDefault="001D1C75" w:rsidP="001D1C75">
            <w:pPr>
              <w:tabs>
                <w:tab w:val="left" w:pos="3780"/>
              </w:tabs>
              <w:jc w:val="both"/>
              <w:rPr>
                <w:rFonts w:ascii="PT Sans" w:hAnsi="PT Sans"/>
                <w:b/>
                <w:bCs/>
                <w:i/>
                <w:iCs/>
                <w:color w:val="4472C4" w:themeColor="accent5"/>
              </w:rPr>
            </w:pPr>
            <w:r w:rsidRPr="001D1C75">
              <w:rPr>
                <w:rFonts w:ascii="PT Sans" w:hAnsi="PT Sans"/>
                <w:b/>
                <w:bCs/>
                <w:i/>
                <w:iCs/>
                <w:color w:val="4472C4" w:themeColor="accent5"/>
              </w:rPr>
              <w:t>Bírálati szempont:</w:t>
            </w:r>
          </w:p>
          <w:p w14:paraId="50EBAC87" w14:textId="29EED4C5" w:rsidR="001D1C75" w:rsidRPr="001D1C75" w:rsidRDefault="001D1C75" w:rsidP="001D1C75">
            <w:pPr>
              <w:tabs>
                <w:tab w:val="left" w:pos="3780"/>
              </w:tabs>
              <w:jc w:val="both"/>
              <w:rPr>
                <w:rFonts w:ascii="PT Sans" w:hAnsi="PT Sans"/>
                <w:b/>
                <w:bCs/>
                <w:i/>
                <w:iCs/>
              </w:rPr>
            </w:pPr>
            <w:r w:rsidRPr="001D1C75">
              <w:rPr>
                <w:rFonts w:ascii="PT Sans" w:hAnsi="PT Sans"/>
                <w:i/>
                <w:iCs/>
                <w:color w:val="4472C4" w:themeColor="accent5"/>
              </w:rPr>
              <w:t>A tantárgyleírásokban meghatározott képzési cél összhangban van</w:t>
            </w:r>
            <w:r w:rsidR="00260D11">
              <w:rPr>
                <w:rFonts w:ascii="PT Sans" w:hAnsi="PT Sans"/>
                <w:i/>
                <w:iCs/>
                <w:color w:val="4472C4" w:themeColor="accent5"/>
              </w:rPr>
              <w:t>-e</w:t>
            </w:r>
            <w:r w:rsidRPr="001D1C75">
              <w:rPr>
                <w:rFonts w:ascii="PT Sans" w:hAnsi="PT Sans"/>
                <w:i/>
                <w:iCs/>
                <w:color w:val="4472C4" w:themeColor="accent5"/>
              </w:rPr>
              <w:t xml:space="preserve"> a tantárgyleírások elméleti/gyakorlati ismeretanyagával?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A6CB" w14:textId="0F84DF96" w:rsidR="00BF0F87" w:rsidRPr="00BF0F87" w:rsidRDefault="00BF0F87" w:rsidP="00137B48">
            <w:pPr>
              <w:rPr>
                <w:rFonts w:ascii="PT Sans" w:hAnsi="PT Sans" w:cs="Calibri"/>
                <w:b/>
                <w:bCs/>
              </w:rPr>
            </w:pPr>
            <w:r w:rsidRPr="00BF0F87">
              <w:rPr>
                <w:rFonts w:ascii="PT Sans" w:hAnsi="PT Sans" w:cs="Calibri"/>
                <w:b/>
                <w:bCs/>
              </w:rPr>
              <w:t>A kurzus célja, hogy a hallgatók átfogó képet kapjanak az Európai Unió közös monetáris politikájának alapjairól, intézményi rendszeréről és a tagállami pénzügyi szuverenitás alakulásáról, így az Európai Központi Bank (EKB), az euró, valamint a monetáris unió működése és kihívásai is szó lesz.</w:t>
            </w:r>
          </w:p>
          <w:p w14:paraId="70F17E31" w14:textId="16F339ED" w:rsidR="00BF0F87" w:rsidRPr="00BF0F87" w:rsidRDefault="00BF0F87" w:rsidP="00137B48">
            <w:pPr>
              <w:rPr>
                <w:rFonts w:ascii="PT Sans" w:hAnsi="PT Sans" w:cs="Calibri"/>
                <w:b/>
                <w:bCs/>
              </w:rPr>
            </w:pPr>
            <w:r w:rsidRPr="00BF0F87">
              <w:rPr>
                <w:rFonts w:ascii="PT Sans" w:hAnsi="PT Sans" w:cs="Calibri"/>
                <w:b/>
                <w:bCs/>
              </w:rPr>
              <w:t>A tematika külön figyelmet fordít a központi bankok szerepér</w:t>
            </w:r>
            <w:r w:rsidR="00137B48">
              <w:rPr>
                <w:rFonts w:ascii="PT Sans" w:hAnsi="PT Sans" w:cs="Calibri"/>
                <w:b/>
                <w:bCs/>
              </w:rPr>
              <w:t>e</w:t>
            </w:r>
            <w:r w:rsidRPr="00BF0F87">
              <w:rPr>
                <w:rFonts w:ascii="PT Sans" w:hAnsi="PT Sans" w:cs="Calibri"/>
                <w:b/>
                <w:bCs/>
              </w:rPr>
              <w:t>, függetlenségének fejlődésér</w:t>
            </w:r>
            <w:r w:rsidR="00137B48">
              <w:rPr>
                <w:rFonts w:ascii="PT Sans" w:hAnsi="PT Sans" w:cs="Calibri"/>
                <w:b/>
                <w:bCs/>
              </w:rPr>
              <w:t>e</w:t>
            </w:r>
            <w:r w:rsidRPr="00BF0F87">
              <w:rPr>
                <w:rFonts w:ascii="PT Sans" w:hAnsi="PT Sans" w:cs="Calibri"/>
                <w:b/>
                <w:bCs/>
              </w:rPr>
              <w:t xml:space="preserve"> és annak aktuális kihívásair</w:t>
            </w:r>
            <w:r w:rsidR="00137B48">
              <w:rPr>
                <w:rFonts w:ascii="PT Sans" w:hAnsi="PT Sans" w:cs="Calibri"/>
                <w:b/>
                <w:bCs/>
              </w:rPr>
              <w:t>a</w:t>
            </w:r>
            <w:r w:rsidRPr="00BF0F87">
              <w:rPr>
                <w:rFonts w:ascii="PT Sans" w:hAnsi="PT Sans" w:cs="Calibri"/>
                <w:b/>
                <w:bCs/>
              </w:rPr>
              <w:t xml:space="preserve"> a globalizált, digitális és geopolitikai szempontból egyre összetettebb pénzügyi környezetben. Továbbá a kurzus kitér a Magyar Nemzeti Bank (MNB) jogállására, szerepére és az EKB-</w:t>
            </w:r>
            <w:proofErr w:type="spellStart"/>
            <w:r w:rsidRPr="00BF0F87">
              <w:rPr>
                <w:rFonts w:ascii="PT Sans" w:hAnsi="PT Sans" w:cs="Calibri"/>
                <w:b/>
                <w:bCs/>
              </w:rPr>
              <w:t>val</w:t>
            </w:r>
            <w:proofErr w:type="spellEnd"/>
            <w:r w:rsidRPr="00BF0F87">
              <w:rPr>
                <w:rFonts w:ascii="PT Sans" w:hAnsi="PT Sans" w:cs="Calibri"/>
                <w:b/>
                <w:bCs/>
              </w:rPr>
              <w:t xml:space="preserve"> való együttműködésére, mint nem eurózónás tagállami központi bankra.</w:t>
            </w:r>
            <w:r w:rsidR="0096089A" w:rsidRPr="00BF0F87">
              <w:rPr>
                <w:rFonts w:ascii="PT Sans" w:hAnsi="PT Sans" w:cs="Calibri"/>
                <w:b/>
                <w:bCs/>
              </w:rPr>
              <w:t xml:space="preserve"> </w:t>
            </w:r>
          </w:p>
          <w:p w14:paraId="58216592" w14:textId="5F1CEB87" w:rsidR="0096089A" w:rsidRPr="00BF0F87" w:rsidRDefault="0096089A" w:rsidP="00137B48">
            <w:pPr>
              <w:rPr>
                <w:rFonts w:ascii="PT Sans" w:hAnsi="PT Sans" w:cs="Calibri"/>
                <w:b/>
                <w:bCs/>
              </w:rPr>
            </w:pPr>
            <w:r w:rsidRPr="00BF0F87">
              <w:rPr>
                <w:rFonts w:ascii="PT Sans" w:hAnsi="PT Sans" w:cs="Calibri"/>
                <w:b/>
                <w:bCs/>
              </w:rPr>
              <w:t>A nemzetközi pénzügyi rendszer gyors átalakulása, a digitális pénzmegoldások előretörése és a geopolitikai konfliktusok közvetlen hatása a központi banki működésre sürgetővé teszi e témakör komplex jogi feldolgozását.</w:t>
            </w:r>
          </w:p>
          <w:p w14:paraId="7C469CDE" w14:textId="03B29090" w:rsidR="00FF7CD8" w:rsidRPr="00BF0F87" w:rsidRDefault="0096089A" w:rsidP="00137B48">
            <w:pPr>
              <w:rPr>
                <w:rFonts w:ascii="PT Sans" w:hAnsi="PT Sans" w:cs="Calibri"/>
                <w:b/>
                <w:bCs/>
              </w:rPr>
            </w:pPr>
            <w:r w:rsidRPr="00BF0F87">
              <w:rPr>
                <w:rFonts w:ascii="PT Sans" w:hAnsi="PT Sans" w:cs="Calibri"/>
                <w:b/>
                <w:bCs/>
              </w:rPr>
              <w:t>A kurzus célja, hogy e témakört interdiszciplináris módon, a jog</w:t>
            </w:r>
            <w:r w:rsidR="00BF0F87" w:rsidRPr="00BF0F87">
              <w:rPr>
                <w:rFonts w:ascii="PT Sans" w:hAnsi="PT Sans" w:cs="Calibri"/>
                <w:b/>
                <w:bCs/>
              </w:rPr>
              <w:t>, a közgazdaságtan és a geopol</w:t>
            </w:r>
            <w:r w:rsidR="003644F4">
              <w:rPr>
                <w:rFonts w:ascii="PT Sans" w:hAnsi="PT Sans" w:cs="Calibri"/>
                <w:b/>
                <w:bCs/>
              </w:rPr>
              <w:t>i</w:t>
            </w:r>
            <w:r w:rsidR="00BF0F87" w:rsidRPr="00BF0F87">
              <w:rPr>
                <w:rFonts w:ascii="PT Sans" w:hAnsi="PT Sans" w:cs="Calibri"/>
                <w:b/>
                <w:bCs/>
              </w:rPr>
              <w:t>tika</w:t>
            </w:r>
            <w:r w:rsidRPr="00BF0F87">
              <w:rPr>
                <w:rFonts w:ascii="PT Sans" w:hAnsi="PT Sans" w:cs="Calibri"/>
                <w:b/>
                <w:bCs/>
              </w:rPr>
              <w:t xml:space="preserve"> metszéspontjában mutassa be.</w:t>
            </w:r>
          </w:p>
        </w:tc>
      </w:tr>
      <w:tr w:rsidR="00FF7CD8" w:rsidRPr="00D07B4F" w14:paraId="388EF42D" w14:textId="77777777" w:rsidTr="00260D11">
        <w:trPr>
          <w:trHeight w:val="282"/>
          <w:jc w:val="center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120E" w14:textId="77777777" w:rsidR="00FF7CD8" w:rsidRDefault="00FF7CD8" w:rsidP="00093A6B">
            <w:pPr>
              <w:tabs>
                <w:tab w:val="left" w:pos="3780"/>
              </w:tabs>
              <w:spacing w:after="100"/>
              <w:rPr>
                <w:rFonts w:ascii="PT Sans" w:hAnsi="PT Sans"/>
                <w:b/>
                <w:bCs/>
              </w:rPr>
            </w:pPr>
            <w:r w:rsidRPr="00507B3D">
              <w:rPr>
                <w:rFonts w:ascii="PT Sans" w:hAnsi="PT Sans"/>
                <w:b/>
                <w:bCs/>
              </w:rPr>
              <w:t>Elsajátítandó elméleti ismeretanyag:</w:t>
            </w:r>
          </w:p>
          <w:p w14:paraId="70D356F9" w14:textId="4DAC0AA3" w:rsidR="001D1C75" w:rsidRPr="001D1C75" w:rsidRDefault="001D1C75" w:rsidP="001D1C75">
            <w:pPr>
              <w:tabs>
                <w:tab w:val="left" w:pos="3780"/>
              </w:tabs>
              <w:jc w:val="both"/>
              <w:rPr>
                <w:rFonts w:ascii="PT Sans" w:hAnsi="PT Sans"/>
                <w:i/>
                <w:iCs/>
                <w:color w:val="FF0000"/>
              </w:rPr>
            </w:pPr>
            <w:r w:rsidRPr="001D1C75">
              <w:rPr>
                <w:rFonts w:ascii="PT Sans" w:hAnsi="PT Sans"/>
                <w:i/>
                <w:iCs/>
                <w:color w:val="C00000"/>
              </w:rPr>
              <w:t>Itt kell megfelelő részletességgel leírni, hogy mit tanítanak: Féléves témakörök szerinti bontásban kell leírni a tárgy tananyagának főbb elemeit. Itt minden olyan témaelem szerepeljen, amelyik megkerülhetetlenül fontos, és amelyikből kiderül a tárgy oktatási koncepciója.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8032" w14:textId="3A536342" w:rsidR="00FF7CD8" w:rsidRPr="003644F4" w:rsidRDefault="0094431E" w:rsidP="00E279B0">
            <w:pPr>
              <w:rPr>
                <w:rFonts w:ascii="PT Sans" w:hAnsi="PT Sans" w:cs="Calibri"/>
                <w:b/>
                <w:bCs/>
              </w:rPr>
            </w:pPr>
            <w:r w:rsidRPr="003644F4">
              <w:rPr>
                <w:rFonts w:ascii="PT Sans" w:hAnsi="PT Sans" w:cs="Calibri"/>
                <w:b/>
                <w:bCs/>
              </w:rPr>
              <w:t xml:space="preserve">A kurzus során a hallgatók </w:t>
            </w:r>
            <w:r w:rsidR="00437E20" w:rsidRPr="003644F4">
              <w:rPr>
                <w:rFonts w:ascii="PT Sans" w:hAnsi="PT Sans" w:cs="Calibri"/>
                <w:b/>
                <w:bCs/>
              </w:rPr>
              <w:t>betekintést kapnak a nemzetközi pénzügyi rendszer aktuális kérdéseibe, a jegybanki politikákba érintve az állam gazdaságpolitikaját és geopolitikaját. M</w:t>
            </w:r>
            <w:r w:rsidRPr="003644F4">
              <w:rPr>
                <w:rFonts w:ascii="PT Sans" w:hAnsi="PT Sans" w:cs="Calibri"/>
                <w:b/>
                <w:bCs/>
              </w:rPr>
              <w:t>egismerik a központi bank</w:t>
            </w:r>
            <w:r w:rsidR="00B4776C" w:rsidRPr="003644F4">
              <w:rPr>
                <w:rFonts w:ascii="PT Sans" w:hAnsi="PT Sans" w:cs="Calibri"/>
                <w:b/>
                <w:bCs/>
              </w:rPr>
              <w:t xml:space="preserve">ok </w:t>
            </w:r>
            <w:r w:rsidRPr="003644F4">
              <w:rPr>
                <w:rFonts w:ascii="PT Sans" w:hAnsi="PT Sans" w:cs="Calibri"/>
                <w:b/>
                <w:bCs/>
              </w:rPr>
              <w:t xml:space="preserve">történeti és jogi hátterét, a pénzügyi globalizáció és digitális innovációk (pl. CBDC, </w:t>
            </w:r>
            <w:proofErr w:type="spellStart"/>
            <w:r w:rsidRPr="003644F4">
              <w:rPr>
                <w:rFonts w:ascii="PT Sans" w:hAnsi="PT Sans" w:cs="Calibri"/>
                <w:b/>
                <w:bCs/>
              </w:rPr>
              <w:t>kriptopénzek</w:t>
            </w:r>
            <w:proofErr w:type="spellEnd"/>
            <w:r w:rsidRPr="003644F4">
              <w:rPr>
                <w:rFonts w:ascii="PT Sans" w:hAnsi="PT Sans" w:cs="Calibri"/>
                <w:b/>
                <w:bCs/>
              </w:rPr>
              <w:t>), valamint a zöld pénzügyek által generált kihívásokat, továbbá részletesen elemzik a nagy nemzetközi pénzügyi intézmények, elsősorban az európai közös monetáris politika történetét, intézményi kereteit, valamint azt, hogyan alakítja át az uniós gazdasági integráció az államok pénzügyi önrendelkezését</w:t>
            </w:r>
            <w:r w:rsidR="00BF0F87" w:rsidRPr="003644F4">
              <w:rPr>
                <w:rFonts w:ascii="PT Sans" w:hAnsi="PT Sans" w:cs="Calibri"/>
                <w:b/>
                <w:bCs/>
              </w:rPr>
              <w:t xml:space="preserve">. A jegybanki függetlenség, az EKB szerepe, az euró övezeti válságok, a bankunió és az új pénzügyi kihívások (pl. digitális euró, zöld pénzügyek) mind </w:t>
            </w:r>
            <w:proofErr w:type="spellStart"/>
            <w:r w:rsidR="00BF0F87" w:rsidRPr="003644F4">
              <w:rPr>
                <w:rFonts w:ascii="PT Sans" w:hAnsi="PT Sans" w:cs="Calibri"/>
                <w:b/>
                <w:bCs/>
              </w:rPr>
              <w:t>újradefiniálják</w:t>
            </w:r>
            <w:proofErr w:type="spellEnd"/>
            <w:r w:rsidR="00BF0F87" w:rsidRPr="003644F4">
              <w:rPr>
                <w:rFonts w:ascii="PT Sans" w:hAnsi="PT Sans" w:cs="Calibri"/>
                <w:b/>
                <w:bCs/>
              </w:rPr>
              <w:t xml:space="preserve"> az állami szuverenitást. </w:t>
            </w:r>
            <w:r w:rsidRPr="003644F4">
              <w:rPr>
                <w:rFonts w:ascii="PT Sans" w:hAnsi="PT Sans" w:cs="Calibri"/>
                <w:b/>
                <w:bCs/>
              </w:rPr>
              <w:t xml:space="preserve">Továbbá </w:t>
            </w:r>
            <w:r w:rsidR="003644F4" w:rsidRPr="003644F4">
              <w:rPr>
                <w:rFonts w:ascii="PT Sans" w:hAnsi="PT Sans" w:cs="Calibri"/>
                <w:b/>
                <w:bCs/>
              </w:rPr>
              <w:t xml:space="preserve">bemutatásra kerül </w:t>
            </w:r>
            <w:r w:rsidRPr="003644F4">
              <w:rPr>
                <w:rFonts w:ascii="PT Sans" w:hAnsi="PT Sans" w:cs="Calibri"/>
                <w:b/>
                <w:bCs/>
              </w:rPr>
              <w:t xml:space="preserve">a főbb nemzetközi pénzügyi intézmények, így az IMF, a BIS stb. szerepét és jogi eszközrendszerét. </w:t>
            </w:r>
            <w:r w:rsidR="00437E20" w:rsidRPr="003644F4">
              <w:rPr>
                <w:rFonts w:ascii="PT Sans" w:hAnsi="PT Sans" w:cs="Calibri"/>
                <w:b/>
                <w:bCs/>
              </w:rPr>
              <w:t xml:space="preserve">Továbbá a geopolitika és </w:t>
            </w:r>
            <w:proofErr w:type="spellStart"/>
            <w:r w:rsidR="00437E20" w:rsidRPr="003644F4">
              <w:rPr>
                <w:rFonts w:ascii="PT Sans" w:hAnsi="PT Sans" w:cs="Calibri"/>
                <w:b/>
                <w:bCs/>
              </w:rPr>
              <w:t>geoökonómia</w:t>
            </w:r>
            <w:proofErr w:type="spellEnd"/>
            <w:r w:rsidR="00437E20" w:rsidRPr="003644F4">
              <w:rPr>
                <w:rFonts w:ascii="PT Sans" w:hAnsi="PT Sans" w:cs="Calibri"/>
                <w:b/>
                <w:bCs/>
              </w:rPr>
              <w:t xml:space="preserve"> vonatkozó kérdései is fókuszba kerülnek, </w:t>
            </w:r>
            <w:r w:rsidRPr="003644F4">
              <w:rPr>
                <w:rFonts w:ascii="PT Sans" w:hAnsi="PT Sans" w:cs="Calibri"/>
                <w:b/>
                <w:bCs/>
              </w:rPr>
              <w:t>A kurzusban helyet kapnak esettanulmányok</w:t>
            </w:r>
            <w:r w:rsidR="00437E20" w:rsidRPr="003644F4">
              <w:rPr>
                <w:rFonts w:ascii="PT Sans" w:hAnsi="PT Sans" w:cs="Calibri"/>
                <w:b/>
                <w:bCs/>
              </w:rPr>
              <w:t xml:space="preserve"> is</w:t>
            </w:r>
            <w:r w:rsidRPr="003644F4">
              <w:rPr>
                <w:rFonts w:ascii="PT Sans" w:hAnsi="PT Sans" w:cs="Calibri"/>
                <w:b/>
                <w:bCs/>
              </w:rPr>
              <w:t>.</w:t>
            </w:r>
          </w:p>
        </w:tc>
      </w:tr>
      <w:tr w:rsidR="00FF7CD8" w:rsidRPr="00D07B4F" w14:paraId="64E771C0" w14:textId="77777777" w:rsidTr="00260D11">
        <w:trPr>
          <w:trHeight w:val="257"/>
          <w:jc w:val="center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5F75" w14:textId="77777777" w:rsidR="00FF7CD8" w:rsidRDefault="00FF7CD8" w:rsidP="00093A6B">
            <w:pPr>
              <w:tabs>
                <w:tab w:val="left" w:pos="3780"/>
              </w:tabs>
              <w:spacing w:after="100"/>
              <w:rPr>
                <w:rFonts w:ascii="PT Sans" w:hAnsi="PT Sans"/>
                <w:b/>
                <w:bCs/>
              </w:rPr>
            </w:pPr>
            <w:r w:rsidRPr="00507B3D">
              <w:rPr>
                <w:rFonts w:ascii="PT Sans" w:hAnsi="PT Sans"/>
                <w:b/>
                <w:bCs/>
              </w:rPr>
              <w:t>Elsajátítandó gyakorlati ismeretanyag:</w:t>
            </w:r>
          </w:p>
          <w:p w14:paraId="56881E8E" w14:textId="77777777" w:rsidR="001D1C75" w:rsidRDefault="001D1C75" w:rsidP="00AF45D6">
            <w:pPr>
              <w:tabs>
                <w:tab w:val="left" w:pos="3780"/>
              </w:tabs>
              <w:spacing w:after="100"/>
              <w:jc w:val="both"/>
              <w:rPr>
                <w:rFonts w:ascii="PT Sans" w:hAnsi="PT Sans"/>
                <w:i/>
                <w:iCs/>
                <w:color w:val="C00000"/>
              </w:rPr>
            </w:pPr>
            <w:r w:rsidRPr="001D1C75">
              <w:rPr>
                <w:rFonts w:ascii="PT Sans" w:hAnsi="PT Sans"/>
                <w:i/>
                <w:iCs/>
                <w:color w:val="C00000"/>
              </w:rPr>
              <w:t>Itt kell megfelelő részletességgel leírni, hogy mit tanítanak: Féléves témakörök szerinti bontásban kell leírni a tárgy tananyagának főbb elemeit. Itt minden olyan témaelem szerepeljen, amelyik megkerülhetetlenül fontos, és amelyikből kiderül a tárgy oktatási koncepciója.</w:t>
            </w:r>
          </w:p>
          <w:p w14:paraId="5F3A3F7B" w14:textId="02DB643A" w:rsidR="001C0EA5" w:rsidRPr="001D1C75" w:rsidRDefault="001C0EA5" w:rsidP="001D1C75">
            <w:pPr>
              <w:tabs>
                <w:tab w:val="left" w:pos="3780"/>
              </w:tabs>
              <w:jc w:val="both"/>
              <w:rPr>
                <w:rFonts w:ascii="PT Sans" w:hAnsi="PT Sans"/>
                <w:i/>
                <w:iCs/>
                <w:color w:val="FF0000"/>
              </w:rPr>
            </w:pPr>
            <w:r>
              <w:rPr>
                <w:rFonts w:ascii="PT Sans" w:hAnsi="PT Sans"/>
                <w:i/>
                <w:iCs/>
                <w:color w:val="C00000"/>
              </w:rPr>
              <w:t>Olyan tárgynál, amelyhez gyakorlat kapcsolódik, itt célszerű kifejteni, hogy az elméleti ismeretanyag milyen módon jelenik meg a gyakorlati órákon (pl. kapcsolód</w:t>
            </w:r>
            <w:r w:rsidR="00AF45D6">
              <w:rPr>
                <w:rFonts w:ascii="PT Sans" w:hAnsi="PT Sans"/>
                <w:i/>
                <w:iCs/>
                <w:color w:val="C00000"/>
              </w:rPr>
              <w:t>ó jogesetek feldolgozása egyéni és/vagy csoportos munkában stb.).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19AF" w14:textId="77777777" w:rsidR="007D7EB8" w:rsidRPr="00137B48" w:rsidRDefault="007D7EB8" w:rsidP="00137B48">
            <w:pPr>
              <w:rPr>
                <w:rFonts w:ascii="PT Sans" w:hAnsi="PT Sans" w:cs="Calibri"/>
                <w:b/>
                <w:bCs/>
              </w:rPr>
            </w:pPr>
            <w:r w:rsidRPr="00137B48">
              <w:rPr>
                <w:rFonts w:ascii="PT Sans" w:hAnsi="PT Sans" w:cs="Calibri"/>
                <w:b/>
                <w:bCs/>
              </w:rPr>
              <w:t>Monetáris politika, szuverenitás és európai integráció</w:t>
            </w:r>
          </w:p>
          <w:p w14:paraId="31A8E93E" w14:textId="77777777" w:rsidR="007D7EB8" w:rsidRPr="00137B48" w:rsidRDefault="007D7EB8" w:rsidP="00137B48">
            <w:pPr>
              <w:numPr>
                <w:ilvl w:val="0"/>
                <w:numId w:val="7"/>
              </w:numPr>
              <w:jc w:val="both"/>
              <w:rPr>
                <w:rFonts w:ascii="PT Sans" w:hAnsi="PT Sans" w:cs="Calibri"/>
              </w:rPr>
            </w:pPr>
            <w:r w:rsidRPr="00137B48">
              <w:rPr>
                <w:rFonts w:ascii="PT Sans" w:hAnsi="PT Sans" w:cs="Calibri"/>
              </w:rPr>
              <w:t>A központi bankok szerepe és jogi természete</w:t>
            </w:r>
          </w:p>
          <w:p w14:paraId="407E705C" w14:textId="77777777" w:rsidR="007D7EB8" w:rsidRPr="00137B48" w:rsidRDefault="007D7EB8" w:rsidP="00137B48">
            <w:pPr>
              <w:numPr>
                <w:ilvl w:val="0"/>
                <w:numId w:val="7"/>
              </w:numPr>
              <w:jc w:val="both"/>
              <w:rPr>
                <w:rFonts w:ascii="PT Sans" w:hAnsi="PT Sans" w:cs="Calibri"/>
              </w:rPr>
            </w:pPr>
            <w:r w:rsidRPr="00137B48">
              <w:rPr>
                <w:rFonts w:ascii="PT Sans" w:hAnsi="PT Sans" w:cs="Calibri"/>
              </w:rPr>
              <w:t xml:space="preserve">A monetáris szuverenitás fogalma </w:t>
            </w:r>
          </w:p>
          <w:p w14:paraId="42D54269" w14:textId="6D30EDAD" w:rsidR="00137B48" w:rsidRPr="00137B48" w:rsidRDefault="00137B48" w:rsidP="00137B48">
            <w:pPr>
              <w:numPr>
                <w:ilvl w:val="0"/>
                <w:numId w:val="7"/>
              </w:numPr>
              <w:jc w:val="both"/>
              <w:rPr>
                <w:rFonts w:ascii="PT Sans" w:hAnsi="PT Sans" w:cs="Calibri"/>
              </w:rPr>
            </w:pPr>
            <w:r w:rsidRPr="00137B48">
              <w:rPr>
                <w:rFonts w:ascii="PT Sans" w:hAnsi="PT Sans" w:cs="Calibri"/>
              </w:rPr>
              <w:t>Az államok szuverenitása és a jegybanki működés</w:t>
            </w:r>
          </w:p>
          <w:p w14:paraId="175C1DA0" w14:textId="77777777" w:rsidR="007D7EB8" w:rsidRPr="00137B48" w:rsidRDefault="007D7EB8" w:rsidP="00137B48">
            <w:pPr>
              <w:numPr>
                <w:ilvl w:val="0"/>
                <w:numId w:val="7"/>
              </w:numPr>
              <w:jc w:val="both"/>
              <w:rPr>
                <w:rFonts w:ascii="PT Sans" w:hAnsi="PT Sans" w:cs="Calibri"/>
              </w:rPr>
            </w:pPr>
            <w:r w:rsidRPr="00137B48">
              <w:rPr>
                <w:rFonts w:ascii="PT Sans" w:hAnsi="PT Sans" w:cs="Calibri"/>
              </w:rPr>
              <w:t xml:space="preserve">Monetáris önrendelkezés és a közös valuta </w:t>
            </w:r>
            <w:proofErr w:type="spellStart"/>
            <w:r w:rsidRPr="00137B48">
              <w:rPr>
                <w:rFonts w:ascii="PT Sans" w:hAnsi="PT Sans" w:cs="Calibri"/>
              </w:rPr>
              <w:t>paradoxona</w:t>
            </w:r>
            <w:proofErr w:type="spellEnd"/>
          </w:p>
          <w:p w14:paraId="43E94ECD" w14:textId="77777777" w:rsidR="007D7EB8" w:rsidRPr="00137B48" w:rsidRDefault="007D7EB8" w:rsidP="00137B48">
            <w:pPr>
              <w:numPr>
                <w:ilvl w:val="0"/>
                <w:numId w:val="7"/>
              </w:numPr>
              <w:jc w:val="both"/>
              <w:rPr>
                <w:rFonts w:ascii="PT Sans" w:hAnsi="PT Sans" w:cs="Calibri"/>
              </w:rPr>
            </w:pPr>
            <w:r w:rsidRPr="00137B48">
              <w:rPr>
                <w:rFonts w:ascii="PT Sans" w:hAnsi="PT Sans" w:cs="Calibri"/>
              </w:rPr>
              <w:t>A közös monetáris politika fogalmi kerete</w:t>
            </w:r>
          </w:p>
          <w:p w14:paraId="435B3C80" w14:textId="77777777" w:rsidR="00137B48" w:rsidRPr="00137B48" w:rsidRDefault="00137B48" w:rsidP="00137B48">
            <w:pPr>
              <w:numPr>
                <w:ilvl w:val="0"/>
                <w:numId w:val="7"/>
              </w:numPr>
              <w:jc w:val="both"/>
              <w:rPr>
                <w:rFonts w:ascii="PT Sans" w:hAnsi="PT Sans" w:cs="Calibri"/>
              </w:rPr>
            </w:pPr>
            <w:r w:rsidRPr="00137B48">
              <w:rPr>
                <w:rFonts w:ascii="PT Sans" w:hAnsi="PT Sans" w:cs="Calibri"/>
              </w:rPr>
              <w:t>Uniós tagállami szuverenitás és az EKB közötti konfliktusok</w:t>
            </w:r>
          </w:p>
          <w:p w14:paraId="66DCE572" w14:textId="07FECBA6" w:rsidR="00137B48" w:rsidRPr="00137B48" w:rsidRDefault="00137B48" w:rsidP="00137B48">
            <w:pPr>
              <w:numPr>
                <w:ilvl w:val="0"/>
                <w:numId w:val="7"/>
              </w:numPr>
              <w:jc w:val="both"/>
              <w:rPr>
                <w:rFonts w:ascii="PT Sans" w:hAnsi="PT Sans" w:cs="Calibri"/>
              </w:rPr>
            </w:pPr>
            <w:r w:rsidRPr="00137B48">
              <w:rPr>
                <w:rFonts w:ascii="PT Sans" w:hAnsi="PT Sans" w:cs="Calibri"/>
              </w:rPr>
              <w:t>Függetlenség vs. felelősség</w:t>
            </w:r>
          </w:p>
          <w:p w14:paraId="7AA4B0F9" w14:textId="77777777" w:rsidR="00137B48" w:rsidRPr="00137B48" w:rsidRDefault="00137B48" w:rsidP="00137B48">
            <w:pPr>
              <w:rPr>
                <w:rFonts w:ascii="PT Sans" w:hAnsi="PT Sans" w:cs="Calibri"/>
                <w:b/>
                <w:bCs/>
              </w:rPr>
            </w:pPr>
            <w:r w:rsidRPr="00137B48">
              <w:rPr>
                <w:rFonts w:ascii="PT Sans" w:hAnsi="PT Sans" w:cs="Calibri"/>
                <w:b/>
                <w:bCs/>
              </w:rPr>
              <w:t>A jegybankok történeti és jogfejlődési háttere</w:t>
            </w:r>
          </w:p>
          <w:p w14:paraId="1B26392B" w14:textId="77777777" w:rsidR="00137B48" w:rsidRPr="00137B48" w:rsidRDefault="00137B48" w:rsidP="00137B48">
            <w:pPr>
              <w:numPr>
                <w:ilvl w:val="0"/>
                <w:numId w:val="7"/>
              </w:numPr>
              <w:jc w:val="both"/>
              <w:rPr>
                <w:rFonts w:ascii="PT Sans" w:hAnsi="PT Sans" w:cs="Calibri"/>
              </w:rPr>
            </w:pPr>
            <w:r w:rsidRPr="00137B48">
              <w:rPr>
                <w:rFonts w:ascii="PT Sans" w:hAnsi="PT Sans" w:cs="Calibri"/>
              </w:rPr>
              <w:t>A központi bankok kialakulása, történeti példák</w:t>
            </w:r>
          </w:p>
          <w:p w14:paraId="246BF213" w14:textId="77777777" w:rsidR="00137B48" w:rsidRPr="00137B48" w:rsidRDefault="00137B48" w:rsidP="00137B48">
            <w:pPr>
              <w:numPr>
                <w:ilvl w:val="0"/>
                <w:numId w:val="7"/>
              </w:numPr>
              <w:jc w:val="both"/>
              <w:rPr>
                <w:rFonts w:ascii="PT Sans" w:hAnsi="PT Sans" w:cs="Calibri"/>
              </w:rPr>
            </w:pPr>
            <w:r w:rsidRPr="00137B48">
              <w:rPr>
                <w:rFonts w:ascii="PT Sans" w:hAnsi="PT Sans" w:cs="Calibri"/>
              </w:rPr>
              <w:t>A jegybanki függetlenség fejlődése a 20. században</w:t>
            </w:r>
          </w:p>
          <w:p w14:paraId="5C32995E" w14:textId="77777777" w:rsidR="00137B48" w:rsidRPr="00137B48" w:rsidRDefault="00137B48" w:rsidP="00137B48">
            <w:pPr>
              <w:numPr>
                <w:ilvl w:val="0"/>
                <w:numId w:val="7"/>
              </w:numPr>
              <w:jc w:val="both"/>
              <w:rPr>
                <w:rFonts w:ascii="PT Sans" w:hAnsi="PT Sans" w:cs="Calibri"/>
              </w:rPr>
            </w:pPr>
            <w:r w:rsidRPr="00137B48">
              <w:rPr>
                <w:rFonts w:ascii="PT Sans" w:hAnsi="PT Sans" w:cs="Calibri"/>
              </w:rPr>
              <w:t>Nemzeti jegybankok, mandátum, autonómia, felelősség</w:t>
            </w:r>
          </w:p>
          <w:p w14:paraId="1C329C84" w14:textId="77777777" w:rsidR="00137B48" w:rsidRPr="00137B48" w:rsidRDefault="00137B48" w:rsidP="00137B48">
            <w:pPr>
              <w:numPr>
                <w:ilvl w:val="0"/>
                <w:numId w:val="7"/>
              </w:numPr>
              <w:jc w:val="both"/>
              <w:rPr>
                <w:rFonts w:ascii="PT Sans" w:hAnsi="PT Sans" w:cs="Calibri"/>
              </w:rPr>
            </w:pPr>
            <w:r w:rsidRPr="00137B48">
              <w:rPr>
                <w:rFonts w:ascii="PT Sans" w:hAnsi="PT Sans" w:cs="Calibri"/>
              </w:rPr>
              <w:t xml:space="preserve">Pénzügyi felügyelet, </w:t>
            </w:r>
            <w:proofErr w:type="spellStart"/>
            <w:r w:rsidRPr="00137B48">
              <w:rPr>
                <w:rFonts w:ascii="PT Sans" w:hAnsi="PT Sans" w:cs="Calibri"/>
              </w:rPr>
              <w:t>makroprudenciális</w:t>
            </w:r>
            <w:proofErr w:type="spellEnd"/>
            <w:r w:rsidRPr="00137B48">
              <w:rPr>
                <w:rFonts w:ascii="PT Sans" w:hAnsi="PT Sans" w:cs="Calibri"/>
              </w:rPr>
              <w:t xml:space="preserve"> szerep</w:t>
            </w:r>
          </w:p>
          <w:p w14:paraId="2E23CBF7" w14:textId="1C055455" w:rsidR="007D7EB8" w:rsidRPr="00137B48" w:rsidRDefault="007D7EB8" w:rsidP="00137B48">
            <w:pPr>
              <w:rPr>
                <w:rFonts w:ascii="PT Sans" w:hAnsi="PT Sans" w:cs="Calibri"/>
                <w:b/>
                <w:bCs/>
              </w:rPr>
            </w:pPr>
            <w:r w:rsidRPr="00137B48">
              <w:rPr>
                <w:rFonts w:ascii="PT Sans" w:hAnsi="PT Sans" w:cs="Calibri"/>
                <w:b/>
                <w:bCs/>
              </w:rPr>
              <w:t>A globális pénzügyi rendszer alakulása</w:t>
            </w:r>
          </w:p>
          <w:p w14:paraId="2E548B90" w14:textId="77777777" w:rsidR="007D7EB8" w:rsidRPr="00137B48" w:rsidRDefault="007D7EB8" w:rsidP="00137B48">
            <w:pPr>
              <w:numPr>
                <w:ilvl w:val="0"/>
                <w:numId w:val="7"/>
              </w:numPr>
              <w:jc w:val="both"/>
              <w:rPr>
                <w:rFonts w:ascii="PT Sans" w:hAnsi="PT Sans" w:cs="Calibri"/>
              </w:rPr>
            </w:pPr>
            <w:proofErr w:type="spellStart"/>
            <w:r w:rsidRPr="00137B48">
              <w:rPr>
                <w:rFonts w:ascii="PT Sans" w:hAnsi="PT Sans" w:cs="Calibri"/>
              </w:rPr>
              <w:t>Bretton</w:t>
            </w:r>
            <w:proofErr w:type="spellEnd"/>
            <w:r w:rsidRPr="00137B48">
              <w:rPr>
                <w:rFonts w:ascii="PT Sans" w:hAnsi="PT Sans" w:cs="Calibri"/>
              </w:rPr>
              <w:t xml:space="preserve"> </w:t>
            </w:r>
            <w:proofErr w:type="spellStart"/>
            <w:r w:rsidRPr="00137B48">
              <w:rPr>
                <w:rFonts w:ascii="PT Sans" w:hAnsi="PT Sans" w:cs="Calibri"/>
              </w:rPr>
              <w:t>Woods</w:t>
            </w:r>
            <w:proofErr w:type="spellEnd"/>
            <w:r w:rsidRPr="00137B48">
              <w:rPr>
                <w:rFonts w:ascii="PT Sans" w:hAnsi="PT Sans" w:cs="Calibri"/>
              </w:rPr>
              <w:t xml:space="preserve"> és a nemzetközi pénzügyi rend</w:t>
            </w:r>
          </w:p>
          <w:p w14:paraId="04592FDA" w14:textId="058C0CFE" w:rsidR="007D7EB8" w:rsidRPr="00137B48" w:rsidRDefault="007D7EB8" w:rsidP="00137B48">
            <w:pPr>
              <w:numPr>
                <w:ilvl w:val="0"/>
                <w:numId w:val="7"/>
              </w:numPr>
              <w:jc w:val="both"/>
              <w:rPr>
                <w:rFonts w:ascii="PT Sans" w:hAnsi="PT Sans" w:cs="Calibri"/>
              </w:rPr>
            </w:pPr>
            <w:r w:rsidRPr="00137B48">
              <w:rPr>
                <w:rFonts w:ascii="PT Sans" w:hAnsi="PT Sans" w:cs="Calibri"/>
              </w:rPr>
              <w:t xml:space="preserve">Az arany-deviza rendszer bukása </w:t>
            </w:r>
          </w:p>
          <w:p w14:paraId="5A679324" w14:textId="2EADA552" w:rsidR="00137B48" w:rsidRDefault="00137B48" w:rsidP="00137B48">
            <w:pPr>
              <w:numPr>
                <w:ilvl w:val="0"/>
                <w:numId w:val="7"/>
              </w:numPr>
              <w:jc w:val="both"/>
              <w:rPr>
                <w:rFonts w:ascii="PT Sans" w:hAnsi="PT Sans" w:cs="Calibri"/>
              </w:rPr>
            </w:pPr>
            <w:r w:rsidRPr="00137B48">
              <w:rPr>
                <w:rFonts w:ascii="PT Sans" w:hAnsi="PT Sans" w:cs="Calibri"/>
              </w:rPr>
              <w:t>A dollárhegemónia és nemzetközi tartalékvaluták szerepe</w:t>
            </w:r>
          </w:p>
          <w:p w14:paraId="134FF9F3" w14:textId="05F9A9C8" w:rsidR="003644F4" w:rsidRPr="00137B48" w:rsidRDefault="003644F4" w:rsidP="00137B48">
            <w:pPr>
              <w:numPr>
                <w:ilvl w:val="0"/>
                <w:numId w:val="7"/>
              </w:numPr>
              <w:jc w:val="both"/>
              <w:rPr>
                <w:rFonts w:ascii="PT Sans" w:hAnsi="PT Sans" w:cs="Calibri"/>
              </w:rPr>
            </w:pPr>
            <w:r>
              <w:rPr>
                <w:rFonts w:ascii="PT Sans" w:hAnsi="PT Sans" w:cs="Calibri"/>
              </w:rPr>
              <w:t>Pénzügyi válságok</w:t>
            </w:r>
          </w:p>
          <w:p w14:paraId="7C7ADC11" w14:textId="4FD13C93" w:rsidR="007D7EB8" w:rsidRPr="00137B48" w:rsidRDefault="007D7EB8" w:rsidP="00137B48">
            <w:pPr>
              <w:numPr>
                <w:ilvl w:val="0"/>
                <w:numId w:val="7"/>
              </w:numPr>
              <w:jc w:val="both"/>
              <w:rPr>
                <w:rFonts w:ascii="PT Sans" w:hAnsi="PT Sans" w:cs="Calibri"/>
              </w:rPr>
            </w:pPr>
            <w:r w:rsidRPr="00137B48">
              <w:rPr>
                <w:rFonts w:ascii="PT Sans" w:hAnsi="PT Sans" w:cs="Calibri"/>
              </w:rPr>
              <w:t xml:space="preserve">Pénzügyi globalizáció </w:t>
            </w:r>
          </w:p>
          <w:p w14:paraId="07274976" w14:textId="77777777" w:rsidR="00137B48" w:rsidRPr="00137B48" w:rsidRDefault="00137B48" w:rsidP="00137B48">
            <w:pPr>
              <w:rPr>
                <w:rFonts w:ascii="PT Sans" w:hAnsi="PT Sans" w:cs="Calibri"/>
                <w:b/>
                <w:bCs/>
              </w:rPr>
            </w:pPr>
            <w:r w:rsidRPr="00137B48">
              <w:rPr>
                <w:rFonts w:ascii="PT Sans" w:hAnsi="PT Sans" w:cs="Calibri"/>
                <w:b/>
                <w:bCs/>
              </w:rPr>
              <w:t>Az Európai Központi Bank és az eurózóna</w:t>
            </w:r>
          </w:p>
          <w:p w14:paraId="6E0DE717" w14:textId="77777777" w:rsidR="00137B48" w:rsidRPr="00137B48" w:rsidRDefault="00137B48" w:rsidP="00137B48">
            <w:pPr>
              <w:numPr>
                <w:ilvl w:val="0"/>
                <w:numId w:val="7"/>
              </w:numPr>
              <w:jc w:val="both"/>
              <w:rPr>
                <w:rFonts w:ascii="PT Sans" w:hAnsi="PT Sans" w:cs="Calibri"/>
              </w:rPr>
            </w:pPr>
            <w:r w:rsidRPr="00137B48">
              <w:rPr>
                <w:rFonts w:ascii="PT Sans" w:hAnsi="PT Sans" w:cs="Calibri"/>
              </w:rPr>
              <w:lastRenderedPageBreak/>
              <w:t>Az EKB létrejötte és jogi alapjai,</w:t>
            </w:r>
          </w:p>
          <w:p w14:paraId="0939F655" w14:textId="0DBF1803" w:rsidR="00137B48" w:rsidRPr="00137B48" w:rsidRDefault="00137B48" w:rsidP="00137B48">
            <w:pPr>
              <w:numPr>
                <w:ilvl w:val="0"/>
                <w:numId w:val="7"/>
              </w:numPr>
              <w:jc w:val="both"/>
              <w:rPr>
                <w:rFonts w:ascii="PT Sans" w:hAnsi="PT Sans" w:cs="Calibri"/>
              </w:rPr>
            </w:pPr>
            <w:proofErr w:type="spellStart"/>
            <w:r w:rsidRPr="00137B48">
              <w:rPr>
                <w:rFonts w:ascii="PT Sans" w:hAnsi="PT Sans" w:cs="Calibri"/>
              </w:rPr>
              <w:t>Lámfalussy</w:t>
            </w:r>
            <w:proofErr w:type="spellEnd"/>
            <w:r w:rsidRPr="00137B48">
              <w:rPr>
                <w:rFonts w:ascii="PT Sans" w:hAnsi="PT Sans" w:cs="Calibri"/>
              </w:rPr>
              <w:t xml:space="preserve"> Sándor és az euró előtörténete (EMS, ECU, Maastricht, </w:t>
            </w:r>
            <w:proofErr w:type="spellStart"/>
            <w:r w:rsidRPr="00137B48">
              <w:rPr>
                <w:rFonts w:ascii="PT Sans" w:hAnsi="PT Sans" w:cs="Calibri"/>
              </w:rPr>
              <w:t>Lámfalussy</w:t>
            </w:r>
            <w:proofErr w:type="spellEnd"/>
            <w:r w:rsidRPr="00137B48">
              <w:rPr>
                <w:rFonts w:ascii="PT Sans" w:hAnsi="PT Sans" w:cs="Calibri"/>
              </w:rPr>
              <w:t>-jelentés)</w:t>
            </w:r>
          </w:p>
          <w:p w14:paraId="0FABD2C7" w14:textId="115FDE1E" w:rsidR="00137B48" w:rsidRPr="00137B48" w:rsidRDefault="00137B48" w:rsidP="00137B48">
            <w:pPr>
              <w:numPr>
                <w:ilvl w:val="0"/>
                <w:numId w:val="7"/>
              </w:numPr>
              <w:jc w:val="both"/>
              <w:rPr>
                <w:rFonts w:ascii="PT Sans" w:hAnsi="PT Sans" w:cs="Calibri"/>
              </w:rPr>
            </w:pPr>
            <w:r w:rsidRPr="00137B48">
              <w:rPr>
                <w:rFonts w:ascii="PT Sans" w:hAnsi="PT Sans" w:cs="Calibri"/>
              </w:rPr>
              <w:t xml:space="preserve">EKB függetlensége, mandátuma és </w:t>
            </w:r>
            <w:proofErr w:type="spellStart"/>
            <w:r w:rsidRPr="00137B48">
              <w:rPr>
                <w:rFonts w:ascii="PT Sans" w:hAnsi="PT Sans" w:cs="Calibri"/>
              </w:rPr>
              <w:t>számonkérhetőség</w:t>
            </w:r>
            <w:proofErr w:type="spellEnd"/>
            <w:r w:rsidRPr="00137B48">
              <w:rPr>
                <w:rFonts w:ascii="PT Sans" w:hAnsi="PT Sans" w:cs="Calibri"/>
              </w:rPr>
              <w:t xml:space="preserve"> kérdése</w:t>
            </w:r>
          </w:p>
          <w:p w14:paraId="223228E0" w14:textId="77777777" w:rsidR="00137B48" w:rsidRPr="00137B48" w:rsidRDefault="00137B48" w:rsidP="00137B48">
            <w:pPr>
              <w:numPr>
                <w:ilvl w:val="0"/>
                <w:numId w:val="7"/>
              </w:numPr>
              <w:jc w:val="both"/>
              <w:rPr>
                <w:rFonts w:ascii="PT Sans" w:hAnsi="PT Sans" w:cs="Calibri"/>
              </w:rPr>
            </w:pPr>
            <w:r w:rsidRPr="00137B48">
              <w:rPr>
                <w:rFonts w:ascii="PT Sans" w:hAnsi="PT Sans" w:cs="Calibri"/>
              </w:rPr>
              <w:t>Nemzeti jegybankok szerepe az eurózónában</w:t>
            </w:r>
          </w:p>
          <w:p w14:paraId="0D2608AB" w14:textId="0AECCA72" w:rsidR="00137B48" w:rsidRPr="00137B48" w:rsidRDefault="00137B48" w:rsidP="00137B48">
            <w:pPr>
              <w:numPr>
                <w:ilvl w:val="0"/>
                <w:numId w:val="7"/>
              </w:numPr>
              <w:jc w:val="both"/>
              <w:rPr>
                <w:rFonts w:ascii="PT Sans" w:hAnsi="PT Sans" w:cs="Calibri"/>
              </w:rPr>
            </w:pPr>
            <w:r w:rsidRPr="00137B48">
              <w:rPr>
                <w:rFonts w:ascii="PT Sans" w:hAnsi="PT Sans" w:cs="Calibri"/>
              </w:rPr>
              <w:t>Német Szövetségi Alkotmánybíróság kontra EKB</w:t>
            </w:r>
          </w:p>
          <w:p w14:paraId="53A687EB" w14:textId="6223A962" w:rsidR="007D7EB8" w:rsidRPr="00137B48" w:rsidRDefault="007D7EB8" w:rsidP="00137B48">
            <w:pPr>
              <w:rPr>
                <w:rFonts w:ascii="PT Sans" w:hAnsi="PT Sans" w:cs="Calibri"/>
                <w:b/>
                <w:bCs/>
              </w:rPr>
            </w:pPr>
            <w:r w:rsidRPr="00137B48">
              <w:rPr>
                <w:rFonts w:ascii="PT Sans" w:hAnsi="PT Sans" w:cs="Calibri"/>
                <w:b/>
                <w:bCs/>
              </w:rPr>
              <w:t>Az EKB intézményi felépítése, döntéshozatali rendszere és bizottságai</w:t>
            </w:r>
          </w:p>
          <w:p w14:paraId="36B92BB9" w14:textId="77777777" w:rsidR="007D7EB8" w:rsidRPr="00137B48" w:rsidRDefault="007D7EB8" w:rsidP="00137B48">
            <w:pPr>
              <w:numPr>
                <w:ilvl w:val="0"/>
                <w:numId w:val="24"/>
              </w:numPr>
              <w:jc w:val="both"/>
              <w:rPr>
                <w:rFonts w:ascii="PT Sans" w:hAnsi="PT Sans" w:cs="Calibri"/>
              </w:rPr>
            </w:pPr>
            <w:r w:rsidRPr="00137B48">
              <w:rPr>
                <w:rFonts w:ascii="PT Sans" w:hAnsi="PT Sans" w:cs="Calibri"/>
              </w:rPr>
              <w:t>EKB kormányzótanács, igazgatóság, Általános Tanács</w:t>
            </w:r>
          </w:p>
          <w:p w14:paraId="78CF1A84" w14:textId="77777777" w:rsidR="007D7EB8" w:rsidRPr="00137B48" w:rsidRDefault="007D7EB8" w:rsidP="00137B48">
            <w:pPr>
              <w:numPr>
                <w:ilvl w:val="0"/>
                <w:numId w:val="24"/>
              </w:numPr>
              <w:jc w:val="both"/>
              <w:rPr>
                <w:rFonts w:ascii="PT Sans" w:hAnsi="PT Sans" w:cs="Calibri"/>
              </w:rPr>
            </w:pPr>
            <w:r w:rsidRPr="00137B48">
              <w:rPr>
                <w:rFonts w:ascii="PT Sans" w:hAnsi="PT Sans" w:cs="Calibri"/>
              </w:rPr>
              <w:t>KBER (Európai Központi Bankok Rendszere) struktúrája</w:t>
            </w:r>
          </w:p>
          <w:p w14:paraId="3C3930A4" w14:textId="77777777" w:rsidR="007D7EB8" w:rsidRPr="00137B48" w:rsidRDefault="007D7EB8" w:rsidP="00137B48">
            <w:pPr>
              <w:numPr>
                <w:ilvl w:val="0"/>
                <w:numId w:val="24"/>
              </w:numPr>
              <w:jc w:val="both"/>
              <w:rPr>
                <w:rFonts w:ascii="PT Sans" w:hAnsi="PT Sans" w:cs="Calibri"/>
              </w:rPr>
            </w:pPr>
            <w:r w:rsidRPr="00137B48">
              <w:rPr>
                <w:rFonts w:ascii="PT Sans" w:hAnsi="PT Sans" w:cs="Calibri"/>
              </w:rPr>
              <w:t xml:space="preserve">EKB bizottságai (pl. </w:t>
            </w:r>
            <w:proofErr w:type="spellStart"/>
            <w:r w:rsidRPr="00137B48">
              <w:rPr>
                <w:rFonts w:ascii="PT Sans" w:hAnsi="PT Sans" w:cs="Calibri"/>
              </w:rPr>
              <w:t>Monetary</w:t>
            </w:r>
            <w:proofErr w:type="spellEnd"/>
            <w:r w:rsidRPr="00137B48">
              <w:rPr>
                <w:rFonts w:ascii="PT Sans" w:hAnsi="PT Sans" w:cs="Calibri"/>
              </w:rPr>
              <w:t xml:space="preserve"> Policy </w:t>
            </w:r>
            <w:proofErr w:type="spellStart"/>
            <w:r w:rsidRPr="00137B48">
              <w:rPr>
                <w:rFonts w:ascii="PT Sans" w:hAnsi="PT Sans" w:cs="Calibri"/>
              </w:rPr>
              <w:t>Committee</w:t>
            </w:r>
            <w:proofErr w:type="spellEnd"/>
            <w:r w:rsidRPr="00137B48">
              <w:rPr>
                <w:rFonts w:ascii="PT Sans" w:hAnsi="PT Sans" w:cs="Calibri"/>
              </w:rPr>
              <w:t xml:space="preserve">, </w:t>
            </w:r>
            <w:proofErr w:type="spellStart"/>
            <w:r w:rsidRPr="00137B48">
              <w:rPr>
                <w:rFonts w:ascii="PT Sans" w:hAnsi="PT Sans" w:cs="Calibri"/>
              </w:rPr>
              <w:t>Legal</w:t>
            </w:r>
            <w:proofErr w:type="spellEnd"/>
            <w:r w:rsidRPr="00137B48">
              <w:rPr>
                <w:rFonts w:ascii="PT Sans" w:hAnsi="PT Sans" w:cs="Calibri"/>
              </w:rPr>
              <w:t xml:space="preserve"> </w:t>
            </w:r>
            <w:proofErr w:type="spellStart"/>
            <w:r w:rsidRPr="00137B48">
              <w:rPr>
                <w:rFonts w:ascii="PT Sans" w:hAnsi="PT Sans" w:cs="Calibri"/>
              </w:rPr>
              <w:t>Committee</w:t>
            </w:r>
            <w:proofErr w:type="spellEnd"/>
            <w:r w:rsidRPr="00137B48">
              <w:rPr>
                <w:rFonts w:ascii="PT Sans" w:hAnsi="PT Sans" w:cs="Calibri"/>
              </w:rPr>
              <w:t>)</w:t>
            </w:r>
          </w:p>
          <w:p w14:paraId="790BD2A0" w14:textId="77777777" w:rsidR="007D7EB8" w:rsidRPr="00137B48" w:rsidRDefault="007D7EB8" w:rsidP="00137B48">
            <w:pPr>
              <w:numPr>
                <w:ilvl w:val="0"/>
                <w:numId w:val="24"/>
              </w:numPr>
              <w:jc w:val="both"/>
              <w:rPr>
                <w:rFonts w:ascii="PT Sans" w:hAnsi="PT Sans" w:cs="Calibri"/>
              </w:rPr>
            </w:pPr>
            <w:r w:rsidRPr="00137B48">
              <w:rPr>
                <w:rFonts w:ascii="PT Sans" w:hAnsi="PT Sans" w:cs="Calibri"/>
              </w:rPr>
              <w:t>Jogilag kötelező és tanácsadó testületek, jogi véleményezés</w:t>
            </w:r>
          </w:p>
          <w:p w14:paraId="4CA30C1E" w14:textId="77777777" w:rsidR="00137B48" w:rsidRPr="00137B48" w:rsidRDefault="00137B48" w:rsidP="00137B48">
            <w:pPr>
              <w:rPr>
                <w:rFonts w:ascii="PT Sans" w:hAnsi="PT Sans" w:cs="Calibri"/>
                <w:b/>
                <w:bCs/>
              </w:rPr>
            </w:pPr>
            <w:r w:rsidRPr="00137B48">
              <w:rPr>
                <w:rFonts w:ascii="PT Sans" w:hAnsi="PT Sans" w:cs="Calibri"/>
                <w:b/>
                <w:bCs/>
              </w:rPr>
              <w:t xml:space="preserve">Magyar Nemzeti Bank és az EKB-hoz való viszonya </w:t>
            </w:r>
          </w:p>
          <w:p w14:paraId="2614B68A" w14:textId="77777777" w:rsidR="00137B48" w:rsidRPr="00137B48" w:rsidRDefault="00137B48" w:rsidP="00137B48">
            <w:pPr>
              <w:numPr>
                <w:ilvl w:val="0"/>
                <w:numId w:val="7"/>
              </w:numPr>
              <w:jc w:val="both"/>
              <w:rPr>
                <w:rFonts w:ascii="PT Sans" w:hAnsi="PT Sans" w:cs="Calibri"/>
              </w:rPr>
            </w:pPr>
            <w:r w:rsidRPr="00137B48">
              <w:rPr>
                <w:rFonts w:ascii="PT Sans" w:hAnsi="PT Sans" w:cs="Calibri"/>
              </w:rPr>
              <w:t>Az MNB jogállása, jegybanktörvény főbb pontjai (2013. évi CXXXIX. tv.)</w:t>
            </w:r>
          </w:p>
          <w:p w14:paraId="03AB853B" w14:textId="77777777" w:rsidR="00137B48" w:rsidRPr="00137B48" w:rsidRDefault="00137B48" w:rsidP="00137B48">
            <w:pPr>
              <w:numPr>
                <w:ilvl w:val="0"/>
                <w:numId w:val="7"/>
              </w:numPr>
              <w:jc w:val="both"/>
              <w:rPr>
                <w:rFonts w:ascii="PT Sans" w:hAnsi="PT Sans" w:cs="Calibri"/>
              </w:rPr>
            </w:pPr>
            <w:r w:rsidRPr="00137B48">
              <w:rPr>
                <w:rFonts w:ascii="PT Sans" w:hAnsi="PT Sans" w:cs="Calibri"/>
              </w:rPr>
              <w:t>Részvétel a KBER-ben, EKB konzultációk</w:t>
            </w:r>
          </w:p>
          <w:p w14:paraId="6622EBA4" w14:textId="77777777" w:rsidR="00137B48" w:rsidRPr="00137B48" w:rsidRDefault="00137B48" w:rsidP="00137B48">
            <w:pPr>
              <w:numPr>
                <w:ilvl w:val="0"/>
                <w:numId w:val="7"/>
              </w:numPr>
              <w:jc w:val="both"/>
              <w:rPr>
                <w:rFonts w:ascii="PT Sans" w:hAnsi="PT Sans" w:cs="Calibri"/>
              </w:rPr>
            </w:pPr>
            <w:r w:rsidRPr="00137B48">
              <w:rPr>
                <w:rFonts w:ascii="PT Sans" w:hAnsi="PT Sans" w:cs="Calibri"/>
              </w:rPr>
              <w:t>Magyarország, mint nem eurózóna-tag – együttműködési mechanizmusok</w:t>
            </w:r>
          </w:p>
          <w:p w14:paraId="64B6F028" w14:textId="77777777" w:rsidR="00137B48" w:rsidRPr="00137B48" w:rsidRDefault="00137B48" w:rsidP="00137B48">
            <w:pPr>
              <w:numPr>
                <w:ilvl w:val="0"/>
                <w:numId w:val="7"/>
              </w:numPr>
              <w:jc w:val="both"/>
              <w:rPr>
                <w:rFonts w:ascii="PT Sans" w:hAnsi="PT Sans" w:cs="Calibri"/>
              </w:rPr>
            </w:pPr>
            <w:r w:rsidRPr="00137B48">
              <w:rPr>
                <w:rFonts w:ascii="PT Sans" w:hAnsi="PT Sans" w:cs="Calibri"/>
              </w:rPr>
              <w:t xml:space="preserve">Jogeset: EKB véleményezési eljárás és MNB-törvény módosításai </w:t>
            </w:r>
          </w:p>
          <w:p w14:paraId="03F1B6EC" w14:textId="77777777" w:rsidR="006256E0" w:rsidRPr="00137B48" w:rsidRDefault="006256E0" w:rsidP="00137B48">
            <w:pPr>
              <w:rPr>
                <w:rFonts w:ascii="PT Sans" w:hAnsi="PT Sans" w:cs="Calibri"/>
                <w:b/>
                <w:bCs/>
              </w:rPr>
            </w:pPr>
            <w:r w:rsidRPr="00137B48">
              <w:rPr>
                <w:rFonts w:ascii="PT Sans" w:hAnsi="PT Sans" w:cs="Calibri"/>
                <w:b/>
                <w:bCs/>
              </w:rPr>
              <w:t>Új kihívások I.: Digitális pénzek és zöld pénzügyek</w:t>
            </w:r>
          </w:p>
          <w:p w14:paraId="4DD52BF9" w14:textId="77777777" w:rsidR="00E30C10" w:rsidRPr="00137B48" w:rsidRDefault="00E30C10" w:rsidP="00137B48">
            <w:pPr>
              <w:numPr>
                <w:ilvl w:val="0"/>
                <w:numId w:val="7"/>
              </w:numPr>
              <w:jc w:val="both"/>
              <w:rPr>
                <w:rFonts w:ascii="PT Sans" w:hAnsi="PT Sans" w:cs="Calibri"/>
              </w:rPr>
            </w:pPr>
            <w:proofErr w:type="spellStart"/>
            <w:r w:rsidRPr="00137B48">
              <w:rPr>
                <w:rFonts w:ascii="PT Sans" w:hAnsi="PT Sans" w:cs="Calibri"/>
              </w:rPr>
              <w:t>Kriptopénzek</w:t>
            </w:r>
            <w:proofErr w:type="spellEnd"/>
            <w:r w:rsidRPr="00137B48">
              <w:rPr>
                <w:rFonts w:ascii="PT Sans" w:hAnsi="PT Sans" w:cs="Calibri"/>
              </w:rPr>
              <w:t xml:space="preserve"> és a központi bankok válasza: CBDC-k</w:t>
            </w:r>
          </w:p>
          <w:p w14:paraId="3E57AF5A" w14:textId="77777777" w:rsidR="00E30C10" w:rsidRPr="00137B48" w:rsidRDefault="00E30C10" w:rsidP="00137B48">
            <w:pPr>
              <w:numPr>
                <w:ilvl w:val="0"/>
                <w:numId w:val="7"/>
              </w:numPr>
              <w:jc w:val="both"/>
              <w:rPr>
                <w:rFonts w:ascii="PT Sans" w:hAnsi="PT Sans" w:cs="Calibri"/>
              </w:rPr>
            </w:pPr>
            <w:r w:rsidRPr="00137B48">
              <w:rPr>
                <w:rFonts w:ascii="PT Sans" w:hAnsi="PT Sans" w:cs="Calibri"/>
              </w:rPr>
              <w:t>Digitális euró tervei, adatvédelem, jogi státusz</w:t>
            </w:r>
          </w:p>
          <w:p w14:paraId="0604CA6D" w14:textId="77777777" w:rsidR="00E30C10" w:rsidRPr="00137B48" w:rsidRDefault="00E30C10" w:rsidP="00137B48">
            <w:pPr>
              <w:numPr>
                <w:ilvl w:val="0"/>
                <w:numId w:val="7"/>
              </w:numPr>
              <w:jc w:val="both"/>
              <w:rPr>
                <w:rFonts w:ascii="PT Sans" w:hAnsi="PT Sans" w:cs="Calibri"/>
              </w:rPr>
            </w:pPr>
            <w:r w:rsidRPr="00137B48">
              <w:rPr>
                <w:rFonts w:ascii="PT Sans" w:hAnsi="PT Sans" w:cs="Calibri"/>
              </w:rPr>
              <w:t>Zöld pénzügyek, ESG-szempontok</w:t>
            </w:r>
          </w:p>
          <w:p w14:paraId="772294FE" w14:textId="77777777" w:rsidR="00437E20" w:rsidRPr="00137B48" w:rsidRDefault="00E30C10" w:rsidP="00137B48">
            <w:pPr>
              <w:numPr>
                <w:ilvl w:val="0"/>
                <w:numId w:val="7"/>
              </w:numPr>
              <w:jc w:val="both"/>
              <w:rPr>
                <w:rFonts w:ascii="PT Sans" w:hAnsi="PT Sans" w:cs="Calibri"/>
              </w:rPr>
            </w:pPr>
            <w:r w:rsidRPr="00137B48">
              <w:rPr>
                <w:rFonts w:ascii="PT Sans" w:hAnsi="PT Sans" w:cs="Calibri"/>
              </w:rPr>
              <w:t>Az EKB zöld stratégiája</w:t>
            </w:r>
            <w:r w:rsidR="00437E20" w:rsidRPr="00137B48">
              <w:rPr>
                <w:rFonts w:ascii="PT Sans" w:hAnsi="PT Sans" w:cs="Calibri"/>
              </w:rPr>
              <w:t xml:space="preserve">, a </w:t>
            </w:r>
            <w:r w:rsidRPr="00137B48">
              <w:rPr>
                <w:rFonts w:ascii="PT Sans" w:hAnsi="PT Sans" w:cs="Calibri"/>
              </w:rPr>
              <w:t xml:space="preserve">zöld mandátum jogi értelmezése, </w:t>
            </w:r>
          </w:p>
          <w:p w14:paraId="1F1C045D" w14:textId="335FA3FB" w:rsidR="00E30C10" w:rsidRPr="00137B48" w:rsidRDefault="00E30C10" w:rsidP="00137B48">
            <w:pPr>
              <w:numPr>
                <w:ilvl w:val="0"/>
                <w:numId w:val="7"/>
              </w:numPr>
              <w:jc w:val="both"/>
              <w:rPr>
                <w:rFonts w:ascii="PT Sans" w:hAnsi="PT Sans" w:cs="Calibri"/>
              </w:rPr>
            </w:pPr>
            <w:r w:rsidRPr="00137B48">
              <w:rPr>
                <w:rFonts w:ascii="PT Sans" w:hAnsi="PT Sans" w:cs="Calibri"/>
              </w:rPr>
              <w:t>NGFS szerepe</w:t>
            </w:r>
          </w:p>
          <w:p w14:paraId="46D0A84B" w14:textId="65C8D883" w:rsidR="00E30C10" w:rsidRPr="00137B48" w:rsidRDefault="00E30C10" w:rsidP="00137B48">
            <w:pPr>
              <w:numPr>
                <w:ilvl w:val="0"/>
                <w:numId w:val="7"/>
              </w:numPr>
              <w:jc w:val="both"/>
              <w:rPr>
                <w:rFonts w:ascii="PT Sans" w:hAnsi="PT Sans" w:cs="Calibri"/>
              </w:rPr>
            </w:pPr>
            <w:r w:rsidRPr="00137B48">
              <w:rPr>
                <w:rFonts w:ascii="PT Sans" w:hAnsi="PT Sans" w:cs="Calibri"/>
              </w:rPr>
              <w:t>Jogeset-elemzés: e-</w:t>
            </w:r>
            <w:proofErr w:type="spellStart"/>
            <w:r w:rsidRPr="00137B48">
              <w:rPr>
                <w:rFonts w:ascii="PT Sans" w:hAnsi="PT Sans" w:cs="Calibri"/>
              </w:rPr>
              <w:t>yuan</w:t>
            </w:r>
            <w:proofErr w:type="spellEnd"/>
            <w:r w:rsidRPr="00137B48">
              <w:rPr>
                <w:rFonts w:ascii="PT Sans" w:hAnsi="PT Sans" w:cs="Calibri"/>
              </w:rPr>
              <w:t xml:space="preserve"> és digitális euró</w:t>
            </w:r>
          </w:p>
          <w:p w14:paraId="6B032C6F" w14:textId="77777777" w:rsidR="006256E0" w:rsidRPr="00137B48" w:rsidRDefault="006256E0" w:rsidP="00137B48">
            <w:pPr>
              <w:rPr>
                <w:rFonts w:ascii="PT Sans" w:hAnsi="PT Sans" w:cs="Calibri"/>
                <w:b/>
                <w:bCs/>
              </w:rPr>
            </w:pPr>
            <w:r w:rsidRPr="00137B48">
              <w:rPr>
                <w:rFonts w:ascii="PT Sans" w:hAnsi="PT Sans" w:cs="Calibri"/>
                <w:b/>
                <w:bCs/>
              </w:rPr>
              <w:t>Új kihívások II.: Geopolitika és szankciók</w:t>
            </w:r>
          </w:p>
          <w:p w14:paraId="35B329B7" w14:textId="2F2ED740" w:rsidR="00E30C10" w:rsidRPr="00137B48" w:rsidRDefault="00E30C10" w:rsidP="00137B48">
            <w:pPr>
              <w:numPr>
                <w:ilvl w:val="0"/>
                <w:numId w:val="7"/>
              </w:numPr>
              <w:jc w:val="both"/>
              <w:rPr>
                <w:rFonts w:ascii="PT Sans" w:hAnsi="PT Sans" w:cs="Calibri"/>
              </w:rPr>
            </w:pPr>
            <w:r w:rsidRPr="00137B48">
              <w:rPr>
                <w:rFonts w:ascii="PT Sans" w:hAnsi="PT Sans" w:cs="Calibri"/>
              </w:rPr>
              <w:t xml:space="preserve">Geopolitika és </w:t>
            </w:r>
            <w:proofErr w:type="spellStart"/>
            <w:r w:rsidRPr="00137B48">
              <w:rPr>
                <w:rFonts w:ascii="PT Sans" w:hAnsi="PT Sans" w:cs="Calibri"/>
              </w:rPr>
              <w:t>geoökonómia</w:t>
            </w:r>
            <w:proofErr w:type="spellEnd"/>
          </w:p>
          <w:p w14:paraId="7A82ED96" w14:textId="1ED13784" w:rsidR="00E30C10" w:rsidRPr="00137B48" w:rsidRDefault="00E30C10" w:rsidP="00137B48">
            <w:pPr>
              <w:numPr>
                <w:ilvl w:val="0"/>
                <w:numId w:val="7"/>
              </w:numPr>
              <w:jc w:val="both"/>
              <w:rPr>
                <w:rFonts w:ascii="PT Sans" w:hAnsi="PT Sans" w:cs="Calibri"/>
              </w:rPr>
            </w:pPr>
            <w:r w:rsidRPr="00137B48">
              <w:rPr>
                <w:rFonts w:ascii="PT Sans" w:hAnsi="PT Sans" w:cs="Calibri"/>
              </w:rPr>
              <w:t xml:space="preserve">Geopolitika és a jegybankok </w:t>
            </w:r>
          </w:p>
          <w:p w14:paraId="7B97E5B8" w14:textId="6BA480B5" w:rsidR="00E30C10" w:rsidRPr="00137B48" w:rsidRDefault="00E30C10" w:rsidP="00137B48">
            <w:pPr>
              <w:numPr>
                <w:ilvl w:val="0"/>
                <w:numId w:val="7"/>
              </w:numPr>
              <w:jc w:val="both"/>
              <w:rPr>
                <w:rFonts w:ascii="PT Sans" w:hAnsi="PT Sans" w:cs="Calibri"/>
              </w:rPr>
            </w:pPr>
            <w:r w:rsidRPr="00137B48">
              <w:rPr>
                <w:rFonts w:ascii="PT Sans" w:hAnsi="PT Sans" w:cs="Calibri"/>
              </w:rPr>
              <w:t xml:space="preserve">Gazdasági </w:t>
            </w:r>
            <w:proofErr w:type="spellStart"/>
            <w:r w:rsidR="00437E20" w:rsidRPr="00137B48">
              <w:rPr>
                <w:rFonts w:ascii="PT Sans" w:hAnsi="PT Sans" w:cs="Calibri"/>
              </w:rPr>
              <w:t>eszözö</w:t>
            </w:r>
            <w:r w:rsidRPr="00137B48">
              <w:rPr>
                <w:rFonts w:ascii="PT Sans" w:hAnsi="PT Sans" w:cs="Calibri"/>
              </w:rPr>
              <w:t>k</w:t>
            </w:r>
            <w:proofErr w:type="spellEnd"/>
            <w:r w:rsidRPr="00137B48">
              <w:rPr>
                <w:rFonts w:ascii="PT Sans" w:hAnsi="PT Sans" w:cs="Calibri"/>
              </w:rPr>
              <w:t>: kamatpolitika, tartalékkezelés</w:t>
            </w:r>
          </w:p>
          <w:p w14:paraId="0DC10231" w14:textId="002FFA9C" w:rsidR="00E30C10" w:rsidRPr="00137B48" w:rsidRDefault="00E30C10" w:rsidP="00137B48">
            <w:pPr>
              <w:numPr>
                <w:ilvl w:val="0"/>
                <w:numId w:val="7"/>
              </w:numPr>
              <w:jc w:val="both"/>
              <w:rPr>
                <w:rFonts w:ascii="PT Sans" w:hAnsi="PT Sans" w:cs="Calibri"/>
              </w:rPr>
            </w:pPr>
            <w:proofErr w:type="spellStart"/>
            <w:r w:rsidRPr="00137B48">
              <w:rPr>
                <w:rFonts w:ascii="PT Sans" w:hAnsi="PT Sans" w:cs="Calibri"/>
              </w:rPr>
              <w:t>Eszközbefagyasztások</w:t>
            </w:r>
            <w:proofErr w:type="spellEnd"/>
            <w:r w:rsidR="00F73FEE" w:rsidRPr="00137B48">
              <w:rPr>
                <w:rFonts w:ascii="PT Sans" w:hAnsi="PT Sans" w:cs="Calibri"/>
              </w:rPr>
              <w:t xml:space="preserve"> </w:t>
            </w:r>
          </w:p>
          <w:p w14:paraId="1A21107E" w14:textId="0D3848A0" w:rsidR="00E30C10" w:rsidRPr="00137B48" w:rsidRDefault="00E30C10" w:rsidP="00137B48">
            <w:pPr>
              <w:numPr>
                <w:ilvl w:val="0"/>
                <w:numId w:val="7"/>
              </w:numPr>
              <w:jc w:val="both"/>
              <w:rPr>
                <w:rFonts w:ascii="PT Sans" w:hAnsi="PT Sans" w:cs="Calibri"/>
              </w:rPr>
            </w:pPr>
            <w:r w:rsidRPr="00137B48">
              <w:rPr>
                <w:rFonts w:ascii="PT Sans" w:hAnsi="PT Sans" w:cs="Calibri"/>
              </w:rPr>
              <w:t>Jegybanki diplomácia</w:t>
            </w:r>
          </w:p>
          <w:p w14:paraId="5B4FF4C6" w14:textId="0FEC5917" w:rsidR="00E30C10" w:rsidRPr="00137B48" w:rsidRDefault="00E30C10" w:rsidP="00137B48">
            <w:pPr>
              <w:numPr>
                <w:ilvl w:val="0"/>
                <w:numId w:val="7"/>
              </w:numPr>
              <w:jc w:val="both"/>
              <w:rPr>
                <w:rFonts w:ascii="PT Sans" w:hAnsi="PT Sans" w:cs="Calibri"/>
              </w:rPr>
            </w:pPr>
            <w:r w:rsidRPr="00137B48">
              <w:rPr>
                <w:rFonts w:ascii="PT Sans" w:hAnsi="PT Sans" w:cs="Calibri"/>
              </w:rPr>
              <w:t>Jogeset és vita: sérül-e az állami immunitás?</w:t>
            </w:r>
          </w:p>
          <w:p w14:paraId="0C4C2E65" w14:textId="542EF260" w:rsidR="006256E0" w:rsidRPr="00137B48" w:rsidRDefault="006256E0" w:rsidP="00137B48">
            <w:pPr>
              <w:rPr>
                <w:rFonts w:ascii="PT Sans" w:hAnsi="PT Sans" w:cs="Calibri"/>
                <w:b/>
                <w:bCs/>
              </w:rPr>
            </w:pPr>
            <w:r w:rsidRPr="00137B48">
              <w:rPr>
                <w:rFonts w:ascii="PT Sans" w:hAnsi="PT Sans" w:cs="Calibri"/>
                <w:b/>
                <w:bCs/>
              </w:rPr>
              <w:t>Az IMF szerepe és átalakulása</w:t>
            </w:r>
          </w:p>
          <w:p w14:paraId="766998BC" w14:textId="77777777" w:rsidR="00E30C10" w:rsidRPr="00137B48" w:rsidRDefault="00E30C10" w:rsidP="00137B48">
            <w:pPr>
              <w:numPr>
                <w:ilvl w:val="0"/>
                <w:numId w:val="7"/>
              </w:numPr>
              <w:jc w:val="both"/>
              <w:rPr>
                <w:rFonts w:ascii="PT Sans" w:hAnsi="PT Sans" w:cs="Calibri"/>
              </w:rPr>
            </w:pPr>
            <w:r w:rsidRPr="00137B48">
              <w:rPr>
                <w:rFonts w:ascii="PT Sans" w:hAnsi="PT Sans" w:cs="Calibri"/>
              </w:rPr>
              <w:t>IMF és strukturális alkalmazkodás jogi nézőpontból</w:t>
            </w:r>
          </w:p>
          <w:p w14:paraId="4C1565FF" w14:textId="77777777" w:rsidR="00E30C10" w:rsidRPr="00137B48" w:rsidRDefault="00E30C10" w:rsidP="00137B48">
            <w:pPr>
              <w:numPr>
                <w:ilvl w:val="0"/>
                <w:numId w:val="7"/>
              </w:numPr>
              <w:jc w:val="both"/>
              <w:rPr>
                <w:rFonts w:ascii="PT Sans" w:hAnsi="PT Sans" w:cs="Calibri"/>
              </w:rPr>
            </w:pPr>
            <w:r w:rsidRPr="00137B48">
              <w:rPr>
                <w:rFonts w:ascii="PT Sans" w:hAnsi="PT Sans" w:cs="Calibri"/>
              </w:rPr>
              <w:t>Függetlenség, mint feltétel</w:t>
            </w:r>
          </w:p>
          <w:p w14:paraId="6FADB79B" w14:textId="5BEFA5DE" w:rsidR="00E30C10" w:rsidRPr="00137B48" w:rsidRDefault="00E30C10" w:rsidP="00137B48">
            <w:pPr>
              <w:numPr>
                <w:ilvl w:val="0"/>
                <w:numId w:val="7"/>
              </w:numPr>
              <w:jc w:val="both"/>
              <w:rPr>
                <w:rFonts w:ascii="PT Sans" w:hAnsi="PT Sans" w:cs="Calibri"/>
              </w:rPr>
            </w:pPr>
            <w:r w:rsidRPr="00137B48">
              <w:rPr>
                <w:rFonts w:ascii="PT Sans" w:hAnsi="PT Sans" w:cs="Calibri"/>
              </w:rPr>
              <w:t>Reformtörekvések és fejlődő országok helyzete</w:t>
            </w:r>
          </w:p>
          <w:p w14:paraId="50B6BCE4" w14:textId="77777777" w:rsidR="006256E0" w:rsidRPr="00137B48" w:rsidRDefault="006256E0" w:rsidP="00137B48">
            <w:pPr>
              <w:rPr>
                <w:rFonts w:ascii="PT Sans" w:hAnsi="PT Sans" w:cs="Calibri"/>
                <w:b/>
                <w:bCs/>
              </w:rPr>
            </w:pPr>
            <w:r w:rsidRPr="00137B48">
              <w:rPr>
                <w:rFonts w:ascii="PT Sans" w:hAnsi="PT Sans" w:cs="Calibri"/>
                <w:b/>
                <w:bCs/>
              </w:rPr>
              <w:t>A jegybankok nemzetközi együttműködése és hálózatai</w:t>
            </w:r>
          </w:p>
          <w:p w14:paraId="165E6BDD" w14:textId="77777777" w:rsidR="00E30C10" w:rsidRPr="00137B48" w:rsidRDefault="00E30C10" w:rsidP="00137B48">
            <w:pPr>
              <w:numPr>
                <w:ilvl w:val="0"/>
                <w:numId w:val="7"/>
              </w:numPr>
              <w:jc w:val="both"/>
              <w:rPr>
                <w:rFonts w:ascii="PT Sans" w:hAnsi="PT Sans" w:cs="Calibri"/>
              </w:rPr>
            </w:pPr>
            <w:r w:rsidRPr="00137B48">
              <w:rPr>
                <w:rFonts w:ascii="PT Sans" w:hAnsi="PT Sans" w:cs="Calibri"/>
              </w:rPr>
              <w:t>A BIS (Nemzetközi Fizetések Bankja) és szerepe a koordinációban</w:t>
            </w:r>
          </w:p>
          <w:p w14:paraId="3F5CB748" w14:textId="77777777" w:rsidR="00E30C10" w:rsidRPr="00137B48" w:rsidRDefault="00E30C10" w:rsidP="00137B48">
            <w:pPr>
              <w:numPr>
                <w:ilvl w:val="0"/>
                <w:numId w:val="7"/>
              </w:numPr>
              <w:jc w:val="both"/>
              <w:rPr>
                <w:rFonts w:ascii="PT Sans" w:hAnsi="PT Sans" w:cs="Calibri"/>
              </w:rPr>
            </w:pPr>
            <w:r w:rsidRPr="00137B48">
              <w:rPr>
                <w:rFonts w:ascii="PT Sans" w:hAnsi="PT Sans" w:cs="Calibri"/>
              </w:rPr>
              <w:t xml:space="preserve">Jegybankközi </w:t>
            </w:r>
            <w:proofErr w:type="spellStart"/>
            <w:r w:rsidRPr="00137B48">
              <w:rPr>
                <w:rFonts w:ascii="PT Sans" w:hAnsi="PT Sans" w:cs="Calibri"/>
              </w:rPr>
              <w:t>swap</w:t>
            </w:r>
            <w:proofErr w:type="spellEnd"/>
            <w:r w:rsidRPr="00137B48">
              <w:rPr>
                <w:rFonts w:ascii="PT Sans" w:hAnsi="PT Sans" w:cs="Calibri"/>
              </w:rPr>
              <w:t>-mechanizmusok, válságkezelési együttműködések</w:t>
            </w:r>
          </w:p>
          <w:p w14:paraId="62F00F42" w14:textId="77777777" w:rsidR="00E30C10" w:rsidRPr="00137B48" w:rsidRDefault="00E30C10" w:rsidP="00137B48">
            <w:pPr>
              <w:numPr>
                <w:ilvl w:val="0"/>
                <w:numId w:val="7"/>
              </w:numPr>
              <w:jc w:val="both"/>
              <w:rPr>
                <w:rFonts w:ascii="PT Sans" w:hAnsi="PT Sans" w:cs="Calibri"/>
              </w:rPr>
            </w:pPr>
            <w:r w:rsidRPr="00137B48">
              <w:rPr>
                <w:rFonts w:ascii="PT Sans" w:hAnsi="PT Sans" w:cs="Calibri"/>
              </w:rPr>
              <w:t xml:space="preserve">G10, G30, FSB, Basel </w:t>
            </w:r>
            <w:proofErr w:type="spellStart"/>
            <w:r w:rsidRPr="00137B48">
              <w:rPr>
                <w:rFonts w:ascii="PT Sans" w:hAnsi="PT Sans" w:cs="Calibri"/>
              </w:rPr>
              <w:t>Committee</w:t>
            </w:r>
            <w:proofErr w:type="spellEnd"/>
            <w:r w:rsidRPr="00137B48">
              <w:rPr>
                <w:rFonts w:ascii="PT Sans" w:hAnsi="PT Sans" w:cs="Calibri"/>
              </w:rPr>
              <w:t xml:space="preserve"> – jogi státuszuk és hatásuk</w:t>
            </w:r>
          </w:p>
          <w:p w14:paraId="2E864978" w14:textId="77777777" w:rsidR="00E30C10" w:rsidRPr="00137B48" w:rsidRDefault="00E30C10" w:rsidP="00137B48">
            <w:pPr>
              <w:numPr>
                <w:ilvl w:val="0"/>
                <w:numId w:val="7"/>
              </w:numPr>
              <w:jc w:val="both"/>
              <w:rPr>
                <w:rFonts w:ascii="PT Sans" w:hAnsi="PT Sans" w:cs="Calibri"/>
              </w:rPr>
            </w:pPr>
            <w:r w:rsidRPr="00137B48">
              <w:rPr>
                <w:rFonts w:ascii="PT Sans" w:hAnsi="PT Sans" w:cs="Calibri"/>
              </w:rPr>
              <w:t>A központi bankok diplomáciája – „puha jog” és szuverén egyeztetés</w:t>
            </w:r>
          </w:p>
          <w:p w14:paraId="58A2496B" w14:textId="710732B2" w:rsidR="00FF7CD8" w:rsidRPr="006266DA" w:rsidRDefault="00E30C10" w:rsidP="00137B48">
            <w:pPr>
              <w:numPr>
                <w:ilvl w:val="0"/>
                <w:numId w:val="7"/>
              </w:numPr>
              <w:jc w:val="both"/>
              <w:rPr>
                <w:rFonts w:ascii="PT Sans" w:hAnsi="PT Sans" w:cs="Calibri"/>
              </w:rPr>
            </w:pPr>
            <w:r w:rsidRPr="00137B48">
              <w:rPr>
                <w:rFonts w:ascii="PT Sans" w:hAnsi="PT Sans" w:cs="Calibri"/>
              </w:rPr>
              <w:t>Szuverenitás és együttműködés feszültségei</w:t>
            </w:r>
          </w:p>
        </w:tc>
      </w:tr>
      <w:tr w:rsidR="00FF7CD8" w:rsidRPr="00D07B4F" w14:paraId="54AC6D53" w14:textId="77777777" w:rsidTr="00260D11">
        <w:trPr>
          <w:jc w:val="center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5E54" w14:textId="5D4F6F61" w:rsidR="00FF7CD8" w:rsidRDefault="00260D11" w:rsidP="00093A6B">
            <w:pPr>
              <w:tabs>
                <w:tab w:val="left" w:pos="3780"/>
              </w:tabs>
              <w:spacing w:after="100"/>
              <w:jc w:val="both"/>
              <w:rPr>
                <w:rFonts w:ascii="PT Sans" w:hAnsi="PT Sans"/>
                <w:b/>
                <w:bCs/>
              </w:rPr>
            </w:pPr>
            <w:r>
              <w:lastRenderedPageBreak/>
              <w:br w:type="page"/>
            </w:r>
            <w:r w:rsidR="00FF7CD8" w:rsidRPr="00507B3D">
              <w:rPr>
                <w:rFonts w:ascii="PT Sans" w:hAnsi="PT Sans"/>
                <w:b/>
                <w:bCs/>
              </w:rPr>
              <w:t>A 2-4 legfontosabb kötelező irodalom felsorolása bibliográfiai adatokkal (szerző, cím, kiadás adatai, (esetleg oldalak), ISBN)</w:t>
            </w:r>
          </w:p>
          <w:p w14:paraId="54579A2D" w14:textId="77777777" w:rsidR="001D1C75" w:rsidRPr="00093A6B" w:rsidRDefault="001D1C75" w:rsidP="00093A6B">
            <w:pPr>
              <w:tabs>
                <w:tab w:val="left" w:pos="3780"/>
              </w:tabs>
              <w:jc w:val="both"/>
              <w:rPr>
                <w:rFonts w:ascii="PT Sans" w:hAnsi="PT Sans"/>
                <w:i/>
                <w:iCs/>
                <w:color w:val="C00000"/>
              </w:rPr>
            </w:pPr>
            <w:r w:rsidRPr="00093A6B">
              <w:rPr>
                <w:rFonts w:ascii="PT Sans" w:hAnsi="PT Sans"/>
                <w:i/>
                <w:iCs/>
                <w:color w:val="C00000"/>
              </w:rPr>
              <w:t>Fontos, hogy ne legyen irreális, teljesíthetetlen a lista. Lényeges, hogy ne elavult szakirodalom szerepeljen, az elmúlt 5 évből mindenképpen legyen egy-egy tétel.</w:t>
            </w:r>
          </w:p>
          <w:p w14:paraId="2586E1C0" w14:textId="668DC283" w:rsidR="001D1C75" w:rsidRPr="00093A6B" w:rsidRDefault="001D1C75" w:rsidP="00093A6B">
            <w:pPr>
              <w:tabs>
                <w:tab w:val="left" w:pos="3780"/>
              </w:tabs>
              <w:spacing w:after="100"/>
              <w:jc w:val="both"/>
              <w:rPr>
                <w:rFonts w:ascii="PT Sans" w:hAnsi="PT Sans"/>
                <w:i/>
                <w:iCs/>
                <w:color w:val="C00000"/>
              </w:rPr>
            </w:pPr>
            <w:r w:rsidRPr="00093A6B">
              <w:rPr>
                <w:rFonts w:ascii="PT Sans" w:hAnsi="PT Sans"/>
                <w:i/>
                <w:iCs/>
                <w:color w:val="C00000"/>
              </w:rPr>
              <w:t>Kötelező adatok: szerző, cím, kiadás adatai, esetleg oldalak megadás, ISBN szám kötelező.</w:t>
            </w:r>
          </w:p>
          <w:p w14:paraId="428F3DB8" w14:textId="77777777" w:rsidR="001D1C75" w:rsidRPr="00093A6B" w:rsidRDefault="001D1C75" w:rsidP="00093A6B">
            <w:pPr>
              <w:tabs>
                <w:tab w:val="left" w:pos="3780"/>
              </w:tabs>
              <w:jc w:val="both"/>
              <w:rPr>
                <w:rFonts w:ascii="PT Sans" w:hAnsi="PT Sans"/>
                <w:b/>
                <w:bCs/>
                <w:i/>
                <w:iCs/>
                <w:color w:val="4472C4" w:themeColor="accent5"/>
              </w:rPr>
            </w:pPr>
            <w:r w:rsidRPr="00093A6B">
              <w:rPr>
                <w:rFonts w:ascii="PT Sans" w:hAnsi="PT Sans"/>
                <w:b/>
                <w:bCs/>
                <w:i/>
                <w:iCs/>
                <w:color w:val="4472C4" w:themeColor="accent5"/>
              </w:rPr>
              <w:t>Bírálati szempont:</w:t>
            </w:r>
          </w:p>
          <w:p w14:paraId="2A20249B" w14:textId="77777777" w:rsidR="00260D11" w:rsidRDefault="001D1C75" w:rsidP="00260D11">
            <w:pPr>
              <w:tabs>
                <w:tab w:val="left" w:pos="3780"/>
              </w:tabs>
              <w:spacing w:after="100"/>
              <w:jc w:val="both"/>
              <w:rPr>
                <w:rFonts w:ascii="PT Sans" w:hAnsi="PT Sans"/>
                <w:i/>
                <w:iCs/>
                <w:color w:val="4472C4" w:themeColor="accent5"/>
              </w:rPr>
            </w:pPr>
            <w:r w:rsidRPr="00093A6B">
              <w:rPr>
                <w:rFonts w:ascii="PT Sans" w:hAnsi="PT Sans"/>
                <w:i/>
                <w:iCs/>
                <w:color w:val="4472C4" w:themeColor="accent5"/>
              </w:rPr>
              <w:t>A szakirodalom a képzési programhoz igazodó, releváns szakirodalom?</w:t>
            </w:r>
          </w:p>
          <w:p w14:paraId="0C3F93D0" w14:textId="7391596A" w:rsidR="001D1C75" w:rsidRPr="00093A6B" w:rsidRDefault="001D1C75" w:rsidP="00260D11">
            <w:pPr>
              <w:tabs>
                <w:tab w:val="left" w:pos="3780"/>
              </w:tabs>
              <w:spacing w:after="100"/>
              <w:jc w:val="both"/>
              <w:rPr>
                <w:rFonts w:ascii="PT Sans" w:hAnsi="PT Sans"/>
                <w:i/>
                <w:iCs/>
                <w:color w:val="4472C4" w:themeColor="accent5"/>
              </w:rPr>
            </w:pPr>
            <w:r w:rsidRPr="00093A6B">
              <w:rPr>
                <w:rFonts w:ascii="PT Sans" w:hAnsi="PT Sans"/>
                <w:i/>
                <w:iCs/>
                <w:color w:val="4472C4" w:themeColor="accent5"/>
              </w:rPr>
              <w:t>Beépülnek az elmúlt 5 évben született tanulmányok, könyvek, nemzetközi források, adatbázisok, illetve saját jegyzetek, valamint digitális tananyagok?</w:t>
            </w:r>
          </w:p>
          <w:p w14:paraId="1E03B176" w14:textId="7E164F7A" w:rsidR="001D1C75" w:rsidRPr="00507B3D" w:rsidRDefault="001D1C75" w:rsidP="00093A6B">
            <w:pPr>
              <w:tabs>
                <w:tab w:val="left" w:pos="3780"/>
              </w:tabs>
              <w:jc w:val="both"/>
              <w:rPr>
                <w:rFonts w:ascii="PT Sans" w:hAnsi="PT Sans"/>
                <w:b/>
                <w:bCs/>
              </w:rPr>
            </w:pPr>
            <w:r w:rsidRPr="00093A6B">
              <w:rPr>
                <w:rFonts w:ascii="PT Sans" w:hAnsi="PT Sans"/>
                <w:i/>
                <w:iCs/>
                <w:color w:val="4472C4" w:themeColor="accent5"/>
              </w:rPr>
              <w:t>A tantárgyi tematikákban megadott szakirodalmak elérhetősége biztosított a könyvtári adatbázis alapján?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E203" w14:textId="75699B2B" w:rsidR="004179FA" w:rsidRPr="001A3ECB" w:rsidRDefault="004179FA" w:rsidP="004179FA">
            <w:pPr>
              <w:pStyle w:val="Listaszerbekezds"/>
              <w:numPr>
                <w:ilvl w:val="0"/>
                <w:numId w:val="21"/>
              </w:numPr>
              <w:tabs>
                <w:tab w:val="left" w:pos="3780"/>
              </w:tabs>
              <w:ind w:left="432"/>
              <w:rPr>
                <w:rFonts w:ascii="PT Sans" w:hAnsi="PT Sans"/>
                <w:bCs/>
              </w:rPr>
            </w:pPr>
            <w:r w:rsidRPr="001A3ECB">
              <w:rPr>
                <w:rFonts w:ascii="PT Sans" w:hAnsi="PT Sans"/>
                <w:bCs/>
              </w:rPr>
              <w:t>MNB weboldal nemzetközi kapcsolatokról (</w:t>
            </w:r>
            <w:hyperlink r:id="rId5" w:history="1">
              <w:r w:rsidR="001A3ECB" w:rsidRPr="001A3ECB">
                <w:rPr>
                  <w:rStyle w:val="Hiperhivatkozs"/>
                  <w:rFonts w:ascii="PT Sans" w:hAnsi="PT Sans"/>
                  <w:bCs/>
                </w:rPr>
                <w:t>https://www.mnb.hu/a-jegybank/informaciok-a-jegybankrol/nemzetkozi-kapcsolatok</w:t>
              </w:r>
            </w:hyperlink>
            <w:r w:rsidRPr="001A3ECB">
              <w:rPr>
                <w:rFonts w:ascii="PT Sans" w:hAnsi="PT Sans"/>
                <w:bCs/>
              </w:rPr>
              <w:t xml:space="preserve"> )</w:t>
            </w:r>
          </w:p>
          <w:p w14:paraId="344F0F0A" w14:textId="649B4C59" w:rsidR="004179FA" w:rsidRPr="001A3ECB" w:rsidRDefault="004179FA" w:rsidP="004179FA">
            <w:pPr>
              <w:pStyle w:val="Listaszerbekezds"/>
              <w:numPr>
                <w:ilvl w:val="0"/>
                <w:numId w:val="21"/>
              </w:numPr>
              <w:tabs>
                <w:tab w:val="left" w:pos="3780"/>
              </w:tabs>
              <w:ind w:left="432"/>
              <w:rPr>
                <w:rFonts w:ascii="PT Sans" w:hAnsi="PT Sans"/>
                <w:bCs/>
              </w:rPr>
            </w:pPr>
            <w:proofErr w:type="spellStart"/>
            <w:r w:rsidRPr="001A3ECB">
              <w:rPr>
                <w:rFonts w:ascii="PT Sans" w:hAnsi="PT Sans"/>
                <w:bCs/>
              </w:rPr>
              <w:t>Báger</w:t>
            </w:r>
            <w:proofErr w:type="spellEnd"/>
            <w:r w:rsidRPr="001A3ECB">
              <w:rPr>
                <w:rFonts w:ascii="PT Sans" w:hAnsi="PT Sans"/>
                <w:bCs/>
              </w:rPr>
              <w:t xml:space="preserve"> Gusztáv: Magyarország integrációja a nemzetközi pénzügyi intézményekbe. 2011. Akadémia Kiadó</w:t>
            </w:r>
          </w:p>
          <w:p w14:paraId="5EDC6C22" w14:textId="6499EC20" w:rsidR="004179FA" w:rsidRPr="001A3ECB" w:rsidRDefault="001A3ECB" w:rsidP="004179FA">
            <w:pPr>
              <w:pStyle w:val="Listaszerbekezds"/>
              <w:numPr>
                <w:ilvl w:val="0"/>
                <w:numId w:val="21"/>
              </w:numPr>
              <w:tabs>
                <w:tab w:val="left" w:pos="3780"/>
              </w:tabs>
              <w:ind w:left="432"/>
              <w:rPr>
                <w:rFonts w:ascii="PT Sans" w:hAnsi="PT Sans"/>
                <w:b/>
                <w:bCs/>
              </w:rPr>
            </w:pPr>
            <w:r w:rsidRPr="001A3ECB">
              <w:rPr>
                <w:rStyle w:val="publishedat"/>
                <w:rFonts w:ascii="PT Sans" w:hAnsi="PT Sans" w:cs="Calibri"/>
                <w:color w:val="222222"/>
              </w:rPr>
              <w:t>H</w:t>
            </w:r>
            <w:r w:rsidRPr="001A3ECB">
              <w:rPr>
                <w:rStyle w:val="publishedat"/>
                <w:rFonts w:ascii="PT Sans" w:hAnsi="PT Sans"/>
                <w:color w:val="222222"/>
              </w:rPr>
              <w:t>orváth Marcell-</w:t>
            </w:r>
            <w:r w:rsidRPr="001A3ECB">
              <w:rPr>
                <w:rFonts w:ascii="PT Sans" w:hAnsi="PT Sans" w:cs="Calibri"/>
              </w:rPr>
              <w:t xml:space="preserve"> Gulyás Zsófia - Mikes Veronika</w:t>
            </w:r>
            <w:r w:rsidRPr="001A3ECB">
              <w:rPr>
                <w:rStyle w:val="publishedat"/>
                <w:rFonts w:ascii="PT Sans" w:hAnsi="PT Sans"/>
                <w:color w:val="222222"/>
              </w:rPr>
              <w:t xml:space="preserve">: </w:t>
            </w:r>
            <w:r w:rsidR="004179FA" w:rsidRPr="001A3ECB">
              <w:rPr>
                <w:rStyle w:val="publishedat"/>
                <w:rFonts w:ascii="PT Sans" w:hAnsi="PT Sans" w:cs="Calibri"/>
                <w:color w:val="222222"/>
              </w:rPr>
              <w:t xml:space="preserve">A jegybankok változó szerepe a 21. században: a Magyar Nemzeti Bank nemzetközi és társadalmi felelősségvállalási stratégiája. In </w:t>
            </w:r>
            <w:r w:rsidR="004179FA" w:rsidRPr="001A3ECB">
              <w:rPr>
                <w:rFonts w:ascii="PT Sans" w:hAnsi="PT Sans" w:cs="Calibri"/>
              </w:rPr>
              <w:t xml:space="preserve">Patai Mihály-Horváth Marcell (szerk.): Jelenünk a jövő. Eurázsiai jegybankok az innováció élén. </w:t>
            </w:r>
            <w:r w:rsidR="004179FA" w:rsidRPr="001A3ECB">
              <w:rPr>
                <w:rStyle w:val="publishedat"/>
                <w:rFonts w:ascii="PT Sans" w:hAnsi="PT Sans" w:cs="Calibri"/>
                <w:color w:val="222222"/>
              </w:rPr>
              <w:t>Magyar Nemzeti Bank 2022.</w:t>
            </w:r>
          </w:p>
          <w:p w14:paraId="0EBBC620" w14:textId="5800CBF2" w:rsidR="00FF7CD8" w:rsidRPr="00D07B4F" w:rsidRDefault="00FF7CD8" w:rsidP="00507B3D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</w:p>
        </w:tc>
      </w:tr>
      <w:tr w:rsidR="00FF7CD8" w:rsidRPr="00D07B4F" w14:paraId="55215D08" w14:textId="77777777" w:rsidTr="00260D11">
        <w:trPr>
          <w:jc w:val="center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DB34" w14:textId="77777777" w:rsidR="00FF7CD8" w:rsidRDefault="00FF7CD8" w:rsidP="00093A6B">
            <w:pPr>
              <w:tabs>
                <w:tab w:val="left" w:pos="3780"/>
              </w:tabs>
              <w:spacing w:after="100"/>
              <w:jc w:val="both"/>
              <w:rPr>
                <w:rFonts w:ascii="PT Sans" w:hAnsi="PT Sans"/>
                <w:b/>
                <w:bCs/>
              </w:rPr>
            </w:pPr>
            <w:r w:rsidRPr="00507B3D">
              <w:rPr>
                <w:rFonts w:ascii="PT Sans" w:hAnsi="PT Sans"/>
                <w:b/>
                <w:bCs/>
              </w:rPr>
              <w:t>A 2-4 legfontosabb ajánlott felsorolása bibliográfiai adatokkal (szerző, cím, kiadás adatai, (esetleg oldalak), ISBN)</w:t>
            </w:r>
          </w:p>
          <w:p w14:paraId="16100CB2" w14:textId="77777777" w:rsidR="00093A6B" w:rsidRPr="00093A6B" w:rsidRDefault="00093A6B" w:rsidP="00093A6B">
            <w:pPr>
              <w:tabs>
                <w:tab w:val="left" w:pos="3780"/>
              </w:tabs>
              <w:jc w:val="both"/>
              <w:rPr>
                <w:rFonts w:ascii="PT Sans" w:hAnsi="PT Sans"/>
                <w:i/>
                <w:iCs/>
                <w:color w:val="C00000"/>
              </w:rPr>
            </w:pPr>
            <w:r w:rsidRPr="00093A6B">
              <w:rPr>
                <w:rFonts w:ascii="PT Sans" w:hAnsi="PT Sans"/>
                <w:i/>
                <w:iCs/>
                <w:color w:val="C00000"/>
              </w:rPr>
              <w:t>Fontos, hogy ne legyen irreális, teljesíthetetlen a lista. Lényeges, hogy ne elavult szakirodalom szerepeljen, az elmúlt 5 évből mindenképpen legyen egy-egy tétel.</w:t>
            </w:r>
          </w:p>
          <w:p w14:paraId="70F5B8A9" w14:textId="6FC7877A" w:rsidR="00093A6B" w:rsidRPr="00093A6B" w:rsidRDefault="00093A6B" w:rsidP="00093A6B">
            <w:pPr>
              <w:tabs>
                <w:tab w:val="left" w:pos="3780"/>
              </w:tabs>
              <w:spacing w:after="100"/>
              <w:jc w:val="both"/>
              <w:rPr>
                <w:rFonts w:ascii="PT Sans" w:hAnsi="PT Sans"/>
                <w:i/>
                <w:iCs/>
                <w:color w:val="C00000"/>
              </w:rPr>
            </w:pPr>
            <w:r w:rsidRPr="00093A6B">
              <w:rPr>
                <w:rFonts w:ascii="PT Sans" w:hAnsi="PT Sans"/>
                <w:i/>
                <w:iCs/>
                <w:color w:val="C00000"/>
              </w:rPr>
              <w:t>Kötelező adatok: szerző, cím, kiadás adatai, esetleg oldalak megadás, ISBN szám kötelező.</w:t>
            </w:r>
          </w:p>
          <w:p w14:paraId="1DBA1C9D" w14:textId="77777777" w:rsidR="00093A6B" w:rsidRPr="00093A6B" w:rsidRDefault="00093A6B" w:rsidP="00093A6B">
            <w:pPr>
              <w:tabs>
                <w:tab w:val="left" w:pos="3780"/>
              </w:tabs>
              <w:jc w:val="both"/>
              <w:rPr>
                <w:rFonts w:ascii="PT Sans" w:hAnsi="PT Sans"/>
                <w:b/>
                <w:bCs/>
                <w:i/>
                <w:iCs/>
                <w:color w:val="4472C4" w:themeColor="accent5"/>
              </w:rPr>
            </w:pPr>
            <w:r w:rsidRPr="00093A6B">
              <w:rPr>
                <w:rFonts w:ascii="PT Sans" w:hAnsi="PT Sans"/>
                <w:b/>
                <w:bCs/>
                <w:i/>
                <w:iCs/>
                <w:color w:val="4472C4" w:themeColor="accent5"/>
              </w:rPr>
              <w:t>Bírálati szempont:</w:t>
            </w:r>
          </w:p>
          <w:p w14:paraId="5FCEC15A" w14:textId="77777777" w:rsidR="00260D11" w:rsidRDefault="00093A6B" w:rsidP="00260D11">
            <w:pPr>
              <w:tabs>
                <w:tab w:val="left" w:pos="3780"/>
              </w:tabs>
              <w:spacing w:after="100"/>
              <w:jc w:val="both"/>
              <w:rPr>
                <w:rFonts w:ascii="PT Sans" w:hAnsi="PT Sans"/>
                <w:i/>
                <w:iCs/>
                <w:color w:val="4472C4" w:themeColor="accent5"/>
              </w:rPr>
            </w:pPr>
            <w:r w:rsidRPr="00093A6B">
              <w:rPr>
                <w:rFonts w:ascii="PT Sans" w:hAnsi="PT Sans"/>
                <w:i/>
                <w:iCs/>
                <w:color w:val="4472C4" w:themeColor="accent5"/>
              </w:rPr>
              <w:t>A szakirodalom a képzési programhoz igazodó, releváns szakirodalom?</w:t>
            </w:r>
          </w:p>
          <w:p w14:paraId="07E883BD" w14:textId="7B2BF123" w:rsidR="00093A6B" w:rsidRPr="00093A6B" w:rsidRDefault="00093A6B" w:rsidP="00260D11">
            <w:pPr>
              <w:tabs>
                <w:tab w:val="left" w:pos="3780"/>
              </w:tabs>
              <w:spacing w:after="100"/>
              <w:jc w:val="both"/>
              <w:rPr>
                <w:rFonts w:ascii="PT Sans" w:hAnsi="PT Sans"/>
                <w:i/>
                <w:iCs/>
                <w:color w:val="4472C4" w:themeColor="accent5"/>
              </w:rPr>
            </w:pPr>
            <w:r w:rsidRPr="00093A6B">
              <w:rPr>
                <w:rFonts w:ascii="PT Sans" w:hAnsi="PT Sans"/>
                <w:i/>
                <w:iCs/>
                <w:color w:val="4472C4" w:themeColor="accent5"/>
              </w:rPr>
              <w:t>Beépülnek az elmúlt 5 évben született tanulmányok, könyvek, nemzetközi források, adatbázisok, illetve saját jegyzetek, valamint digitális tananyagok?</w:t>
            </w:r>
          </w:p>
          <w:p w14:paraId="75EAEFBA" w14:textId="7E128ED2" w:rsidR="00093A6B" w:rsidRPr="00507B3D" w:rsidRDefault="00093A6B" w:rsidP="00093A6B">
            <w:pPr>
              <w:tabs>
                <w:tab w:val="left" w:pos="3780"/>
              </w:tabs>
              <w:jc w:val="both"/>
              <w:rPr>
                <w:rFonts w:ascii="PT Sans" w:hAnsi="PT Sans"/>
                <w:b/>
                <w:bCs/>
              </w:rPr>
            </w:pPr>
            <w:r w:rsidRPr="00093A6B">
              <w:rPr>
                <w:rFonts w:ascii="PT Sans" w:hAnsi="PT Sans"/>
                <w:i/>
                <w:iCs/>
                <w:color w:val="4472C4" w:themeColor="accent5"/>
              </w:rPr>
              <w:t>A tantárgyi tematikákban megadott szakirodalmak elérhetősége biztosított a könyvtári adatbázis alapján?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DC41" w14:textId="77777777" w:rsidR="001A3ECB" w:rsidRPr="00330898" w:rsidRDefault="001A3ECB" w:rsidP="003644F4">
            <w:pPr>
              <w:pStyle w:val="Listaszerbekezds"/>
              <w:numPr>
                <w:ilvl w:val="0"/>
                <w:numId w:val="22"/>
              </w:numPr>
              <w:tabs>
                <w:tab w:val="left" w:pos="3780"/>
              </w:tabs>
              <w:ind w:left="290" w:hanging="357"/>
              <w:rPr>
                <w:rFonts w:ascii="PT Sans" w:hAnsi="PT Sans"/>
              </w:rPr>
            </w:pPr>
            <w:proofErr w:type="spellStart"/>
            <w:r w:rsidRPr="00330898">
              <w:rPr>
                <w:rFonts w:ascii="PT Sans" w:hAnsi="PT Sans" w:cs="Calibri"/>
              </w:rPr>
              <w:t>Aradványi</w:t>
            </w:r>
            <w:proofErr w:type="spellEnd"/>
            <w:r w:rsidRPr="00330898">
              <w:rPr>
                <w:rFonts w:ascii="PT Sans" w:hAnsi="PT Sans" w:cs="Calibri"/>
              </w:rPr>
              <w:t xml:space="preserve"> Péter – Balázs Flóra – Lóránt Balázs: Nemzetközi fejlemények a zöld jegybanki programok és gyakorlatok terén. In. K</w:t>
            </w:r>
            <w:r w:rsidRPr="00330898">
              <w:rPr>
                <w:rFonts w:ascii="PT Sans" w:hAnsi="PT Sans"/>
              </w:rPr>
              <w:t xml:space="preserve">iss-Mihály Norbert – </w:t>
            </w:r>
            <w:proofErr w:type="spellStart"/>
            <w:r w:rsidRPr="00330898">
              <w:rPr>
                <w:rFonts w:ascii="PT Sans" w:hAnsi="PT Sans"/>
              </w:rPr>
              <w:t>Kolozsi</w:t>
            </w:r>
            <w:proofErr w:type="spellEnd"/>
            <w:r w:rsidRPr="00330898">
              <w:rPr>
                <w:rFonts w:ascii="PT Sans" w:hAnsi="PT Sans"/>
              </w:rPr>
              <w:t xml:space="preserve"> Pál Péter: Monetáris politika a fenntarthatóság jegyében. </w:t>
            </w:r>
            <w:r w:rsidRPr="00330898">
              <w:rPr>
                <w:rFonts w:ascii="PT Sans" w:hAnsi="PT Sans" w:cs="Calibri"/>
              </w:rPr>
              <w:t xml:space="preserve">A Magyar Nemzeti Bank tanulmánykötete a zöld monetáris politikai eszköztár első évéről. 2022. pp- 8-27. </w:t>
            </w:r>
          </w:p>
          <w:p w14:paraId="0E33FB8E" w14:textId="4CE8DD7C" w:rsidR="001A3ECB" w:rsidRPr="00330898" w:rsidRDefault="001A3ECB" w:rsidP="003644F4">
            <w:pPr>
              <w:pStyle w:val="NormlWeb"/>
              <w:numPr>
                <w:ilvl w:val="0"/>
                <w:numId w:val="22"/>
              </w:numPr>
              <w:spacing w:before="0" w:beforeAutospacing="0" w:after="0" w:afterAutospacing="0"/>
              <w:ind w:left="284" w:hanging="357"/>
              <w:jc w:val="both"/>
              <w:rPr>
                <w:rStyle w:val="publishedat"/>
                <w:rFonts w:ascii="PT Sans" w:hAnsi="PT Sans" w:cs="Calibri"/>
                <w:sz w:val="20"/>
                <w:szCs w:val="20"/>
              </w:rPr>
            </w:pPr>
            <w:proofErr w:type="spellStart"/>
            <w:r w:rsidRPr="00330898">
              <w:rPr>
                <w:rStyle w:val="publishedat"/>
                <w:rFonts w:ascii="PT Sans" w:hAnsi="PT Sans" w:cs="Calibri"/>
                <w:color w:val="222222"/>
                <w:sz w:val="20"/>
                <w:szCs w:val="20"/>
              </w:rPr>
              <w:t>Bordo</w:t>
            </w:r>
            <w:proofErr w:type="spellEnd"/>
            <w:r w:rsidRPr="00330898">
              <w:rPr>
                <w:rStyle w:val="publishedat"/>
                <w:rFonts w:ascii="PT Sans" w:hAnsi="PT Sans" w:cs="Calibri"/>
                <w:color w:val="222222"/>
                <w:sz w:val="20"/>
                <w:szCs w:val="20"/>
              </w:rPr>
              <w:t xml:space="preserve">, Michael, D.: </w:t>
            </w:r>
            <w:proofErr w:type="spellStart"/>
            <w:r w:rsidRPr="00330898">
              <w:rPr>
                <w:rFonts w:ascii="PT Sans" w:hAnsi="PT Sans" w:cs="Calibri"/>
                <w:color w:val="222222"/>
                <w:sz w:val="20"/>
                <w:szCs w:val="20"/>
              </w:rPr>
              <w:t>Monetary</w:t>
            </w:r>
            <w:proofErr w:type="spellEnd"/>
            <w:r w:rsidRPr="00330898">
              <w:rPr>
                <w:rFonts w:ascii="PT Sans" w:hAnsi="PT Sans" w:cs="Calibri"/>
                <w:color w:val="222222"/>
                <w:sz w:val="20"/>
                <w:szCs w:val="20"/>
              </w:rPr>
              <w:t xml:space="preserve"> Policy </w:t>
            </w:r>
            <w:proofErr w:type="spellStart"/>
            <w:r w:rsidRPr="00330898">
              <w:rPr>
                <w:rFonts w:ascii="PT Sans" w:hAnsi="PT Sans" w:cs="Calibri"/>
                <w:color w:val="222222"/>
                <w:sz w:val="20"/>
                <w:szCs w:val="20"/>
              </w:rPr>
              <w:t>Cooperation</w:t>
            </w:r>
            <w:proofErr w:type="spellEnd"/>
            <w:r w:rsidRPr="00330898">
              <w:rPr>
                <w:rFonts w:ascii="PT Sans" w:hAnsi="PT Sans" w:cs="Calibri"/>
                <w:color w:val="222222"/>
                <w:sz w:val="20"/>
                <w:szCs w:val="20"/>
              </w:rPr>
              <w:t>/</w:t>
            </w:r>
            <w:proofErr w:type="spellStart"/>
            <w:r w:rsidRPr="00330898">
              <w:rPr>
                <w:rFonts w:ascii="PT Sans" w:hAnsi="PT Sans" w:cs="Calibri"/>
                <w:color w:val="222222"/>
                <w:sz w:val="20"/>
                <w:szCs w:val="20"/>
              </w:rPr>
              <w:t>Coordination</w:t>
            </w:r>
            <w:proofErr w:type="spellEnd"/>
            <w:r w:rsidRPr="00330898">
              <w:rPr>
                <w:rFonts w:ascii="PT Sans" w:hAnsi="PT Sans" w:cs="Calibri"/>
                <w:color w:val="222222"/>
                <w:sz w:val="20"/>
                <w:szCs w:val="20"/>
              </w:rPr>
              <w:t xml:space="preserve"> and Global Financial </w:t>
            </w:r>
            <w:proofErr w:type="spellStart"/>
            <w:r w:rsidRPr="00330898">
              <w:rPr>
                <w:rFonts w:ascii="PT Sans" w:hAnsi="PT Sans" w:cs="Calibri"/>
                <w:color w:val="222222"/>
                <w:sz w:val="20"/>
                <w:szCs w:val="20"/>
              </w:rPr>
              <w:t>Crises</w:t>
            </w:r>
            <w:proofErr w:type="spellEnd"/>
            <w:r w:rsidRPr="00330898">
              <w:rPr>
                <w:rFonts w:ascii="PT Sans" w:hAnsi="PT Sans" w:cs="Calibri"/>
                <w:color w:val="222222"/>
                <w:sz w:val="20"/>
                <w:szCs w:val="20"/>
              </w:rPr>
              <w:t xml:space="preserve"> in </w:t>
            </w:r>
            <w:proofErr w:type="spellStart"/>
            <w:r w:rsidRPr="00330898">
              <w:rPr>
                <w:rFonts w:ascii="PT Sans" w:hAnsi="PT Sans" w:cs="Calibri"/>
                <w:color w:val="222222"/>
                <w:sz w:val="20"/>
                <w:szCs w:val="20"/>
              </w:rPr>
              <w:t>Historical</w:t>
            </w:r>
            <w:proofErr w:type="spellEnd"/>
            <w:r w:rsidRPr="00330898">
              <w:rPr>
                <w:rFonts w:ascii="PT Sans" w:hAnsi="PT San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330898">
              <w:rPr>
                <w:rFonts w:ascii="PT Sans" w:hAnsi="PT Sans" w:cs="Calibri"/>
                <w:color w:val="222222"/>
                <w:sz w:val="20"/>
                <w:szCs w:val="20"/>
              </w:rPr>
              <w:t>Perspective</w:t>
            </w:r>
            <w:proofErr w:type="spellEnd"/>
            <w:r w:rsidRPr="00330898">
              <w:rPr>
                <w:rFonts w:ascii="PT Sans" w:hAnsi="PT Sans" w:cs="Calibri"/>
                <w:color w:val="222222"/>
                <w:sz w:val="20"/>
                <w:szCs w:val="20"/>
              </w:rPr>
              <w:t xml:space="preserve">.” </w:t>
            </w:r>
            <w:r w:rsidRPr="00330898">
              <w:rPr>
                <w:rFonts w:ascii="PT Sans" w:hAnsi="PT Sans" w:cs="Calibri"/>
                <w:i/>
                <w:iCs/>
                <w:color w:val="222222"/>
                <w:sz w:val="20"/>
                <w:szCs w:val="20"/>
              </w:rPr>
              <w:t xml:space="preserve">NBER </w:t>
            </w:r>
            <w:proofErr w:type="spellStart"/>
            <w:r w:rsidRPr="00330898">
              <w:rPr>
                <w:rFonts w:ascii="PT Sans" w:hAnsi="PT Sans" w:cs="Calibri"/>
                <w:i/>
                <w:iCs/>
                <w:color w:val="222222"/>
                <w:sz w:val="20"/>
                <w:szCs w:val="20"/>
              </w:rPr>
              <w:t>Working</w:t>
            </w:r>
            <w:proofErr w:type="spellEnd"/>
            <w:r w:rsidRPr="00330898">
              <w:rPr>
                <w:rFonts w:ascii="PT Sans" w:hAnsi="PT Sans" w:cs="Calibri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330898">
              <w:rPr>
                <w:rFonts w:ascii="PT Sans" w:hAnsi="PT Sans" w:cs="Calibri"/>
                <w:i/>
                <w:iCs/>
                <w:color w:val="222222"/>
                <w:sz w:val="20"/>
                <w:szCs w:val="20"/>
              </w:rPr>
              <w:t>Paper</w:t>
            </w:r>
            <w:proofErr w:type="spellEnd"/>
            <w:r w:rsidRPr="00330898">
              <w:rPr>
                <w:rFonts w:ascii="PT Sans" w:hAnsi="PT Sans" w:cs="Calibri"/>
                <w:i/>
                <w:iCs/>
                <w:color w:val="222222"/>
                <w:sz w:val="20"/>
                <w:szCs w:val="20"/>
              </w:rPr>
              <w:t xml:space="preserve"> No. 27898.</w:t>
            </w:r>
          </w:p>
          <w:p w14:paraId="78E5E1B6" w14:textId="77777777" w:rsidR="001A3ECB" w:rsidRPr="00330898" w:rsidRDefault="001A3ECB" w:rsidP="003644F4">
            <w:pPr>
              <w:pStyle w:val="NormlWeb"/>
              <w:numPr>
                <w:ilvl w:val="0"/>
                <w:numId w:val="22"/>
              </w:numPr>
              <w:spacing w:before="0" w:beforeAutospacing="0" w:after="0" w:afterAutospacing="0"/>
              <w:ind w:left="284" w:hanging="357"/>
              <w:jc w:val="both"/>
              <w:rPr>
                <w:rStyle w:val="publishedat"/>
                <w:rFonts w:ascii="PT Sans" w:hAnsi="PT Sans" w:cs="Calibri"/>
                <w:sz w:val="20"/>
                <w:szCs w:val="20"/>
              </w:rPr>
            </w:pPr>
            <w:r w:rsidRPr="00330898">
              <w:rPr>
                <w:rFonts w:ascii="PT Sans" w:hAnsi="PT Sans"/>
                <w:sz w:val="20"/>
                <w:szCs w:val="20"/>
              </w:rPr>
              <w:t xml:space="preserve">Boros Eszter – Horváth Marcell: Digitális jegybankpénz: a következő pénzforradalom? Digitális jegybankpénzek a geopolitika dimenziójában. </w:t>
            </w:r>
            <w:r w:rsidRPr="00330898">
              <w:rPr>
                <w:rFonts w:ascii="PT Sans" w:hAnsi="PT Sans"/>
                <w:i/>
                <w:iCs/>
                <w:sz w:val="20"/>
                <w:szCs w:val="20"/>
              </w:rPr>
              <w:t xml:space="preserve">Pénzügyi Szemle </w:t>
            </w:r>
            <w:r w:rsidRPr="00330898">
              <w:rPr>
                <w:rFonts w:ascii="PT Sans" w:hAnsi="PT Sans"/>
                <w:sz w:val="20"/>
                <w:szCs w:val="20"/>
              </w:rPr>
              <w:t>76:4 2022. pp. 506-521.</w:t>
            </w:r>
            <w:r w:rsidRPr="00330898">
              <w:rPr>
                <w:rStyle w:val="publishedat"/>
                <w:rFonts w:ascii="PT Sans" w:hAnsi="PT Sans" w:cs="Calibri"/>
                <w:color w:val="222222"/>
                <w:sz w:val="20"/>
                <w:szCs w:val="20"/>
              </w:rPr>
              <w:t xml:space="preserve"> </w:t>
            </w:r>
          </w:p>
          <w:p w14:paraId="611A9DB7" w14:textId="77777777" w:rsidR="00D07B4F" w:rsidRPr="00D07B4F" w:rsidRDefault="00D07B4F" w:rsidP="001A3ECB">
            <w:pPr>
              <w:pStyle w:val="Listaszerbekezds"/>
              <w:tabs>
                <w:tab w:val="left" w:pos="3780"/>
              </w:tabs>
              <w:ind w:left="290"/>
              <w:rPr>
                <w:rFonts w:ascii="PT Sans" w:hAnsi="PT Sans"/>
                <w:b/>
              </w:rPr>
            </w:pPr>
          </w:p>
        </w:tc>
      </w:tr>
      <w:tr w:rsidR="00FF7CD8" w:rsidRPr="00D07B4F" w14:paraId="105A9A10" w14:textId="77777777" w:rsidTr="00260D11">
        <w:trPr>
          <w:jc w:val="center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CE81" w14:textId="6B59F0D5" w:rsidR="00FF7CD8" w:rsidRPr="00093A6B" w:rsidRDefault="00FF7CD8" w:rsidP="00093A6B">
            <w:pPr>
              <w:tabs>
                <w:tab w:val="left" w:pos="3780"/>
              </w:tabs>
              <w:spacing w:after="100"/>
              <w:rPr>
                <w:rFonts w:ascii="PT Sans" w:hAnsi="PT Sans"/>
                <w:b/>
                <w:bCs/>
              </w:rPr>
            </w:pPr>
            <w:r w:rsidRPr="00093A6B">
              <w:rPr>
                <w:rFonts w:ascii="PT Sans" w:hAnsi="PT Sans"/>
                <w:b/>
                <w:bCs/>
              </w:rPr>
              <w:t>Az alkalmazott oktatási módszerek:</w:t>
            </w:r>
          </w:p>
          <w:p w14:paraId="0AC40E39" w14:textId="77777777" w:rsidR="00093A6B" w:rsidRPr="00093A6B" w:rsidRDefault="00093A6B" w:rsidP="00093A6B">
            <w:pPr>
              <w:tabs>
                <w:tab w:val="left" w:pos="3780"/>
              </w:tabs>
              <w:jc w:val="both"/>
              <w:rPr>
                <w:rFonts w:ascii="PT Sans" w:hAnsi="PT Sans"/>
                <w:i/>
                <w:iCs/>
                <w:color w:val="C00000"/>
                <w:u w:val="single"/>
              </w:rPr>
            </w:pPr>
            <w:r w:rsidRPr="00093A6B">
              <w:rPr>
                <w:rFonts w:ascii="PT Sans" w:hAnsi="PT Sans"/>
                <w:i/>
                <w:iCs/>
                <w:color w:val="C00000"/>
                <w:u w:val="single"/>
              </w:rPr>
              <w:t xml:space="preserve">Példák elméleti kurzusnál (bővíthető): </w:t>
            </w:r>
          </w:p>
          <w:p w14:paraId="3C6FAA51" w14:textId="7BF340E7" w:rsidR="00093A6B" w:rsidRPr="00093A6B" w:rsidRDefault="00093A6B" w:rsidP="00093A6B">
            <w:pPr>
              <w:tabs>
                <w:tab w:val="left" w:pos="3780"/>
              </w:tabs>
              <w:spacing w:after="100"/>
              <w:jc w:val="both"/>
              <w:rPr>
                <w:rFonts w:ascii="PT Sans" w:hAnsi="PT Sans"/>
                <w:i/>
                <w:iCs/>
                <w:color w:val="C00000"/>
              </w:rPr>
            </w:pPr>
            <w:r w:rsidRPr="00093A6B">
              <w:rPr>
                <w:rFonts w:ascii="PT Sans" w:hAnsi="PT Sans"/>
                <w:i/>
                <w:iCs/>
                <w:color w:val="C00000"/>
              </w:rPr>
              <w:t>hagyományos, frontális előadás, elméleti előadás, vizuális és auditív szemléltetőeszközök használata, vita és interaktív elemek (egy altéma különböző álláspontokból való interaktív bemutatása), prezentáció stb.</w:t>
            </w:r>
          </w:p>
          <w:p w14:paraId="22E5BCDF" w14:textId="77777777" w:rsidR="00093A6B" w:rsidRPr="00093A6B" w:rsidRDefault="00093A6B" w:rsidP="00093A6B">
            <w:pPr>
              <w:tabs>
                <w:tab w:val="left" w:pos="3780"/>
              </w:tabs>
              <w:jc w:val="both"/>
              <w:rPr>
                <w:rFonts w:ascii="PT Sans" w:hAnsi="PT Sans"/>
                <w:i/>
                <w:iCs/>
                <w:color w:val="C00000"/>
                <w:u w:val="single"/>
              </w:rPr>
            </w:pPr>
            <w:r w:rsidRPr="00093A6B">
              <w:rPr>
                <w:rFonts w:ascii="PT Sans" w:hAnsi="PT Sans"/>
                <w:i/>
                <w:iCs/>
                <w:color w:val="C00000"/>
                <w:u w:val="single"/>
              </w:rPr>
              <w:t>Példák gyakorlati kurzusnál (bővíthető):</w:t>
            </w:r>
          </w:p>
          <w:p w14:paraId="20486FCD" w14:textId="195BB0C4" w:rsidR="00093A6B" w:rsidRPr="00093A6B" w:rsidRDefault="00093A6B" w:rsidP="00093A6B">
            <w:pPr>
              <w:tabs>
                <w:tab w:val="left" w:pos="3780"/>
              </w:tabs>
              <w:jc w:val="both"/>
              <w:rPr>
                <w:rFonts w:ascii="PT Sans" w:hAnsi="PT Sans"/>
                <w:color w:val="C00000"/>
              </w:rPr>
            </w:pPr>
            <w:r w:rsidRPr="00093A6B">
              <w:rPr>
                <w:rFonts w:ascii="PT Sans" w:hAnsi="PT Sans"/>
                <w:i/>
                <w:iCs/>
                <w:color w:val="C00000"/>
              </w:rPr>
              <w:t xml:space="preserve">egyéni és/vagy csoportos munka, pármunka, filmelemzés, megbeszélés, magyarázat, szemléltetés, kiselőadás, prezentáció, </w:t>
            </w:r>
            <w:proofErr w:type="gramStart"/>
            <w:r w:rsidRPr="00093A6B">
              <w:rPr>
                <w:rFonts w:ascii="PT Sans" w:hAnsi="PT Sans"/>
                <w:i/>
                <w:iCs/>
                <w:color w:val="C00000"/>
              </w:rPr>
              <w:t>szituációs</w:t>
            </w:r>
            <w:proofErr w:type="gramEnd"/>
            <w:r w:rsidRPr="00093A6B">
              <w:rPr>
                <w:rFonts w:ascii="PT Sans" w:hAnsi="PT Sans"/>
                <w:i/>
                <w:iCs/>
                <w:color w:val="C00000"/>
              </w:rPr>
              <w:t xml:space="preserve"> gyakorlatok, vita, szövegfeldolgozás, egyéni és csoportos projektmunka, személyes tréning, csoportos tréning, műelemzések, kreatív feladatok írása és gyakorlása, hallgatói prezentáció, fordított tanterem, tanulási napló vezetése, stb.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A8AA" w14:textId="560974C1" w:rsidR="005036B2" w:rsidRPr="005036B2" w:rsidRDefault="005036B2" w:rsidP="005036B2">
            <w:pPr>
              <w:tabs>
                <w:tab w:val="left" w:pos="3780"/>
              </w:tabs>
              <w:rPr>
                <w:rFonts w:ascii="PT Sans" w:hAnsi="PT Sans"/>
              </w:rPr>
            </w:pPr>
            <w:r>
              <w:rPr>
                <w:rFonts w:ascii="PT Sans" w:hAnsi="PT Sans"/>
              </w:rPr>
              <w:t>Cél, hogy a hallgatók is aktívan vegyen részt az órákon, ezért több interaktív oktatási módszert is lehet alkalmazni:</w:t>
            </w:r>
          </w:p>
          <w:p w14:paraId="7D919BCA" w14:textId="369C84C2" w:rsidR="00B4776C" w:rsidRDefault="00B4776C" w:rsidP="005036B2">
            <w:pPr>
              <w:pStyle w:val="Listaszerbekezds"/>
              <w:numPr>
                <w:ilvl w:val="0"/>
                <w:numId w:val="20"/>
              </w:numPr>
              <w:tabs>
                <w:tab w:val="left" w:pos="3780"/>
              </w:tabs>
              <w:rPr>
                <w:rFonts w:ascii="PT Sans" w:hAnsi="PT Sans"/>
              </w:rPr>
            </w:pPr>
            <w:r>
              <w:rPr>
                <w:rFonts w:ascii="PT Sans" w:hAnsi="PT Sans"/>
              </w:rPr>
              <w:t>Hagyományos előadás</w:t>
            </w:r>
          </w:p>
          <w:p w14:paraId="7B6F560A" w14:textId="77777777" w:rsidR="00FF7CD8" w:rsidRPr="00B4776C" w:rsidRDefault="00B4776C" w:rsidP="005036B2">
            <w:pPr>
              <w:pStyle w:val="Listaszerbekezds"/>
              <w:numPr>
                <w:ilvl w:val="0"/>
                <w:numId w:val="20"/>
              </w:numPr>
              <w:tabs>
                <w:tab w:val="left" w:pos="3780"/>
              </w:tabs>
              <w:rPr>
                <w:rFonts w:ascii="PT Sans" w:hAnsi="PT Sans"/>
                <w:b/>
              </w:rPr>
            </w:pPr>
            <w:r>
              <w:rPr>
                <w:rFonts w:ascii="PT Sans" w:hAnsi="PT Sans"/>
              </w:rPr>
              <w:t>vizualizációs szemléltetőeszközök (</w:t>
            </w:r>
            <w:r w:rsidR="005036B2">
              <w:rPr>
                <w:rFonts w:ascii="PT Sans" w:hAnsi="PT Sans"/>
              </w:rPr>
              <w:t xml:space="preserve">hallgatói </w:t>
            </w:r>
            <w:r w:rsidR="006256E0" w:rsidRPr="005036B2">
              <w:rPr>
                <w:rFonts w:ascii="PT Sans" w:hAnsi="PT Sans"/>
              </w:rPr>
              <w:t>kiselőadás, prezentáció</w:t>
            </w:r>
            <w:r>
              <w:rPr>
                <w:rFonts w:ascii="PT Sans" w:hAnsi="PT Sans"/>
              </w:rPr>
              <w:t>)</w:t>
            </w:r>
          </w:p>
          <w:p w14:paraId="10ACA166" w14:textId="77777777" w:rsidR="00B4776C" w:rsidRDefault="00B4776C" w:rsidP="005036B2">
            <w:pPr>
              <w:pStyle w:val="Listaszerbekezds"/>
              <w:numPr>
                <w:ilvl w:val="0"/>
                <w:numId w:val="20"/>
              </w:num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4776C">
              <w:rPr>
                <w:rFonts w:ascii="PT Sans" w:hAnsi="PT Sans"/>
                <w:bCs/>
              </w:rPr>
              <w:t>interaktív elemek</w:t>
            </w:r>
          </w:p>
          <w:p w14:paraId="15F5C386" w14:textId="0467F70E" w:rsidR="00B4776C" w:rsidRPr="003644F4" w:rsidRDefault="00B4776C" w:rsidP="003644F4">
            <w:pPr>
              <w:tabs>
                <w:tab w:val="left" w:pos="3780"/>
              </w:tabs>
              <w:ind w:left="360"/>
              <w:rPr>
                <w:rFonts w:ascii="PT Sans" w:hAnsi="PT Sans"/>
                <w:bCs/>
              </w:rPr>
            </w:pPr>
          </w:p>
        </w:tc>
      </w:tr>
      <w:tr w:rsidR="00FF7CD8" w:rsidRPr="00D07B4F" w14:paraId="21FC49AC" w14:textId="77777777" w:rsidTr="00260D11">
        <w:trPr>
          <w:jc w:val="center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E512" w14:textId="77777777" w:rsidR="00FF7CD8" w:rsidRDefault="00FF7CD8" w:rsidP="00887813">
            <w:pPr>
              <w:tabs>
                <w:tab w:val="left" w:pos="3780"/>
              </w:tabs>
              <w:spacing w:after="100"/>
              <w:rPr>
                <w:rFonts w:ascii="PT Sans" w:hAnsi="PT Sans"/>
                <w:b/>
                <w:bCs/>
              </w:rPr>
            </w:pPr>
            <w:r w:rsidRPr="00507B3D">
              <w:rPr>
                <w:rFonts w:ascii="PT Sans" w:hAnsi="PT Sans"/>
                <w:b/>
                <w:bCs/>
              </w:rPr>
              <w:t>Az értékelés módja:</w:t>
            </w:r>
          </w:p>
          <w:p w14:paraId="7ED51BFE" w14:textId="751ED7E6" w:rsidR="00887813" w:rsidRPr="00887813" w:rsidRDefault="00887813" w:rsidP="00887813">
            <w:pPr>
              <w:tabs>
                <w:tab w:val="left" w:pos="3780"/>
              </w:tabs>
              <w:jc w:val="both"/>
              <w:rPr>
                <w:rFonts w:ascii="PT Sans" w:hAnsi="PT Sans"/>
                <w:b/>
                <w:bCs/>
                <w:i/>
                <w:iCs/>
              </w:rPr>
            </w:pPr>
            <w:r w:rsidRPr="00887813">
              <w:rPr>
                <w:rFonts w:ascii="PT Sans" w:hAnsi="PT Sans"/>
                <w:i/>
                <w:iCs/>
                <w:color w:val="C00000"/>
              </w:rPr>
              <w:t>mintatanterv szerint (pl. kollokvium, gyakorlati jegy, gyakorlati jegy (háromfokozatú), beszámoló, beszámoló (háromfokozatú), évközi jegy, vizsga, szigorlat, évfolyam-dolgozat)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EAB7" w14:textId="6BC903DE" w:rsidR="00FF7CD8" w:rsidRPr="00D07B4F" w:rsidRDefault="00634628" w:rsidP="00507B3D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>
              <w:rPr>
                <w:rFonts w:ascii="PT Sans" w:hAnsi="PT Sans"/>
                <w:b/>
              </w:rPr>
              <w:t>gyakorlati jegy (háromfoko</w:t>
            </w:r>
            <w:bookmarkStart w:id="0" w:name="_GoBack"/>
            <w:bookmarkEnd w:id="0"/>
            <w:r>
              <w:rPr>
                <w:rFonts w:ascii="PT Sans" w:hAnsi="PT Sans"/>
                <w:b/>
              </w:rPr>
              <w:t>zatú)</w:t>
            </w:r>
          </w:p>
        </w:tc>
      </w:tr>
      <w:tr w:rsidR="00FF7CD8" w:rsidRPr="00D07B4F" w14:paraId="478E58DA" w14:textId="77777777" w:rsidTr="00260D11">
        <w:trPr>
          <w:jc w:val="center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3DF6" w14:textId="025A9872" w:rsidR="00FF7CD8" w:rsidRDefault="00FF7CD8" w:rsidP="00887813">
            <w:pPr>
              <w:tabs>
                <w:tab w:val="left" w:pos="3780"/>
              </w:tabs>
              <w:spacing w:after="100"/>
              <w:rPr>
                <w:rFonts w:ascii="PT Sans" w:hAnsi="PT Sans"/>
                <w:b/>
                <w:bCs/>
              </w:rPr>
            </w:pPr>
            <w:r w:rsidRPr="00507B3D">
              <w:rPr>
                <w:rFonts w:ascii="PT Sans" w:hAnsi="PT Sans"/>
                <w:b/>
                <w:bCs/>
              </w:rPr>
              <w:t>Az értékelés kritériuma:</w:t>
            </w:r>
          </w:p>
          <w:p w14:paraId="0F0B0167" w14:textId="77777777" w:rsidR="00887813" w:rsidRPr="00887813" w:rsidRDefault="00887813" w:rsidP="00887813">
            <w:pPr>
              <w:tabs>
                <w:tab w:val="left" w:pos="3780"/>
              </w:tabs>
              <w:jc w:val="both"/>
              <w:rPr>
                <w:rFonts w:ascii="PT Sans" w:hAnsi="PT Sans"/>
                <w:b/>
                <w:i/>
                <w:iCs/>
                <w:color w:val="C00000"/>
                <w:u w:val="single"/>
              </w:rPr>
            </w:pPr>
            <w:r w:rsidRPr="00887813">
              <w:rPr>
                <w:rFonts w:ascii="PT Sans" w:hAnsi="PT Sans"/>
                <w:b/>
                <w:i/>
                <w:iCs/>
                <w:color w:val="C00000"/>
                <w:u w:val="single"/>
              </w:rPr>
              <w:t>Részvétel</w:t>
            </w:r>
          </w:p>
          <w:p w14:paraId="5149F50D" w14:textId="6BAE3F68" w:rsidR="00887813" w:rsidRPr="00887813" w:rsidRDefault="00887813" w:rsidP="00887813">
            <w:pPr>
              <w:tabs>
                <w:tab w:val="left" w:pos="3780"/>
              </w:tabs>
              <w:spacing w:after="100"/>
              <w:jc w:val="both"/>
              <w:rPr>
                <w:rFonts w:ascii="PT Sans" w:hAnsi="PT Sans"/>
                <w:i/>
                <w:iCs/>
                <w:color w:val="C00000"/>
              </w:rPr>
            </w:pPr>
            <w:proofErr w:type="spellStart"/>
            <w:r w:rsidRPr="00887813">
              <w:rPr>
                <w:rFonts w:ascii="PT Sans" w:hAnsi="PT Sans"/>
                <w:i/>
                <w:iCs/>
                <w:color w:val="C00000"/>
              </w:rPr>
              <w:t>TVSz</w:t>
            </w:r>
            <w:proofErr w:type="spellEnd"/>
            <w:r w:rsidRPr="00887813">
              <w:rPr>
                <w:rFonts w:ascii="PT Sans" w:hAnsi="PT Sans"/>
                <w:i/>
                <w:iCs/>
                <w:color w:val="C00000"/>
              </w:rPr>
              <w:t xml:space="preserve"> 33. § (9) Az előadásokon való részvétel - ha a szakért felelős Kar jelen szabályzathoz fűzött kiegészítő rendelkezéseiben máshogy nem rendelkezik - kötelező. A szemináriumon és gyakorlati foglalkozáson való részvétel, valamint a félévközi tanulmányi követelmények teljesítése kötelező.</w:t>
            </w:r>
          </w:p>
          <w:p w14:paraId="1D4ACE77" w14:textId="77777777" w:rsidR="00887813" w:rsidRPr="00887813" w:rsidRDefault="00887813" w:rsidP="00887813">
            <w:pPr>
              <w:tabs>
                <w:tab w:val="left" w:pos="3780"/>
              </w:tabs>
              <w:spacing w:after="100"/>
              <w:jc w:val="both"/>
              <w:rPr>
                <w:rFonts w:ascii="PT Sans" w:hAnsi="PT Sans"/>
                <w:i/>
                <w:iCs/>
                <w:color w:val="C00000"/>
              </w:rPr>
            </w:pPr>
            <w:r w:rsidRPr="00887813">
              <w:rPr>
                <w:rFonts w:ascii="PT Sans" w:hAnsi="PT Sans"/>
                <w:i/>
                <w:iCs/>
                <w:color w:val="C00000"/>
              </w:rPr>
              <w:t>Igazolt távollét oktató általi meghatározása.</w:t>
            </w:r>
          </w:p>
          <w:p w14:paraId="6910399F" w14:textId="77777777" w:rsidR="00887813" w:rsidRPr="00887813" w:rsidRDefault="00887813" w:rsidP="00887813">
            <w:pPr>
              <w:tabs>
                <w:tab w:val="left" w:pos="3780"/>
              </w:tabs>
              <w:jc w:val="both"/>
              <w:rPr>
                <w:rFonts w:ascii="PT Sans" w:hAnsi="PT Sans"/>
                <w:b/>
                <w:i/>
                <w:iCs/>
                <w:color w:val="C00000"/>
                <w:u w:val="single"/>
              </w:rPr>
            </w:pPr>
            <w:r w:rsidRPr="00887813">
              <w:rPr>
                <w:rFonts w:ascii="PT Sans" w:hAnsi="PT Sans"/>
                <w:b/>
                <w:i/>
                <w:iCs/>
                <w:color w:val="C00000"/>
                <w:u w:val="single"/>
              </w:rPr>
              <w:lastRenderedPageBreak/>
              <w:t>A hallgatótól elvárt felkészülés, órai munka, félévközi követelmények (ha releváns)</w:t>
            </w:r>
          </w:p>
          <w:p w14:paraId="6CA529B0" w14:textId="057DB3DB" w:rsidR="00887813" w:rsidRPr="00887813" w:rsidRDefault="00887813" w:rsidP="00887813">
            <w:pPr>
              <w:tabs>
                <w:tab w:val="left" w:pos="3780"/>
              </w:tabs>
              <w:spacing w:after="100"/>
              <w:jc w:val="both"/>
              <w:rPr>
                <w:rFonts w:ascii="PT Sans" w:hAnsi="PT Sans"/>
                <w:i/>
                <w:iCs/>
                <w:color w:val="C00000"/>
              </w:rPr>
            </w:pPr>
            <w:r w:rsidRPr="00887813">
              <w:rPr>
                <w:rFonts w:ascii="PT Sans" w:hAnsi="PT Sans"/>
                <w:i/>
                <w:iCs/>
                <w:color w:val="C00000"/>
              </w:rPr>
              <w:t>tananyag, kötelező irodalom önálló feldolgozása, a kiadott előzetes feladatok minőségi teljesítése, aktív részvétel</w:t>
            </w:r>
          </w:p>
          <w:p w14:paraId="173D2632" w14:textId="77777777" w:rsidR="00887813" w:rsidRPr="00887813" w:rsidRDefault="00887813" w:rsidP="00887813">
            <w:pPr>
              <w:tabs>
                <w:tab w:val="left" w:pos="3780"/>
              </w:tabs>
              <w:spacing w:after="100"/>
              <w:jc w:val="both"/>
              <w:rPr>
                <w:rFonts w:ascii="PT Sans" w:hAnsi="PT Sans"/>
                <w:b/>
                <w:i/>
                <w:iCs/>
                <w:color w:val="C00000"/>
                <w:u w:val="single"/>
              </w:rPr>
            </w:pPr>
            <w:r w:rsidRPr="00887813">
              <w:rPr>
                <w:rFonts w:ascii="PT Sans" w:hAnsi="PT Sans"/>
                <w:b/>
                <w:i/>
                <w:iCs/>
                <w:color w:val="C00000"/>
                <w:u w:val="single"/>
              </w:rPr>
              <w:t>Szóbeli és írásbeli vizsga esetén a vizsga menetének részletezése, használható segédeszközök, források</w:t>
            </w:r>
          </w:p>
          <w:p w14:paraId="3344550A" w14:textId="77777777" w:rsidR="00887813" w:rsidRPr="00887813" w:rsidRDefault="00887813" w:rsidP="00887813">
            <w:pPr>
              <w:tabs>
                <w:tab w:val="left" w:pos="3780"/>
              </w:tabs>
              <w:jc w:val="both"/>
              <w:rPr>
                <w:rFonts w:ascii="PT Sans" w:hAnsi="PT Sans"/>
                <w:b/>
                <w:bCs/>
                <w:i/>
                <w:iCs/>
                <w:color w:val="4472C4" w:themeColor="accent5"/>
              </w:rPr>
            </w:pPr>
            <w:r w:rsidRPr="00887813">
              <w:rPr>
                <w:rFonts w:ascii="PT Sans" w:hAnsi="PT Sans"/>
                <w:b/>
                <w:bCs/>
                <w:i/>
                <w:iCs/>
                <w:color w:val="4472C4" w:themeColor="accent5"/>
              </w:rPr>
              <w:t>Bírálati szempontok:</w:t>
            </w:r>
          </w:p>
          <w:p w14:paraId="66A30122" w14:textId="5F7F2557" w:rsidR="00887813" w:rsidRPr="00507B3D" w:rsidRDefault="00887813" w:rsidP="00887813">
            <w:pPr>
              <w:tabs>
                <w:tab w:val="left" w:pos="3780"/>
              </w:tabs>
              <w:jc w:val="both"/>
              <w:rPr>
                <w:rFonts w:ascii="PT Sans" w:hAnsi="PT Sans"/>
                <w:b/>
                <w:bCs/>
              </w:rPr>
            </w:pPr>
            <w:r w:rsidRPr="00887813">
              <w:rPr>
                <w:rFonts w:ascii="PT Sans" w:hAnsi="PT Sans"/>
                <w:i/>
                <w:iCs/>
                <w:color w:val="4472C4" w:themeColor="accent5"/>
              </w:rPr>
              <w:t>Az értékelési módszerek, eljárások alkalmasak a valós hallgatói tudás és teljesítmény mérésére?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A988" w14:textId="77777777" w:rsidR="00FF7CD8" w:rsidRDefault="00B4776C" w:rsidP="00507B3D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>
              <w:rPr>
                <w:rFonts w:ascii="PT Sans" w:hAnsi="PT Sans"/>
                <w:b/>
              </w:rPr>
              <w:lastRenderedPageBreak/>
              <w:t>Az előadásokon való részvétel (három hiányzás megengedett)</w:t>
            </w:r>
          </w:p>
          <w:p w14:paraId="3EE2B3F2" w14:textId="53D5C4EE" w:rsidR="00B4776C" w:rsidRDefault="00B4776C" w:rsidP="00507B3D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>
              <w:rPr>
                <w:rFonts w:ascii="PT Sans" w:hAnsi="PT Sans"/>
                <w:b/>
              </w:rPr>
              <w:t>A tananyag elsajátítása</w:t>
            </w:r>
          </w:p>
          <w:p w14:paraId="166F514B" w14:textId="6EF9F0FD" w:rsidR="00B4776C" w:rsidRPr="00D07B4F" w:rsidRDefault="00B4776C" w:rsidP="00507B3D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>
              <w:rPr>
                <w:rFonts w:ascii="PT Sans" w:hAnsi="PT Sans"/>
                <w:b/>
              </w:rPr>
              <w:t>Írásbeli beszámoló</w:t>
            </w:r>
          </w:p>
        </w:tc>
      </w:tr>
      <w:tr w:rsidR="00FF7CD8" w:rsidRPr="00D07B4F" w14:paraId="0A483B0A" w14:textId="77777777" w:rsidTr="00260D11">
        <w:trPr>
          <w:trHeight w:val="1282"/>
          <w:jc w:val="center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7C49" w14:textId="3AE31550" w:rsidR="00887813" w:rsidRPr="00507B3D" w:rsidRDefault="00FF7CD8" w:rsidP="00260D11">
            <w:pPr>
              <w:tabs>
                <w:tab w:val="left" w:pos="3780"/>
              </w:tabs>
              <w:spacing w:after="100" w:afterAutospacing="1"/>
              <w:jc w:val="both"/>
              <w:rPr>
                <w:rFonts w:ascii="PT Sans" w:hAnsi="PT Sans"/>
                <w:b/>
                <w:bCs/>
              </w:rPr>
            </w:pPr>
            <w:r w:rsidRPr="00507B3D">
              <w:rPr>
                <w:rFonts w:ascii="PT Sans" w:hAnsi="PT Sans"/>
                <w:b/>
                <w:bCs/>
              </w:rPr>
              <w:t xml:space="preserve">Miként járul hozzá a tantárgy a KKK-ban megjelölt kompetenciaelemek </w:t>
            </w:r>
            <w:r w:rsidR="00B54B8B" w:rsidRPr="00507B3D">
              <w:rPr>
                <w:rFonts w:ascii="PT Sans" w:hAnsi="PT Sans"/>
                <w:b/>
                <w:bCs/>
              </w:rPr>
              <w:t>m</w:t>
            </w:r>
            <w:r w:rsidRPr="00507B3D">
              <w:rPr>
                <w:rFonts w:ascii="PT Sans" w:hAnsi="PT Sans"/>
                <w:b/>
                <w:bCs/>
              </w:rPr>
              <w:t xml:space="preserve">egszerzéséhez. </w:t>
            </w:r>
            <w:r w:rsidRPr="00507B3D">
              <w:rPr>
                <w:rStyle w:val="ui-provider"/>
                <w:rFonts w:ascii="PT Sans" w:hAnsi="PT Sans"/>
                <w:b/>
                <w:bCs/>
              </w:rPr>
              <w:t>Mutassa be a tantárgyleírásban, hogy a KKK-ban megjelölt kompetenciaelemek miként teljesülnek/teljesíthetők</w:t>
            </w:r>
            <w:r w:rsidRPr="00507B3D">
              <w:rPr>
                <w:rFonts w:ascii="PT Sans" w:hAnsi="PT Sans"/>
                <w:b/>
                <w:bCs/>
              </w:rPr>
              <w:t xml:space="preserve"> (</w:t>
            </w:r>
            <w:r w:rsidRPr="00507B3D">
              <w:rPr>
                <w:rFonts w:ascii="PT Sans" w:hAnsi="PT Sans"/>
                <w:b/>
                <w:bCs/>
                <w:i/>
                <w:iCs/>
              </w:rPr>
              <w:t>nem a KKK kompetencia-elemeinek másolását kérjük</w:t>
            </w:r>
            <w:r w:rsidRPr="00507B3D">
              <w:rPr>
                <w:rFonts w:ascii="PT Sans" w:hAnsi="PT Sans"/>
                <w:b/>
                <w:bCs/>
              </w:rPr>
              <w:t>).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3E9E" w14:textId="38409E7B" w:rsidR="00260D11" w:rsidRPr="00260D11" w:rsidRDefault="00260D11" w:rsidP="00260D11">
            <w:pPr>
              <w:tabs>
                <w:tab w:val="left" w:pos="317"/>
              </w:tabs>
              <w:spacing w:after="100"/>
              <w:rPr>
                <w:rFonts w:ascii="PT Sans" w:eastAsia="PT Sans" w:hAnsi="PT Sans" w:cs="PT Sans"/>
                <w:b/>
              </w:rPr>
            </w:pPr>
            <w:r w:rsidRPr="00260D11">
              <w:rPr>
                <w:rFonts w:ascii="PT Sans" w:eastAsia="PT Sans" w:hAnsi="PT Sans" w:cs="PT Sans"/>
                <w:b/>
              </w:rPr>
              <w:t>a) tudása</w:t>
            </w:r>
            <w:r w:rsidR="003737E0">
              <w:rPr>
                <w:rFonts w:ascii="PT Sans" w:eastAsia="PT Sans" w:hAnsi="PT Sans" w:cs="PT Sans"/>
                <w:b/>
              </w:rPr>
              <w:t>: T1, T3, T5, T6</w:t>
            </w:r>
            <w:r w:rsidR="00B4776C">
              <w:rPr>
                <w:rFonts w:ascii="PT Sans" w:eastAsia="PT Sans" w:hAnsi="PT Sans" w:cs="PT Sans"/>
                <w:b/>
              </w:rPr>
              <w:t>, T11, T14</w:t>
            </w:r>
          </w:p>
          <w:p w14:paraId="02D131BB" w14:textId="46B4F819" w:rsidR="00260D11" w:rsidRPr="00260D11" w:rsidRDefault="00260D11" w:rsidP="00260D11">
            <w:pPr>
              <w:tabs>
                <w:tab w:val="left" w:pos="317"/>
              </w:tabs>
              <w:spacing w:after="100"/>
              <w:rPr>
                <w:rFonts w:ascii="PT Sans" w:eastAsia="PT Sans" w:hAnsi="PT Sans" w:cs="PT Sans"/>
                <w:b/>
              </w:rPr>
            </w:pPr>
            <w:r w:rsidRPr="00260D11">
              <w:rPr>
                <w:rFonts w:ascii="PT Sans" w:eastAsia="PT Sans" w:hAnsi="PT Sans" w:cs="PT Sans"/>
                <w:b/>
              </w:rPr>
              <w:t>b) képességei</w:t>
            </w:r>
            <w:r w:rsidR="003737E0">
              <w:rPr>
                <w:rFonts w:ascii="PT Sans" w:eastAsia="PT Sans" w:hAnsi="PT Sans" w:cs="PT Sans"/>
                <w:b/>
              </w:rPr>
              <w:t>: K6, K8, K12, K27</w:t>
            </w:r>
          </w:p>
          <w:p w14:paraId="2E6D9000" w14:textId="440AEDBE" w:rsidR="00260D11" w:rsidRPr="00260D11" w:rsidRDefault="00260D11" w:rsidP="00260D11">
            <w:pPr>
              <w:tabs>
                <w:tab w:val="left" w:pos="317"/>
              </w:tabs>
              <w:spacing w:after="100"/>
              <w:rPr>
                <w:rFonts w:ascii="PT Sans" w:eastAsia="PT Sans" w:hAnsi="PT Sans" w:cs="PT Sans"/>
                <w:b/>
              </w:rPr>
            </w:pPr>
            <w:r w:rsidRPr="00260D11">
              <w:rPr>
                <w:rFonts w:ascii="PT Sans" w:eastAsia="PT Sans" w:hAnsi="PT Sans" w:cs="PT Sans"/>
                <w:b/>
              </w:rPr>
              <w:t>c) attitűdje</w:t>
            </w:r>
            <w:r w:rsidR="003737E0">
              <w:rPr>
                <w:rFonts w:ascii="PT Sans" w:eastAsia="PT Sans" w:hAnsi="PT Sans" w:cs="PT Sans"/>
                <w:b/>
              </w:rPr>
              <w:t>: A1, A2, A4, A7, A20</w:t>
            </w:r>
          </w:p>
          <w:p w14:paraId="29F3D53C" w14:textId="18C9262E" w:rsidR="00FF7CD8" w:rsidRPr="00887813" w:rsidRDefault="00260D11" w:rsidP="00260D11">
            <w:pPr>
              <w:tabs>
                <w:tab w:val="left" w:pos="3780"/>
              </w:tabs>
              <w:spacing w:after="100"/>
              <w:rPr>
                <w:rFonts w:ascii="PT Sans" w:hAnsi="PT Sans"/>
                <w:b/>
              </w:rPr>
            </w:pPr>
            <w:r w:rsidRPr="00260D11">
              <w:rPr>
                <w:rFonts w:ascii="PT Sans" w:eastAsia="PT Sans" w:hAnsi="PT Sans" w:cs="PT Sans"/>
                <w:b/>
              </w:rPr>
              <w:t>d) autonómiája és felelőssége</w:t>
            </w:r>
            <w:r w:rsidR="003737E0">
              <w:rPr>
                <w:rFonts w:ascii="PT Sans" w:eastAsia="PT Sans" w:hAnsi="PT Sans" w:cs="PT Sans"/>
                <w:b/>
              </w:rPr>
              <w:t>: F1, F2</w:t>
            </w:r>
          </w:p>
        </w:tc>
      </w:tr>
      <w:tr w:rsidR="00222A26" w:rsidRPr="00D07B4F" w14:paraId="653BD868" w14:textId="77777777" w:rsidTr="00260D11">
        <w:trPr>
          <w:trHeight w:val="921"/>
          <w:jc w:val="center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476C" w14:textId="77777777" w:rsidR="00222A26" w:rsidRDefault="00222A26" w:rsidP="00887813">
            <w:pPr>
              <w:tabs>
                <w:tab w:val="left" w:pos="3780"/>
              </w:tabs>
              <w:spacing w:after="100"/>
              <w:jc w:val="both"/>
              <w:rPr>
                <w:rFonts w:ascii="PT Sans" w:hAnsi="PT Sans"/>
                <w:b/>
                <w:bCs/>
              </w:rPr>
            </w:pPr>
            <w:r w:rsidRPr="00507B3D">
              <w:rPr>
                <w:rFonts w:ascii="PT Sans" w:hAnsi="PT Sans"/>
                <w:b/>
                <w:bCs/>
              </w:rPr>
              <w:t xml:space="preserve">Tantárgy oktatásában részt vevő oktató(k), </w:t>
            </w:r>
            <w:r w:rsidRPr="00507B3D">
              <w:rPr>
                <w:rFonts w:ascii="PT Sans" w:hAnsi="PT Sans"/>
                <w:b/>
                <w:bCs/>
                <w:i/>
                <w:iCs/>
              </w:rPr>
              <w:t>ha vannak (név, beosztás, tud. fokozat)</w:t>
            </w:r>
            <w:r w:rsidRPr="00507B3D">
              <w:rPr>
                <w:rFonts w:ascii="PT Sans" w:hAnsi="PT Sans"/>
                <w:b/>
                <w:bCs/>
              </w:rPr>
              <w:t>:</w:t>
            </w:r>
          </w:p>
          <w:p w14:paraId="27506342" w14:textId="555F58FE" w:rsidR="00887813" w:rsidRPr="00887813" w:rsidRDefault="00260D11" w:rsidP="00887813">
            <w:pPr>
              <w:tabs>
                <w:tab w:val="left" w:pos="3780"/>
              </w:tabs>
              <w:jc w:val="both"/>
              <w:rPr>
                <w:rFonts w:ascii="PT Sans" w:hAnsi="PT Sans"/>
                <w:b/>
                <w:bCs/>
                <w:i/>
                <w:iCs/>
              </w:rPr>
            </w:pPr>
            <w:r>
              <w:rPr>
                <w:rFonts w:ascii="PT Sans" w:hAnsi="PT Sans"/>
                <w:bCs/>
                <w:i/>
                <w:iCs/>
                <w:color w:val="C00000"/>
              </w:rPr>
              <w:t>N</w:t>
            </w:r>
            <w:r w:rsidR="00887813" w:rsidRPr="00887813">
              <w:rPr>
                <w:rFonts w:ascii="PT Sans" w:hAnsi="PT Sans"/>
                <w:bCs/>
                <w:i/>
                <w:iCs/>
                <w:color w:val="C00000"/>
              </w:rPr>
              <w:t>em, vagy nem feltétlenül azonos a tárgyfelelős oktatóval (tárgyjegyző, gyakorlati kurzusok oktatói)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AB13" w14:textId="07783354" w:rsidR="00222A26" w:rsidRPr="00D07B4F" w:rsidRDefault="00222A26" w:rsidP="00507B3D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</w:p>
        </w:tc>
      </w:tr>
    </w:tbl>
    <w:p w14:paraId="100D92C0" w14:textId="77777777" w:rsidR="00486859" w:rsidRDefault="00486859"/>
    <w:sectPr w:rsidR="00486859" w:rsidSect="00222A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51BD"/>
    <w:multiLevelType w:val="multilevel"/>
    <w:tmpl w:val="2522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1389E"/>
    <w:multiLevelType w:val="multilevel"/>
    <w:tmpl w:val="8076D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41937"/>
    <w:multiLevelType w:val="multilevel"/>
    <w:tmpl w:val="30DC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C598D"/>
    <w:multiLevelType w:val="multilevel"/>
    <w:tmpl w:val="6C2C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307AA"/>
    <w:multiLevelType w:val="multilevel"/>
    <w:tmpl w:val="75FC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9C75F0"/>
    <w:multiLevelType w:val="hybridMultilevel"/>
    <w:tmpl w:val="B2863B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94D90"/>
    <w:multiLevelType w:val="multilevel"/>
    <w:tmpl w:val="C1E2B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111F55"/>
    <w:multiLevelType w:val="multilevel"/>
    <w:tmpl w:val="7520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361A07"/>
    <w:multiLevelType w:val="hybridMultilevel"/>
    <w:tmpl w:val="3DFC70FE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D8D410A"/>
    <w:multiLevelType w:val="multilevel"/>
    <w:tmpl w:val="99CA5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8B3DE6"/>
    <w:multiLevelType w:val="multilevel"/>
    <w:tmpl w:val="B47C8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6B3D17"/>
    <w:multiLevelType w:val="multilevel"/>
    <w:tmpl w:val="AC805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023416"/>
    <w:multiLevelType w:val="multilevel"/>
    <w:tmpl w:val="BA00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327BAB"/>
    <w:multiLevelType w:val="multilevel"/>
    <w:tmpl w:val="32CC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7E3F3D"/>
    <w:multiLevelType w:val="multilevel"/>
    <w:tmpl w:val="91B2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45137E"/>
    <w:multiLevelType w:val="multilevel"/>
    <w:tmpl w:val="DEC4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9F308E"/>
    <w:multiLevelType w:val="multilevel"/>
    <w:tmpl w:val="F9CE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20609F"/>
    <w:multiLevelType w:val="multilevel"/>
    <w:tmpl w:val="E39E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B81D3D"/>
    <w:multiLevelType w:val="multilevel"/>
    <w:tmpl w:val="CCF8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BD0DC3"/>
    <w:multiLevelType w:val="multilevel"/>
    <w:tmpl w:val="5BFC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236DD9"/>
    <w:multiLevelType w:val="multilevel"/>
    <w:tmpl w:val="F38C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BE20A7"/>
    <w:multiLevelType w:val="hybridMultilevel"/>
    <w:tmpl w:val="CC4C10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FC792A"/>
    <w:multiLevelType w:val="multilevel"/>
    <w:tmpl w:val="48A07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9354D8"/>
    <w:multiLevelType w:val="multilevel"/>
    <w:tmpl w:val="446C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A21FA1"/>
    <w:multiLevelType w:val="multilevel"/>
    <w:tmpl w:val="184C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513162"/>
    <w:multiLevelType w:val="hybridMultilevel"/>
    <w:tmpl w:val="6F0EE6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9"/>
  </w:num>
  <w:num w:numId="5">
    <w:abstractNumId w:val="2"/>
  </w:num>
  <w:num w:numId="6">
    <w:abstractNumId w:val="6"/>
  </w:num>
  <w:num w:numId="7">
    <w:abstractNumId w:val="10"/>
  </w:num>
  <w:num w:numId="8">
    <w:abstractNumId w:val="17"/>
  </w:num>
  <w:num w:numId="9">
    <w:abstractNumId w:val="15"/>
  </w:num>
  <w:num w:numId="10">
    <w:abstractNumId w:val="0"/>
  </w:num>
  <w:num w:numId="11">
    <w:abstractNumId w:val="1"/>
  </w:num>
  <w:num w:numId="12">
    <w:abstractNumId w:val="24"/>
  </w:num>
  <w:num w:numId="13">
    <w:abstractNumId w:val="22"/>
  </w:num>
  <w:num w:numId="14">
    <w:abstractNumId w:val="25"/>
  </w:num>
  <w:num w:numId="15">
    <w:abstractNumId w:val="16"/>
  </w:num>
  <w:num w:numId="16">
    <w:abstractNumId w:val="23"/>
  </w:num>
  <w:num w:numId="17">
    <w:abstractNumId w:val="19"/>
  </w:num>
  <w:num w:numId="18">
    <w:abstractNumId w:val="4"/>
  </w:num>
  <w:num w:numId="19">
    <w:abstractNumId w:val="13"/>
  </w:num>
  <w:num w:numId="20">
    <w:abstractNumId w:val="5"/>
  </w:num>
  <w:num w:numId="21">
    <w:abstractNumId w:val="21"/>
  </w:num>
  <w:num w:numId="22">
    <w:abstractNumId w:val="8"/>
  </w:num>
  <w:num w:numId="23">
    <w:abstractNumId w:val="20"/>
  </w:num>
  <w:num w:numId="24">
    <w:abstractNumId w:val="12"/>
  </w:num>
  <w:num w:numId="25">
    <w:abstractNumId w:val="11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7B4"/>
    <w:rsid w:val="00093A6B"/>
    <w:rsid w:val="000E1791"/>
    <w:rsid w:val="00137B48"/>
    <w:rsid w:val="00152346"/>
    <w:rsid w:val="00156E2A"/>
    <w:rsid w:val="00183B14"/>
    <w:rsid w:val="001A3ECB"/>
    <w:rsid w:val="001C0EA5"/>
    <w:rsid w:val="001D1C75"/>
    <w:rsid w:val="0021374B"/>
    <w:rsid w:val="00222A26"/>
    <w:rsid w:val="00234C47"/>
    <w:rsid w:val="00260D11"/>
    <w:rsid w:val="002A7728"/>
    <w:rsid w:val="00306A2F"/>
    <w:rsid w:val="00330898"/>
    <w:rsid w:val="003644F4"/>
    <w:rsid w:val="003737E0"/>
    <w:rsid w:val="004179FA"/>
    <w:rsid w:val="00437E20"/>
    <w:rsid w:val="00457C2A"/>
    <w:rsid w:val="00486859"/>
    <w:rsid w:val="004E37AF"/>
    <w:rsid w:val="005036B2"/>
    <w:rsid w:val="00507B3D"/>
    <w:rsid w:val="006256E0"/>
    <w:rsid w:val="006266DA"/>
    <w:rsid w:val="00626EEA"/>
    <w:rsid w:val="00634628"/>
    <w:rsid w:val="00682961"/>
    <w:rsid w:val="006B6D77"/>
    <w:rsid w:val="00796476"/>
    <w:rsid w:val="007B06B8"/>
    <w:rsid w:val="007B07B4"/>
    <w:rsid w:val="007D7EB8"/>
    <w:rsid w:val="00887813"/>
    <w:rsid w:val="0094431E"/>
    <w:rsid w:val="0096089A"/>
    <w:rsid w:val="00974643"/>
    <w:rsid w:val="00A579B3"/>
    <w:rsid w:val="00AF45D6"/>
    <w:rsid w:val="00B4776C"/>
    <w:rsid w:val="00B54B8B"/>
    <w:rsid w:val="00BF0F87"/>
    <w:rsid w:val="00C03AC5"/>
    <w:rsid w:val="00C40209"/>
    <w:rsid w:val="00D07B4F"/>
    <w:rsid w:val="00DB424B"/>
    <w:rsid w:val="00E279B0"/>
    <w:rsid w:val="00E30C10"/>
    <w:rsid w:val="00F73FEE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F0C95"/>
  <w15:chartTrackingRefBased/>
  <w15:docId w15:val="{D7B7A0AD-ACE7-439A-9270-E65E5D98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F7C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179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ui-provider">
    <w:name w:val="ui-provider"/>
    <w:basedOn w:val="Bekezdsalapbettpusa"/>
    <w:rsid w:val="00FF7CD8"/>
  </w:style>
  <w:style w:type="table" w:styleId="Rcsostblzat">
    <w:name w:val="Table Grid"/>
    <w:basedOn w:val="Normltblzat"/>
    <w:rsid w:val="00FF7C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30C10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4179F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character" w:customStyle="1" w:styleId="publishedat">
    <w:name w:val="publishedat"/>
    <w:basedOn w:val="Bekezdsalapbettpusa"/>
    <w:rsid w:val="004179FA"/>
  </w:style>
  <w:style w:type="paragraph" w:styleId="NormlWeb">
    <w:name w:val="Normal (Web)"/>
    <w:basedOn w:val="Norml"/>
    <w:rsid w:val="004179FA"/>
    <w:pPr>
      <w:spacing w:before="100" w:beforeAutospacing="1" w:after="100" w:afterAutospacing="1"/>
    </w:pPr>
    <w:rPr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4179FA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4179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8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nb.hu/a-jegybank/informaciok-a-jegybankrol/nemzetkozi-kapcsolato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1528</Words>
  <Characters>10545</Characters>
  <Application>Microsoft Office Word</Application>
  <DocSecurity>4</DocSecurity>
  <Lines>87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Dobák-Kara Noémi</dc:creator>
  <cp:keywords/>
  <dc:description/>
  <cp:lastModifiedBy>Nemes Judit</cp:lastModifiedBy>
  <cp:revision>2</cp:revision>
  <cp:lastPrinted>2025-04-25T13:26:00Z</cp:lastPrinted>
  <dcterms:created xsi:type="dcterms:W3CDTF">2025-07-02T11:17:00Z</dcterms:created>
  <dcterms:modified xsi:type="dcterms:W3CDTF">2025-07-02T11:17:00Z</dcterms:modified>
</cp:coreProperties>
</file>