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1CD5" w14:textId="77777777" w:rsidR="001A7591" w:rsidRPr="001A7591" w:rsidRDefault="001A7591" w:rsidP="001A7591">
      <w:pPr>
        <w:rPr>
          <w:b/>
          <w:bCs/>
        </w:rPr>
      </w:pPr>
      <w:r w:rsidRPr="001A7591">
        <w:rPr>
          <w:b/>
          <w:bCs/>
        </w:rPr>
        <w:t>Jog és jogtudomány JDDO202XA0 </w:t>
      </w:r>
    </w:p>
    <w:p w14:paraId="35C59CE6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7F4C67DC" w14:textId="59327CAC" w:rsidR="001A7591" w:rsidRPr="001A7591" w:rsidRDefault="001A7591" w:rsidP="00EB5DBD">
      <w:pPr>
        <w:jc w:val="both"/>
      </w:pPr>
      <w:r w:rsidRPr="001A7591">
        <w:t>A tantárgy célja a jog fogalmának átfogó megismerése és a tudománnyal való kapcsolódásának vetületei. A jog és a jogtudomány tárgyának meghatározása és elhelyezése a mai jogrendszerben. </w:t>
      </w:r>
    </w:p>
    <w:p w14:paraId="687B7A9E" w14:textId="31395D81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6D7DD457" w14:textId="77777777" w:rsidR="001A7591" w:rsidRPr="001A7591" w:rsidRDefault="001A7591" w:rsidP="001A7591">
      <w:r w:rsidRPr="001A7591">
        <w:t>Az órán elhangzottak. </w:t>
      </w:r>
    </w:p>
    <w:p w14:paraId="778E292C" w14:textId="0D49693F" w:rsidR="00D673CB" w:rsidRPr="003B0B39" w:rsidRDefault="00D673CB" w:rsidP="003B0B39">
      <w:pPr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3B07F1D6" w14:textId="77777777" w:rsidR="001A7591" w:rsidRPr="001A7591" w:rsidRDefault="001A7591" w:rsidP="001A7591">
      <w:r w:rsidRPr="001A7591">
        <w:t>A meghatározott kötelező irodalomban foglaltak szerint.   </w:t>
      </w:r>
    </w:p>
    <w:p w14:paraId="05DB11AF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62713452" w14:textId="77777777" w:rsidR="006F2B8A" w:rsidRPr="006F2B8A" w:rsidRDefault="006F2B8A" w:rsidP="006F2B8A">
      <w:r w:rsidRPr="006F2B8A">
        <w:t>Az órákon való aktív részvétel, a kiadott szakirodalomban felvetett problémákra (szóban, vagy írásban) önálló vélemény kialakítása. </w:t>
      </w:r>
    </w:p>
    <w:p w14:paraId="0F5AD78B" w14:textId="77777777" w:rsidR="00D747BF" w:rsidRDefault="00D747BF" w:rsidP="00170DEC">
      <w:pPr>
        <w:rPr>
          <w:b/>
          <w:bCs/>
        </w:rPr>
      </w:pPr>
    </w:p>
    <w:p w14:paraId="66B99562" w14:textId="7D35ADD6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513A2EFD" w14:textId="77777777" w:rsidR="006F2B8A" w:rsidRPr="006F2B8A" w:rsidRDefault="006F2B8A" w:rsidP="006F2B8A">
      <w:r w:rsidRPr="006F2B8A">
        <w:t>Előadás, interaktív konzultáció, szövegelemzés, forráskutatás. </w:t>
      </w:r>
    </w:p>
    <w:p w14:paraId="3C804C69" w14:textId="193B6EB2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Kötelező irodalom:</w:t>
      </w:r>
    </w:p>
    <w:p w14:paraId="5C6F264E" w14:textId="1D70B67E" w:rsidR="001A7591" w:rsidRPr="001A7591" w:rsidRDefault="001A7591" w:rsidP="00554549">
      <w:pPr>
        <w:jc w:val="both"/>
      </w:pPr>
      <w:r w:rsidRPr="001A7591">
        <w:rPr>
          <w:lang w:val="en-US"/>
        </w:rPr>
        <w:t xml:space="preserve">Nicholas Bamforth – Peter Leyland (ed.): </w:t>
      </w:r>
      <w:r w:rsidRPr="001A7591">
        <w:rPr>
          <w:i/>
          <w:iCs/>
          <w:lang w:val="en-US"/>
        </w:rPr>
        <w:t>Public Law in a Multi-</w:t>
      </w:r>
      <w:proofErr w:type="spellStart"/>
      <w:r w:rsidRPr="001A7591">
        <w:rPr>
          <w:i/>
          <w:iCs/>
          <w:lang w:val="en-US"/>
        </w:rPr>
        <w:t>Layerd</w:t>
      </w:r>
      <w:proofErr w:type="spellEnd"/>
      <w:r w:rsidRPr="001A7591">
        <w:rPr>
          <w:i/>
          <w:iCs/>
          <w:lang w:val="en-US"/>
        </w:rPr>
        <w:t xml:space="preserve"> Constitution, </w:t>
      </w:r>
      <w:r w:rsidRPr="001A7591">
        <w:rPr>
          <w:lang w:val="en-US"/>
        </w:rPr>
        <w:t>Hart Publishing, Oxford and Portland, Oregon, 2003</w:t>
      </w:r>
      <w:r w:rsidRPr="001A7591">
        <w:t>  </w:t>
      </w:r>
    </w:p>
    <w:p w14:paraId="2F1D57F4" w14:textId="77777777" w:rsidR="001A7591" w:rsidRPr="001A7591" w:rsidRDefault="001A7591" w:rsidP="00554549">
      <w:pPr>
        <w:jc w:val="both"/>
      </w:pPr>
      <w:r w:rsidRPr="001A7591">
        <w:t>Paul CRAIG – Adam TOMKINS (</w:t>
      </w:r>
      <w:proofErr w:type="spellStart"/>
      <w:r w:rsidRPr="001A7591">
        <w:t>Ed</w:t>
      </w:r>
      <w:proofErr w:type="spellEnd"/>
      <w:r w:rsidRPr="001A7591">
        <w:t xml:space="preserve">.): </w:t>
      </w:r>
      <w:r w:rsidRPr="001A7591">
        <w:rPr>
          <w:i/>
          <w:iCs/>
        </w:rPr>
        <w:t xml:space="preserve">The </w:t>
      </w:r>
      <w:proofErr w:type="spellStart"/>
      <w:r w:rsidRPr="001A7591">
        <w:rPr>
          <w:i/>
          <w:iCs/>
        </w:rPr>
        <w:t>Executive</w:t>
      </w:r>
      <w:proofErr w:type="spellEnd"/>
      <w:r w:rsidRPr="001A7591">
        <w:rPr>
          <w:i/>
          <w:iCs/>
        </w:rPr>
        <w:t xml:space="preserve"> and Public Law. </w:t>
      </w:r>
      <w:proofErr w:type="spellStart"/>
      <w:r w:rsidRPr="001A7591">
        <w:rPr>
          <w:i/>
          <w:iCs/>
        </w:rPr>
        <w:t>Power</w:t>
      </w:r>
      <w:proofErr w:type="spellEnd"/>
      <w:r w:rsidRPr="001A7591">
        <w:rPr>
          <w:i/>
          <w:iCs/>
        </w:rPr>
        <w:t xml:space="preserve"> and </w:t>
      </w:r>
      <w:proofErr w:type="spellStart"/>
      <w:r w:rsidRPr="001A7591">
        <w:rPr>
          <w:i/>
          <w:iCs/>
        </w:rPr>
        <w:t>Accountability</w:t>
      </w:r>
      <w:proofErr w:type="spellEnd"/>
      <w:r w:rsidRPr="001A7591">
        <w:rPr>
          <w:i/>
          <w:iCs/>
        </w:rPr>
        <w:t xml:space="preserve"> in </w:t>
      </w:r>
      <w:proofErr w:type="spellStart"/>
      <w:r w:rsidRPr="001A7591">
        <w:rPr>
          <w:i/>
          <w:iCs/>
        </w:rPr>
        <w:t>Comparative</w:t>
      </w:r>
      <w:proofErr w:type="spellEnd"/>
      <w:r w:rsidRPr="001A7591">
        <w:rPr>
          <w:i/>
          <w:iCs/>
        </w:rPr>
        <w:t xml:space="preserve"> </w:t>
      </w:r>
      <w:proofErr w:type="spellStart"/>
      <w:r w:rsidRPr="001A7591">
        <w:rPr>
          <w:i/>
          <w:iCs/>
        </w:rPr>
        <w:t>Perspective</w:t>
      </w:r>
      <w:proofErr w:type="spellEnd"/>
      <w:r w:rsidRPr="001A7591">
        <w:rPr>
          <w:i/>
          <w:iCs/>
        </w:rPr>
        <w:t>,</w:t>
      </w:r>
      <w:r w:rsidRPr="001A7591">
        <w:t xml:space="preserve"> Oxford University Press, 2006  </w:t>
      </w:r>
    </w:p>
    <w:p w14:paraId="13C3E869" w14:textId="77777777" w:rsidR="001A7591" w:rsidRPr="001A7591" w:rsidRDefault="001A7591" w:rsidP="00554549">
      <w:pPr>
        <w:jc w:val="both"/>
      </w:pPr>
      <w:r w:rsidRPr="001A7591">
        <w:t xml:space="preserve">EREKY István: </w:t>
      </w:r>
      <w:r w:rsidRPr="001A7591">
        <w:rPr>
          <w:i/>
          <w:iCs/>
        </w:rPr>
        <w:t xml:space="preserve">Közigazgatás és önkormányzat, </w:t>
      </w:r>
      <w:r w:rsidRPr="001A7591">
        <w:t>MTA, Budapest, 1939.  </w:t>
      </w:r>
    </w:p>
    <w:p w14:paraId="5DB7C388" w14:textId="77777777" w:rsidR="001A7591" w:rsidRPr="001A7591" w:rsidRDefault="001A7591" w:rsidP="00554549">
      <w:pPr>
        <w:jc w:val="both"/>
      </w:pPr>
      <w:r w:rsidRPr="001A7591">
        <w:t>Neil MACCORMICK:</w:t>
      </w:r>
      <w:r w:rsidRPr="001A7591">
        <w:rPr>
          <w:i/>
          <w:iCs/>
        </w:rPr>
        <w:t xml:space="preserve"> </w:t>
      </w:r>
      <w:proofErr w:type="spellStart"/>
      <w:r w:rsidRPr="001A7591">
        <w:rPr>
          <w:i/>
          <w:iCs/>
        </w:rPr>
        <w:t>Questioning</w:t>
      </w:r>
      <w:proofErr w:type="spellEnd"/>
      <w:r w:rsidRPr="001A7591">
        <w:rPr>
          <w:i/>
          <w:iCs/>
        </w:rPr>
        <w:t xml:space="preserve"> </w:t>
      </w:r>
      <w:proofErr w:type="spellStart"/>
      <w:r w:rsidRPr="001A7591">
        <w:rPr>
          <w:i/>
          <w:iCs/>
        </w:rPr>
        <w:t>Sovereignty</w:t>
      </w:r>
      <w:proofErr w:type="spellEnd"/>
      <w:r w:rsidRPr="001A7591">
        <w:rPr>
          <w:i/>
          <w:iCs/>
        </w:rPr>
        <w:t>,</w:t>
      </w:r>
      <w:r w:rsidRPr="001A7591">
        <w:t xml:space="preserve"> Oxford University Press, 2001.  </w:t>
      </w:r>
    </w:p>
    <w:p w14:paraId="6DD52BDE" w14:textId="77777777" w:rsidR="001A7591" w:rsidRPr="001A7591" w:rsidRDefault="001A7591" w:rsidP="00554549">
      <w:pPr>
        <w:jc w:val="both"/>
      </w:pPr>
      <w:r w:rsidRPr="001A7591">
        <w:t xml:space="preserve">PATYI András – VARGA </w:t>
      </w:r>
      <w:proofErr w:type="spellStart"/>
      <w:r w:rsidRPr="001A7591">
        <w:t>Zs</w:t>
      </w:r>
      <w:proofErr w:type="spellEnd"/>
      <w:r w:rsidRPr="001A7591">
        <w:t xml:space="preserve">. András: </w:t>
      </w:r>
      <w:r w:rsidRPr="001A7591">
        <w:rPr>
          <w:i/>
          <w:iCs/>
        </w:rPr>
        <w:t>Általános közigazgatási jog</w:t>
      </w:r>
      <w:r w:rsidRPr="001A7591">
        <w:t xml:space="preserve">, </w:t>
      </w:r>
      <w:proofErr w:type="spellStart"/>
      <w:r w:rsidRPr="001A7591">
        <w:t>Mandamus</w:t>
      </w:r>
      <w:proofErr w:type="spellEnd"/>
      <w:r w:rsidRPr="001A7591">
        <w:t xml:space="preserve"> Publishing, Budapest, 2008.  </w:t>
      </w:r>
    </w:p>
    <w:p w14:paraId="2600E055" w14:textId="77777777" w:rsidR="001A7591" w:rsidRPr="001A7591" w:rsidRDefault="001A7591" w:rsidP="00554549">
      <w:pPr>
        <w:jc w:val="both"/>
      </w:pPr>
      <w:r w:rsidRPr="001A7591">
        <w:t>CHRONOWSKI Nóra: „Integrálódó” alkotmányjog, Dialóg-Campus, Budapest-Pécs, 2005.  </w:t>
      </w:r>
    </w:p>
    <w:p w14:paraId="0AAAD9F3" w14:textId="77777777" w:rsidR="001A7591" w:rsidRPr="001A7591" w:rsidRDefault="001A7591" w:rsidP="00554549">
      <w:pPr>
        <w:jc w:val="both"/>
      </w:pPr>
      <w:r w:rsidRPr="001A7591">
        <w:t xml:space="preserve">VARGA </w:t>
      </w:r>
      <w:proofErr w:type="spellStart"/>
      <w:r w:rsidRPr="001A7591">
        <w:t>Zs</w:t>
      </w:r>
      <w:proofErr w:type="spellEnd"/>
      <w:r w:rsidRPr="001A7591">
        <w:t xml:space="preserve">. András: </w:t>
      </w:r>
      <w:r w:rsidRPr="001A7591">
        <w:rPr>
          <w:i/>
          <w:iCs/>
        </w:rPr>
        <w:t>Ombudsman, ügyész, magánjogi felelősség. Alternatív közigazgatási kontroll Magyarországon</w:t>
      </w:r>
      <w:r w:rsidRPr="001A7591">
        <w:t>, Budapest: PPKE JÁK, 2012.  </w:t>
      </w:r>
    </w:p>
    <w:p w14:paraId="2FDF4554" w14:textId="4619624B" w:rsidR="001A7591" w:rsidRPr="001A7591" w:rsidRDefault="001A7591" w:rsidP="00554549">
      <w:pPr>
        <w:jc w:val="both"/>
      </w:pPr>
      <w:r w:rsidRPr="001A7591">
        <w:t xml:space="preserve">VARGA </w:t>
      </w:r>
      <w:proofErr w:type="spellStart"/>
      <w:r w:rsidRPr="001A7591">
        <w:t>Zs</w:t>
      </w:r>
      <w:proofErr w:type="spellEnd"/>
      <w:r w:rsidRPr="001A7591">
        <w:t xml:space="preserve">. András: </w:t>
      </w:r>
      <w:r w:rsidRPr="001A7591">
        <w:rPr>
          <w:i/>
          <w:iCs/>
        </w:rPr>
        <w:t xml:space="preserve">Eszményből bálvány? A joguralom dogmatikája. </w:t>
      </w:r>
      <w:r w:rsidRPr="001A7591">
        <w:t xml:space="preserve">Budapest: Századvég, 2015.  Varga, </w:t>
      </w:r>
      <w:proofErr w:type="spellStart"/>
      <w:r w:rsidRPr="001A7591">
        <w:t>Zs</w:t>
      </w:r>
      <w:proofErr w:type="spellEnd"/>
      <w:r w:rsidRPr="001A7591">
        <w:t>. András  </w:t>
      </w:r>
    </w:p>
    <w:p w14:paraId="1A7D2147" w14:textId="6BC1A7D1" w:rsidR="001A7591" w:rsidRPr="001A7591" w:rsidRDefault="001A7591" w:rsidP="00554549">
      <w:pPr>
        <w:jc w:val="both"/>
      </w:pPr>
      <w:r w:rsidRPr="001A7591">
        <w:t>Értelmes-e a jog emberképét keresni?  In: Erdődy, János; Komáromi, László (szerk.)</w:t>
      </w:r>
      <w:r w:rsidRPr="001A7591">
        <w:rPr>
          <w:i/>
          <w:iCs/>
        </w:rPr>
        <w:t xml:space="preserve"> „Ad imaginem </w:t>
      </w:r>
      <w:proofErr w:type="spellStart"/>
      <w:r w:rsidRPr="001A7591">
        <w:rPr>
          <w:i/>
          <w:iCs/>
        </w:rPr>
        <w:t>et</w:t>
      </w:r>
      <w:proofErr w:type="spellEnd"/>
      <w:r w:rsidRPr="001A7591">
        <w:rPr>
          <w:i/>
          <w:iCs/>
        </w:rPr>
        <w:t xml:space="preserve"> </w:t>
      </w:r>
      <w:proofErr w:type="spellStart"/>
      <w:r w:rsidRPr="001A7591">
        <w:rPr>
          <w:i/>
          <w:iCs/>
        </w:rPr>
        <w:t>similitudinem</w:t>
      </w:r>
      <w:proofErr w:type="spellEnd"/>
      <w:r w:rsidRPr="001A7591">
        <w:rPr>
          <w:i/>
          <w:iCs/>
        </w:rPr>
        <w:t xml:space="preserve"> </w:t>
      </w:r>
      <w:proofErr w:type="spellStart"/>
      <w:r w:rsidRPr="001A7591">
        <w:rPr>
          <w:i/>
          <w:iCs/>
        </w:rPr>
        <w:t>nostram</w:t>
      </w:r>
      <w:proofErr w:type="spellEnd"/>
      <w:r w:rsidRPr="001A7591">
        <w:rPr>
          <w:i/>
          <w:iCs/>
        </w:rPr>
        <w:t xml:space="preserve">”: Emberkép a </w:t>
      </w:r>
      <w:proofErr w:type="gramStart"/>
      <w:r w:rsidRPr="001A7591">
        <w:rPr>
          <w:i/>
          <w:iCs/>
        </w:rPr>
        <w:t>jogban</w:t>
      </w:r>
      <w:r w:rsidRPr="001A7591">
        <w:t>  Budapest</w:t>
      </w:r>
      <w:proofErr w:type="gramEnd"/>
      <w:r w:rsidRPr="001A7591">
        <w:t>, Magyarország: Pázmány Press (2024) 1,087 p. pp. 271-</w:t>
      </w:r>
      <w:proofErr w:type="gramStart"/>
      <w:r w:rsidRPr="001A7591">
        <w:t>279. ,</w:t>
      </w:r>
      <w:proofErr w:type="gramEnd"/>
      <w:r w:rsidRPr="001A7591">
        <w:t xml:space="preserve"> 10 p.  </w:t>
      </w:r>
    </w:p>
    <w:p w14:paraId="4D7264E7" w14:textId="77777777" w:rsidR="001A7591" w:rsidRPr="001A7591" w:rsidRDefault="001A7591" w:rsidP="001A7591">
      <w:pPr>
        <w:ind w:left="720"/>
      </w:pPr>
      <w:r w:rsidRPr="001A7591">
        <w:t> </w:t>
      </w:r>
    </w:p>
    <w:p w14:paraId="3895D007" w14:textId="77777777" w:rsidR="001A7591" w:rsidRPr="001A7591" w:rsidRDefault="001A7591" w:rsidP="001A7591">
      <w:pPr>
        <w:ind w:left="720"/>
      </w:pPr>
      <w:r w:rsidRPr="001A7591">
        <w:t> </w:t>
      </w:r>
    </w:p>
    <w:p w14:paraId="3018F48B" w14:textId="665A7BC6" w:rsidR="00D673CB" w:rsidRPr="003B0B39" w:rsidRDefault="00D673CB" w:rsidP="001A7591">
      <w:pPr>
        <w:rPr>
          <w:b/>
          <w:bCs/>
        </w:rPr>
      </w:pPr>
      <w:r w:rsidRPr="003B0B39">
        <w:rPr>
          <w:b/>
          <w:bCs/>
        </w:rPr>
        <w:t>Ajánlott irodalom:</w:t>
      </w:r>
    </w:p>
    <w:p w14:paraId="3ABD5782" w14:textId="77777777" w:rsidR="001A7591" w:rsidRPr="001A7591" w:rsidRDefault="001A7591" w:rsidP="001A7591">
      <w:r w:rsidRPr="001A7591">
        <w:lastRenderedPageBreak/>
        <w:t>BLUTMAN László – CHRONOWSKI Nóra: Az Alkotmánybíróság és a közösségi jog: alkotmányjogi paradoxon csapdájában (I.), in: Európai Jog, 2007/2., 3-16. o.  </w:t>
      </w:r>
    </w:p>
    <w:p w14:paraId="0CD2E641" w14:textId="77777777" w:rsidR="001A7591" w:rsidRPr="001A7591" w:rsidRDefault="001A7591" w:rsidP="001A7591">
      <w:r w:rsidRPr="001A7591">
        <w:t>Francis FUKUYAMA: Államépítés. Kormányzás és világrend a 21. században, Századvég, Budapest, 2005.  </w:t>
      </w:r>
    </w:p>
    <w:p w14:paraId="11D7FECB" w14:textId="77777777" w:rsidR="001A7591" w:rsidRPr="001A7591" w:rsidRDefault="001A7591" w:rsidP="001A7591">
      <w:r w:rsidRPr="001A7591">
        <w:t>JAKAB András: A szuverenitás fogalmához kapcsolódó kompromisszumos stratégiák, különös tekintettel az európai integrációra, in: Európai Jog, 2006/2., 3-14. o.  </w:t>
      </w:r>
    </w:p>
    <w:p w14:paraId="2656678C" w14:textId="77777777" w:rsidR="001A7591" w:rsidRPr="001A7591" w:rsidRDefault="001A7591" w:rsidP="001A7591">
      <w:r w:rsidRPr="001A7591">
        <w:t>TRÓCSÁNYI László – CSINK Lóránt: Alkotmány v. közösségi jog: az Alkotmánybíróság helye az Európai Unióban, in: Jogtudományi Közlöny, 2007/február, 63-69. o. </w:t>
      </w:r>
    </w:p>
    <w:p w14:paraId="4A001012" w14:textId="77777777" w:rsidR="006F2B8A" w:rsidRDefault="006F2B8A" w:rsidP="00170DEC">
      <w:pPr>
        <w:rPr>
          <w:b/>
          <w:bCs/>
        </w:rPr>
      </w:pPr>
    </w:p>
    <w:p w14:paraId="0D09B085" w14:textId="6E9E4D15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563D530F" w14:textId="7B915999" w:rsidR="001A7591" w:rsidRPr="001A7591" w:rsidRDefault="001A7591" w:rsidP="001A7591">
      <w:r w:rsidRPr="001A7591">
        <w:t>A) Tudás   </w:t>
      </w:r>
    </w:p>
    <w:p w14:paraId="09A853A0" w14:textId="77777777" w:rsidR="001A7591" w:rsidRPr="001A7591" w:rsidRDefault="001A7591" w:rsidP="001A7591">
      <w:r w:rsidRPr="001A7591">
        <w:t>-Ismeri a jogtudomány alapvető tényeit, fogalmait, egyszerűbb összefüggéseit  </w:t>
      </w:r>
    </w:p>
    <w:p w14:paraId="199CC731" w14:textId="77777777" w:rsidR="001A7591" w:rsidRPr="001A7591" w:rsidRDefault="001A7591" w:rsidP="001A7591">
      <w:r w:rsidRPr="001A7591">
        <w:t>-Ismeri a jogtudományhoz tartotó alapvető tényeket, fogalmakat, folyamatokat, felismeri és érti a többtényezős összefüggéseket.  </w:t>
      </w:r>
    </w:p>
    <w:p w14:paraId="4097215C" w14:textId="122740EA" w:rsidR="001A7591" w:rsidRPr="001A7591" w:rsidRDefault="001A7591" w:rsidP="001A7591">
      <w:r w:rsidRPr="001A7591">
        <w:t>  B) Képesség:  </w:t>
      </w:r>
    </w:p>
    <w:p w14:paraId="00E79E51" w14:textId="77777777" w:rsidR="001A7591" w:rsidRPr="001A7591" w:rsidRDefault="001A7591" w:rsidP="00554549">
      <w:pPr>
        <w:jc w:val="both"/>
      </w:pPr>
      <w:r w:rsidRPr="001A7591">
        <w:t>-A tantárgy segít a jogtudomány ismeretrendszerét alkotó elképzelések alapfokú analízisére, az összefüggések szintetikus megfogalmazására és adekvát értékelő tevékenységre, ezen kívül segít a rendszerben gondolkodásban és az absztrakció bizonyos formáinak alkalmazásában.  </w:t>
      </w:r>
    </w:p>
    <w:p w14:paraId="50B13F60" w14:textId="77777777" w:rsidR="001A7591" w:rsidRPr="001A7591" w:rsidRDefault="001A7591" w:rsidP="00554549">
      <w:pPr>
        <w:jc w:val="both"/>
      </w:pPr>
      <w:r w:rsidRPr="001A7591">
        <w:t>- A szakterületén fölmerülő problémák sokoldalú módszertani megközelítésének lehetőségét mérlegelve képes lesz kiválasztani és alkalmazni a megfelelő irodalomtudományi módszereket.   </w:t>
      </w:r>
    </w:p>
    <w:p w14:paraId="73A1EB70" w14:textId="3AD91753" w:rsidR="00376789" w:rsidRDefault="00376789" w:rsidP="001A7591"/>
    <w:p w14:paraId="7CFBEB23" w14:textId="77777777" w:rsidR="00D673CB" w:rsidRPr="00D673CB" w:rsidRDefault="00D673CB" w:rsidP="00D673CB">
      <w:pPr>
        <w:rPr>
          <w:b/>
          <w:bCs/>
        </w:rPr>
      </w:pPr>
      <w:r w:rsidRPr="00D673CB">
        <w:rPr>
          <w:b/>
          <w:bCs/>
        </w:rPr>
        <w:t>Tantárgy oktatója:</w:t>
      </w:r>
    </w:p>
    <w:p w14:paraId="30528919" w14:textId="77777777" w:rsidR="001A7591" w:rsidRPr="001A7591" w:rsidRDefault="001A7591" w:rsidP="00554549">
      <w:r w:rsidRPr="001A7591">
        <w:t xml:space="preserve">Dr. Varga </w:t>
      </w:r>
      <w:proofErr w:type="spellStart"/>
      <w:r w:rsidRPr="001A7591">
        <w:t>Zs</w:t>
      </w:r>
      <w:proofErr w:type="spellEnd"/>
      <w:r w:rsidRPr="001A7591">
        <w:t>. András </w:t>
      </w:r>
    </w:p>
    <w:p w14:paraId="40562814" w14:textId="77777777" w:rsidR="00170DEC" w:rsidRPr="00170DEC" w:rsidRDefault="00170DEC" w:rsidP="00170DEC">
      <w:r w:rsidRPr="00170DEC">
        <w:t> </w:t>
      </w:r>
    </w:p>
    <w:p w14:paraId="755D341C" w14:textId="0E8F76B8" w:rsidR="001F749D" w:rsidRPr="001F749D" w:rsidRDefault="001F749D" w:rsidP="00170DEC"/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6"/>
  </w:num>
  <w:num w:numId="2" w16cid:durableId="1220941275">
    <w:abstractNumId w:val="24"/>
  </w:num>
  <w:num w:numId="3" w16cid:durableId="1656912806">
    <w:abstractNumId w:val="13"/>
  </w:num>
  <w:num w:numId="4" w16cid:durableId="2096702254">
    <w:abstractNumId w:val="20"/>
  </w:num>
  <w:num w:numId="5" w16cid:durableId="576288488">
    <w:abstractNumId w:val="18"/>
  </w:num>
  <w:num w:numId="6" w16cid:durableId="1892036830">
    <w:abstractNumId w:val="21"/>
  </w:num>
  <w:num w:numId="7" w16cid:durableId="1647514419">
    <w:abstractNumId w:val="0"/>
  </w:num>
  <w:num w:numId="8" w16cid:durableId="781191227">
    <w:abstractNumId w:val="12"/>
  </w:num>
  <w:num w:numId="9" w16cid:durableId="960107830">
    <w:abstractNumId w:val="19"/>
  </w:num>
  <w:num w:numId="10" w16cid:durableId="1049381860">
    <w:abstractNumId w:val="26"/>
  </w:num>
  <w:num w:numId="11" w16cid:durableId="1798915148">
    <w:abstractNumId w:val="14"/>
  </w:num>
  <w:num w:numId="12" w16cid:durableId="315307678">
    <w:abstractNumId w:val="22"/>
  </w:num>
  <w:num w:numId="13" w16cid:durableId="1027177409">
    <w:abstractNumId w:val="9"/>
  </w:num>
  <w:num w:numId="14" w16cid:durableId="1151992261">
    <w:abstractNumId w:val="23"/>
  </w:num>
  <w:num w:numId="15" w16cid:durableId="725837060">
    <w:abstractNumId w:val="7"/>
  </w:num>
  <w:num w:numId="16" w16cid:durableId="1730837013">
    <w:abstractNumId w:val="5"/>
  </w:num>
  <w:num w:numId="17" w16cid:durableId="1034697080">
    <w:abstractNumId w:val="17"/>
  </w:num>
  <w:num w:numId="18" w16cid:durableId="1904026562">
    <w:abstractNumId w:val="25"/>
  </w:num>
  <w:num w:numId="19" w16cid:durableId="1446270577">
    <w:abstractNumId w:val="2"/>
  </w:num>
  <w:num w:numId="20" w16cid:durableId="1861891320">
    <w:abstractNumId w:val="27"/>
  </w:num>
  <w:num w:numId="21" w16cid:durableId="1868592406">
    <w:abstractNumId w:val="15"/>
  </w:num>
  <w:num w:numId="22" w16cid:durableId="1797991445">
    <w:abstractNumId w:val="8"/>
  </w:num>
  <w:num w:numId="23" w16cid:durableId="1796480508">
    <w:abstractNumId w:val="16"/>
  </w:num>
  <w:num w:numId="24" w16cid:durableId="1161045465">
    <w:abstractNumId w:val="1"/>
  </w:num>
  <w:num w:numId="25" w16cid:durableId="144705036">
    <w:abstractNumId w:val="4"/>
  </w:num>
  <w:num w:numId="26" w16cid:durableId="78522246">
    <w:abstractNumId w:val="11"/>
  </w:num>
  <w:num w:numId="27" w16cid:durableId="1771268613">
    <w:abstractNumId w:val="3"/>
  </w:num>
  <w:num w:numId="28" w16cid:durableId="245968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70DEC"/>
    <w:rsid w:val="001A7591"/>
    <w:rsid w:val="001F749D"/>
    <w:rsid w:val="00376789"/>
    <w:rsid w:val="003B0B39"/>
    <w:rsid w:val="004C1325"/>
    <w:rsid w:val="00554549"/>
    <w:rsid w:val="006219D1"/>
    <w:rsid w:val="006F2B8A"/>
    <w:rsid w:val="00A241BA"/>
    <w:rsid w:val="00BC001C"/>
    <w:rsid w:val="00C62DAD"/>
    <w:rsid w:val="00D673CB"/>
    <w:rsid w:val="00D747BF"/>
    <w:rsid w:val="00E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4</cp:revision>
  <dcterms:created xsi:type="dcterms:W3CDTF">2026-02-25T12:37:00Z</dcterms:created>
  <dcterms:modified xsi:type="dcterms:W3CDTF">2026-02-26T06:44:00Z</dcterms:modified>
</cp:coreProperties>
</file>