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6E72" w14:textId="77777777" w:rsidR="006F2B8A" w:rsidRPr="006F2B8A" w:rsidRDefault="006F2B8A" w:rsidP="006F2B8A">
      <w:pPr>
        <w:rPr>
          <w:b/>
          <w:bCs/>
        </w:rPr>
      </w:pPr>
      <w:r w:rsidRPr="006F2B8A">
        <w:rPr>
          <w:b/>
          <w:bCs/>
        </w:rPr>
        <w:t>Közjogi hagyományok és az Alaptörvény JDDO316XA0 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37DF2978" w14:textId="0D317EC3" w:rsidR="006F2B8A" w:rsidRPr="006F2B8A" w:rsidRDefault="006F2B8A" w:rsidP="00961C59">
      <w:pPr>
        <w:jc w:val="both"/>
      </w:pPr>
      <w:r w:rsidRPr="006F2B8A">
        <w:t>Az Alaptörvény a történeti alkotmánnyal közvetlen jogfolytonosságot teremtett. A tárgy célja, hogy ennek releváns elemeit a PhD képzésben résztvevők megfelelően ismerjék, s így kutatásaik során alkalmazni tudják. </w:t>
      </w:r>
    </w:p>
    <w:p w14:paraId="687B7A9E" w14:textId="0746C41A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3EDF86CC" w14:textId="4A3B6A11" w:rsidR="00D747BF" w:rsidRPr="00D747BF" w:rsidRDefault="006F2B8A" w:rsidP="00D747BF">
      <w:r>
        <w:t>-</w:t>
      </w:r>
    </w:p>
    <w:p w14:paraId="778E292C" w14:textId="0D49693F" w:rsidR="00D673CB" w:rsidRPr="003B0B39" w:rsidRDefault="00D673CB" w:rsidP="003B0B39">
      <w:pPr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1B4A983B" w14:textId="72F9E6E9" w:rsidR="00D747BF" w:rsidRPr="00D747BF" w:rsidRDefault="006F2B8A" w:rsidP="00D747BF">
      <w:r>
        <w:t>-</w:t>
      </w:r>
    </w:p>
    <w:p w14:paraId="05DB11AF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62713452" w14:textId="77777777" w:rsidR="006F2B8A" w:rsidRPr="006F2B8A" w:rsidRDefault="006F2B8A" w:rsidP="006F2B8A">
      <w:r w:rsidRPr="006F2B8A">
        <w:t>Az órákon való aktív részvétel, a kiadott szakirodalomban felvetett problémákra (szóban, vagy írásban) önálló vélemény kialakítása. </w:t>
      </w:r>
    </w:p>
    <w:p w14:paraId="66B99562" w14:textId="7D35ADD6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513A2EFD" w14:textId="77777777" w:rsidR="006F2B8A" w:rsidRPr="006F2B8A" w:rsidRDefault="006F2B8A" w:rsidP="006F2B8A">
      <w:r w:rsidRPr="006F2B8A">
        <w:t>Előadás, interaktív konzultáció, szövegelemzés, forráskutatás. </w:t>
      </w:r>
    </w:p>
    <w:p w14:paraId="3C804C69" w14:textId="193B6EB2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Kötelező irodalom:</w:t>
      </w:r>
    </w:p>
    <w:p w14:paraId="39BC2FED" w14:textId="7ED35A05" w:rsidR="006F2B8A" w:rsidRPr="006F2B8A" w:rsidRDefault="006F2B8A" w:rsidP="00961C59">
      <w:pPr>
        <w:numPr>
          <w:ilvl w:val="0"/>
          <w:numId w:val="29"/>
        </w:numPr>
        <w:ind w:left="284" w:hanging="284"/>
        <w:jc w:val="both"/>
      </w:pPr>
      <w:r w:rsidRPr="006F2B8A">
        <w:rPr>
          <w:b/>
          <w:bCs/>
        </w:rPr>
        <w:t xml:space="preserve">Szabó István: Az ősi alkotmány (történeti előzmények). </w:t>
      </w:r>
      <w:r w:rsidRPr="006F2B8A">
        <w:t xml:space="preserve">In: </w:t>
      </w:r>
      <w:proofErr w:type="spellStart"/>
      <w:r w:rsidRPr="006F2B8A">
        <w:t>Csink</w:t>
      </w:r>
      <w:proofErr w:type="spellEnd"/>
      <w:r w:rsidRPr="006F2B8A">
        <w:t xml:space="preserve">, Lóránt; </w:t>
      </w:r>
      <w:proofErr w:type="spellStart"/>
      <w:r w:rsidRPr="006F2B8A">
        <w:t>Schanda</w:t>
      </w:r>
      <w:proofErr w:type="spellEnd"/>
      <w:r w:rsidRPr="006F2B8A">
        <w:t xml:space="preserve">, Balázs; Varga, </w:t>
      </w:r>
      <w:proofErr w:type="spellStart"/>
      <w:r w:rsidRPr="006F2B8A">
        <w:t>Zs</w:t>
      </w:r>
      <w:proofErr w:type="spellEnd"/>
      <w:r w:rsidRPr="006F2B8A">
        <w:t>. András (szerk.)</w:t>
      </w:r>
      <w:r w:rsidRPr="006F2B8A">
        <w:rPr>
          <w:rFonts w:ascii="Arial" w:hAnsi="Arial" w:cs="Arial"/>
        </w:rPr>
        <w:t> </w:t>
      </w:r>
      <w:hyperlink r:id="rId5" w:tgtFrame="_blank" w:history="1">
        <w:r w:rsidRPr="006F2B8A">
          <w:rPr>
            <w:rStyle w:val="Hiperhivatkozs"/>
          </w:rPr>
          <w:t>A magyar közjog alapintézményei</w:t>
        </w:r>
      </w:hyperlink>
      <w:r w:rsidRPr="006F2B8A">
        <w:t xml:space="preserve"> Budapest, </w:t>
      </w:r>
      <w:r w:rsidR="00961C59" w:rsidRPr="006F2B8A">
        <w:t>Magyarország:</w:t>
      </w:r>
      <w:r w:rsidRPr="006F2B8A">
        <w:rPr>
          <w:rFonts w:ascii="Arial" w:hAnsi="Arial" w:cs="Arial"/>
        </w:rPr>
        <w:t> </w:t>
      </w:r>
      <w:r w:rsidRPr="006F2B8A">
        <w:t>P</w:t>
      </w:r>
      <w:r w:rsidRPr="006F2B8A">
        <w:rPr>
          <w:rFonts w:ascii="Aptos" w:hAnsi="Aptos" w:cs="Aptos"/>
        </w:rPr>
        <w:t>á</w:t>
      </w:r>
      <w:r w:rsidRPr="006F2B8A">
        <w:t>zm</w:t>
      </w:r>
      <w:r w:rsidRPr="006F2B8A">
        <w:rPr>
          <w:rFonts w:ascii="Aptos" w:hAnsi="Aptos" w:cs="Aptos"/>
        </w:rPr>
        <w:t>á</w:t>
      </w:r>
      <w:r w:rsidRPr="006F2B8A">
        <w:t>ny Press</w:t>
      </w:r>
      <w:r w:rsidRPr="006F2B8A">
        <w:rPr>
          <w:rFonts w:ascii="Arial" w:hAnsi="Arial" w:cs="Arial"/>
        </w:rPr>
        <w:t> </w:t>
      </w:r>
      <w:r w:rsidRPr="006F2B8A">
        <w:t>(2020)</w:t>
      </w:r>
      <w:r w:rsidRPr="006F2B8A">
        <w:rPr>
          <w:rFonts w:ascii="Arial" w:hAnsi="Arial" w:cs="Arial"/>
        </w:rPr>
        <w:t> </w:t>
      </w:r>
      <w:r w:rsidRPr="006F2B8A">
        <w:t>1</w:t>
      </w:r>
      <w:r w:rsidRPr="006F2B8A">
        <w:rPr>
          <w:rFonts w:ascii="Arial" w:hAnsi="Arial" w:cs="Arial"/>
        </w:rPr>
        <w:t> </w:t>
      </w:r>
      <w:r w:rsidRPr="006F2B8A">
        <w:t>212 p.</w:t>
      </w:r>
      <w:r w:rsidRPr="006F2B8A">
        <w:rPr>
          <w:rFonts w:ascii="Arial" w:hAnsi="Arial" w:cs="Arial"/>
        </w:rPr>
        <w:t> </w:t>
      </w:r>
      <w:r w:rsidRPr="006F2B8A">
        <w:t>pp. 83-</w:t>
      </w:r>
      <w:r w:rsidR="00961C59" w:rsidRPr="006F2B8A">
        <w:t>122.,</w:t>
      </w:r>
      <w:r w:rsidRPr="006F2B8A">
        <w:t xml:space="preserve"> 40 p. </w:t>
      </w:r>
    </w:p>
    <w:p w14:paraId="03875D9C" w14:textId="4792B906" w:rsidR="006F2B8A" w:rsidRPr="006F2B8A" w:rsidRDefault="006F2B8A" w:rsidP="00961C59">
      <w:pPr>
        <w:numPr>
          <w:ilvl w:val="0"/>
          <w:numId w:val="29"/>
        </w:numPr>
        <w:ind w:left="284" w:hanging="284"/>
        <w:jc w:val="both"/>
      </w:pPr>
      <w:r w:rsidRPr="006F2B8A">
        <w:rPr>
          <w:b/>
          <w:bCs/>
        </w:rPr>
        <w:t xml:space="preserve">Szabó István: A Szent Korona és az államcímer. </w:t>
      </w:r>
      <w:r w:rsidRPr="006F2B8A">
        <w:t>In: Szabó, István (szerk.)</w:t>
      </w:r>
      <w:r w:rsidRPr="006F2B8A">
        <w:rPr>
          <w:rFonts w:ascii="Arial" w:hAnsi="Arial" w:cs="Arial"/>
        </w:rPr>
        <w:t> </w:t>
      </w:r>
      <w:hyperlink r:id="rId6" w:tgtFrame="_blank" w:history="1">
        <w:r w:rsidRPr="006F2B8A">
          <w:rPr>
            <w:rStyle w:val="Hiperhivatkozs"/>
          </w:rPr>
          <w:t>A Szent Korona hazahozatalának 40. évfordulójára</w:t>
        </w:r>
      </w:hyperlink>
      <w:r w:rsidRPr="006F2B8A">
        <w:t xml:space="preserve"> Budapest, </w:t>
      </w:r>
      <w:r w:rsidR="00961C59" w:rsidRPr="006F2B8A">
        <w:t>Magyarország:</w:t>
      </w:r>
      <w:r w:rsidRPr="006F2B8A">
        <w:rPr>
          <w:rFonts w:ascii="Arial" w:hAnsi="Arial" w:cs="Arial"/>
        </w:rPr>
        <w:t> </w:t>
      </w:r>
      <w:r w:rsidRPr="006F2B8A">
        <w:t>P</w:t>
      </w:r>
      <w:r w:rsidRPr="006F2B8A">
        <w:rPr>
          <w:rFonts w:ascii="Aptos" w:hAnsi="Aptos" w:cs="Aptos"/>
        </w:rPr>
        <w:t>á</w:t>
      </w:r>
      <w:r w:rsidRPr="006F2B8A">
        <w:t>zm</w:t>
      </w:r>
      <w:r w:rsidRPr="006F2B8A">
        <w:rPr>
          <w:rFonts w:ascii="Aptos" w:hAnsi="Aptos" w:cs="Aptos"/>
        </w:rPr>
        <w:t>á</w:t>
      </w:r>
      <w:r w:rsidRPr="006F2B8A">
        <w:t>ny Press,</w:t>
      </w:r>
      <w:r w:rsidRPr="006F2B8A">
        <w:rPr>
          <w:rFonts w:ascii="Arial" w:hAnsi="Arial" w:cs="Arial"/>
        </w:rPr>
        <w:t> </w:t>
      </w:r>
      <w:r w:rsidRPr="006F2B8A">
        <w:t>(2019)</w:t>
      </w:r>
      <w:r w:rsidRPr="006F2B8A">
        <w:rPr>
          <w:rFonts w:ascii="Arial" w:hAnsi="Arial" w:cs="Arial"/>
        </w:rPr>
        <w:t> </w:t>
      </w:r>
      <w:r w:rsidRPr="006F2B8A">
        <w:t>pp. 97-</w:t>
      </w:r>
      <w:r w:rsidR="00961C59" w:rsidRPr="006F2B8A">
        <w:t>114.,</w:t>
      </w:r>
      <w:r w:rsidRPr="006F2B8A">
        <w:t xml:space="preserve"> 18 p. </w:t>
      </w:r>
    </w:p>
    <w:p w14:paraId="7B1EDA39" w14:textId="4396B41B" w:rsidR="006F2B8A" w:rsidRPr="006F2B8A" w:rsidRDefault="006F2B8A" w:rsidP="00961C59">
      <w:pPr>
        <w:numPr>
          <w:ilvl w:val="0"/>
          <w:numId w:val="29"/>
        </w:numPr>
        <w:ind w:left="284" w:hanging="284"/>
        <w:jc w:val="both"/>
      </w:pPr>
      <w:r w:rsidRPr="006F2B8A">
        <w:rPr>
          <w:b/>
          <w:bCs/>
        </w:rPr>
        <w:t xml:space="preserve">Szabó István: Az első nemzetgyűlés és a jogfolytonosság. </w:t>
      </w:r>
      <w:r w:rsidRPr="006F2B8A">
        <w:t xml:space="preserve">In: Molnár, Gábor; </w:t>
      </w:r>
      <w:proofErr w:type="spellStart"/>
      <w:r w:rsidRPr="006F2B8A">
        <w:t>Koltay</w:t>
      </w:r>
      <w:proofErr w:type="spellEnd"/>
      <w:r w:rsidRPr="006F2B8A">
        <w:t>, András; Molnár, Gábor Miklós (szerk.)</w:t>
      </w:r>
      <w:r w:rsidRPr="006F2B8A">
        <w:rPr>
          <w:rFonts w:ascii="Arial" w:hAnsi="Arial" w:cs="Arial"/>
        </w:rPr>
        <w:t> </w:t>
      </w:r>
      <w:hyperlink r:id="rId7" w:tgtFrame="_blank" w:history="1">
        <w:r w:rsidRPr="006F2B8A">
          <w:rPr>
            <w:rStyle w:val="Hiperhivatkozs"/>
          </w:rPr>
          <w:t xml:space="preserve">Bonus </w:t>
        </w:r>
        <w:proofErr w:type="spellStart"/>
        <w:proofErr w:type="gramStart"/>
        <w:r w:rsidRPr="006F2B8A">
          <w:rPr>
            <w:rStyle w:val="Hiperhivatkozs"/>
          </w:rPr>
          <w:t>Iudex</w:t>
        </w:r>
        <w:proofErr w:type="spellEnd"/>
        <w:r w:rsidRPr="006F2B8A">
          <w:rPr>
            <w:rStyle w:val="Hiperhivatkozs"/>
          </w:rPr>
          <w:t xml:space="preserve"> :</w:t>
        </w:r>
        <w:proofErr w:type="gramEnd"/>
        <w:r w:rsidRPr="006F2B8A">
          <w:rPr>
            <w:rStyle w:val="Hiperhivatkozs"/>
          </w:rPr>
          <w:t xml:space="preserve"> Ünnepi kötet Varga Zoltán 70. születésnapja alkalmából</w:t>
        </w:r>
      </w:hyperlink>
      <w:r w:rsidRPr="006F2B8A">
        <w:t xml:space="preserve"> Budapest, </w:t>
      </w:r>
      <w:r w:rsidR="00961C59" w:rsidRPr="006F2B8A">
        <w:t>Magyarország:</w:t>
      </w:r>
      <w:r w:rsidRPr="006F2B8A">
        <w:rPr>
          <w:rFonts w:ascii="Arial" w:hAnsi="Arial" w:cs="Arial"/>
        </w:rPr>
        <w:t> </w:t>
      </w:r>
      <w:r w:rsidRPr="006F2B8A">
        <w:t>K</w:t>
      </w:r>
      <w:r w:rsidRPr="006F2B8A">
        <w:rPr>
          <w:rFonts w:ascii="Aptos" w:hAnsi="Aptos" w:cs="Aptos"/>
        </w:rPr>
        <w:t>ú</w:t>
      </w:r>
      <w:r w:rsidRPr="006F2B8A">
        <w:t>ria,</w:t>
      </w:r>
      <w:r w:rsidRPr="006F2B8A">
        <w:rPr>
          <w:rFonts w:ascii="Arial" w:hAnsi="Arial" w:cs="Arial"/>
        </w:rPr>
        <w:t> </w:t>
      </w:r>
      <w:r w:rsidRPr="006F2B8A">
        <w:t xml:space="preserve">PPKE </w:t>
      </w:r>
      <w:r w:rsidRPr="006F2B8A">
        <w:rPr>
          <w:rFonts w:ascii="Aptos" w:hAnsi="Aptos" w:cs="Aptos"/>
        </w:rPr>
        <w:t>Á</w:t>
      </w:r>
      <w:r w:rsidRPr="006F2B8A">
        <w:t>JK</w:t>
      </w:r>
      <w:r w:rsidRPr="006F2B8A">
        <w:rPr>
          <w:rFonts w:ascii="Arial" w:hAnsi="Arial" w:cs="Arial"/>
        </w:rPr>
        <w:t> </w:t>
      </w:r>
      <w:r w:rsidRPr="006F2B8A">
        <w:t>(2018)</w:t>
      </w:r>
      <w:r w:rsidRPr="006F2B8A">
        <w:rPr>
          <w:rFonts w:ascii="Arial" w:hAnsi="Arial" w:cs="Arial"/>
        </w:rPr>
        <w:t> </w:t>
      </w:r>
      <w:r w:rsidRPr="006F2B8A">
        <w:t>458 p.</w:t>
      </w:r>
      <w:r w:rsidRPr="006F2B8A">
        <w:rPr>
          <w:rFonts w:ascii="Arial" w:hAnsi="Arial" w:cs="Arial"/>
        </w:rPr>
        <w:t> </w:t>
      </w:r>
      <w:r w:rsidRPr="006F2B8A">
        <w:t>pp. 383-</w:t>
      </w:r>
      <w:r w:rsidR="00961C59" w:rsidRPr="006F2B8A">
        <w:t>398.,</w:t>
      </w:r>
      <w:r w:rsidRPr="006F2B8A">
        <w:t xml:space="preserve"> 16 p. </w:t>
      </w:r>
    </w:p>
    <w:p w14:paraId="69A6B185" w14:textId="4F81EF8D" w:rsidR="006F2B8A" w:rsidRPr="006F2B8A" w:rsidRDefault="006F2B8A" w:rsidP="00961C59">
      <w:pPr>
        <w:numPr>
          <w:ilvl w:val="0"/>
          <w:numId w:val="29"/>
        </w:numPr>
        <w:ind w:left="284" w:hanging="284"/>
        <w:jc w:val="both"/>
      </w:pPr>
      <w:r w:rsidRPr="006F2B8A">
        <w:rPr>
          <w:b/>
          <w:bCs/>
        </w:rPr>
        <w:t xml:space="preserve">Szabó István: Törvénypótló szokások az 1848 utáni magyar közjogban. </w:t>
      </w:r>
      <w:r w:rsidRPr="006F2B8A">
        <w:t>In: Balogh, Elemér; Homoki-Nagy, Mária (szerk.)</w:t>
      </w:r>
      <w:r w:rsidRPr="006F2B8A">
        <w:rPr>
          <w:rFonts w:ascii="Arial" w:hAnsi="Arial" w:cs="Arial"/>
        </w:rPr>
        <w:t> </w:t>
      </w:r>
      <w:proofErr w:type="spellStart"/>
      <w:r w:rsidRPr="006F2B8A">
        <w:fldChar w:fldCharType="begin"/>
      </w:r>
      <w:r w:rsidRPr="006F2B8A">
        <w:instrText>HYPERLINK "https://m2.mtmt.hu/gui2/?mode=browse&amp;params=publication;3354893" \t "_blank"</w:instrText>
      </w:r>
      <w:r w:rsidRPr="006F2B8A">
        <w:fldChar w:fldCharType="separate"/>
      </w:r>
      <w:r w:rsidRPr="006F2B8A">
        <w:rPr>
          <w:rStyle w:val="Hiperhivatkozs"/>
        </w:rPr>
        <w:t>Tripartitumtriumprofessorum</w:t>
      </w:r>
      <w:proofErr w:type="spellEnd"/>
      <w:r w:rsidRPr="006F2B8A">
        <w:rPr>
          <w:rStyle w:val="Hiperhivatkozs"/>
        </w:rPr>
        <w:t xml:space="preserve"> = Három szegedi jogtörténész = </w:t>
      </w:r>
      <w:proofErr w:type="spellStart"/>
      <w:proofErr w:type="gramStart"/>
      <w:r w:rsidRPr="006F2B8A">
        <w:rPr>
          <w:rStyle w:val="Hiperhivatkozs"/>
        </w:rPr>
        <w:t>DreiSzegedinerRechtshistoriker</w:t>
      </w:r>
      <w:proofErr w:type="spellEnd"/>
      <w:r w:rsidRPr="006F2B8A">
        <w:rPr>
          <w:rStyle w:val="Hiperhivatkozs"/>
        </w:rPr>
        <w:t xml:space="preserve"> :</w:t>
      </w:r>
      <w:proofErr w:type="gramEnd"/>
      <w:r w:rsidRPr="006F2B8A">
        <w:rPr>
          <w:rStyle w:val="Hiperhivatkozs"/>
        </w:rPr>
        <w:t xml:space="preserve"> Tudományos emlékülés Bónis György születésének 100., Both Ödön születésének 90. és Iványi Béla halálának 50. évfordulóján</w:t>
      </w:r>
      <w:r w:rsidRPr="006F2B8A">
        <w:fldChar w:fldCharType="end"/>
      </w:r>
      <w:r w:rsidRPr="006F2B8A">
        <w:t xml:space="preserve">. Szeged, </w:t>
      </w:r>
      <w:r w:rsidR="00961C59" w:rsidRPr="006F2B8A">
        <w:t>Magyarország:</w:t>
      </w:r>
      <w:r w:rsidRPr="006F2B8A">
        <w:rPr>
          <w:rFonts w:ascii="Arial" w:hAnsi="Arial" w:cs="Arial"/>
        </w:rPr>
        <w:t> </w:t>
      </w:r>
      <w:proofErr w:type="spellStart"/>
      <w:r w:rsidRPr="006F2B8A">
        <w:t>P</w:t>
      </w:r>
      <w:r w:rsidRPr="006F2B8A">
        <w:rPr>
          <w:rFonts w:ascii="Aptos" w:hAnsi="Aptos" w:cs="Aptos"/>
        </w:rPr>
        <w:t>ó</w:t>
      </w:r>
      <w:r w:rsidRPr="006F2B8A">
        <w:t>lay</w:t>
      </w:r>
      <w:proofErr w:type="spellEnd"/>
      <w:r w:rsidRPr="006F2B8A">
        <w:t xml:space="preserve"> Elem</w:t>
      </w:r>
      <w:r w:rsidRPr="006F2B8A">
        <w:rPr>
          <w:rFonts w:ascii="Aptos" w:hAnsi="Aptos" w:cs="Aptos"/>
        </w:rPr>
        <w:t>é</w:t>
      </w:r>
      <w:r w:rsidRPr="006F2B8A">
        <w:t>r Alap</w:t>
      </w:r>
      <w:r w:rsidRPr="006F2B8A">
        <w:rPr>
          <w:rFonts w:ascii="Aptos" w:hAnsi="Aptos" w:cs="Aptos"/>
        </w:rPr>
        <w:t>í</w:t>
      </w:r>
      <w:r w:rsidRPr="006F2B8A">
        <w:t>tv</w:t>
      </w:r>
      <w:r w:rsidRPr="006F2B8A">
        <w:rPr>
          <w:rFonts w:ascii="Aptos" w:hAnsi="Aptos" w:cs="Aptos"/>
        </w:rPr>
        <w:t>á</w:t>
      </w:r>
      <w:r w:rsidRPr="006F2B8A">
        <w:t>ny,</w:t>
      </w:r>
      <w:r w:rsidRPr="006F2B8A">
        <w:rPr>
          <w:rFonts w:ascii="Arial" w:hAnsi="Arial" w:cs="Arial"/>
        </w:rPr>
        <w:t> </w:t>
      </w:r>
      <w:proofErr w:type="spellStart"/>
      <w:r w:rsidRPr="006F2B8A">
        <w:t>Iurisperitus</w:t>
      </w:r>
      <w:proofErr w:type="spellEnd"/>
      <w:r w:rsidRPr="006F2B8A">
        <w:t xml:space="preserve"> Bt.</w:t>
      </w:r>
      <w:r w:rsidRPr="006F2B8A">
        <w:rPr>
          <w:rFonts w:ascii="Arial" w:hAnsi="Arial" w:cs="Arial"/>
        </w:rPr>
        <w:t> </w:t>
      </w:r>
      <w:r w:rsidRPr="006F2B8A">
        <w:t>(2017)</w:t>
      </w:r>
      <w:r w:rsidRPr="006F2B8A">
        <w:rPr>
          <w:rFonts w:ascii="Arial" w:hAnsi="Arial" w:cs="Arial"/>
        </w:rPr>
        <w:t> </w:t>
      </w:r>
      <w:r w:rsidRPr="006F2B8A">
        <w:t>344 p.</w:t>
      </w:r>
      <w:r w:rsidRPr="006F2B8A">
        <w:rPr>
          <w:rFonts w:ascii="Arial" w:hAnsi="Arial" w:cs="Arial"/>
        </w:rPr>
        <w:t> </w:t>
      </w:r>
      <w:r w:rsidRPr="006F2B8A">
        <w:t>pp. 240-</w:t>
      </w:r>
      <w:r w:rsidR="00961C59" w:rsidRPr="006F2B8A">
        <w:t>252.,</w:t>
      </w:r>
      <w:r w:rsidRPr="006F2B8A">
        <w:t xml:space="preserve"> 13 p. </w:t>
      </w:r>
    </w:p>
    <w:p w14:paraId="3018F48B" w14:textId="3AF51C0D" w:rsidR="00D673CB" w:rsidRPr="003B0B39" w:rsidRDefault="00D673CB" w:rsidP="006F2B8A">
      <w:pPr>
        <w:rPr>
          <w:b/>
          <w:bCs/>
        </w:rPr>
      </w:pPr>
      <w:r w:rsidRPr="003B0B39">
        <w:rPr>
          <w:b/>
          <w:bCs/>
        </w:rPr>
        <w:t>Ajánlott irodalom:</w:t>
      </w:r>
    </w:p>
    <w:p w14:paraId="061A7686" w14:textId="7ED94D1C" w:rsidR="00170DEC" w:rsidRPr="00170DEC" w:rsidRDefault="00D747BF" w:rsidP="00170DEC">
      <w:r>
        <w:t>---</w:t>
      </w:r>
      <w:r w:rsidR="001F749D">
        <w:tab/>
      </w:r>
      <w:r w:rsidR="00170DEC" w:rsidRPr="00170DEC">
        <w:t> </w:t>
      </w:r>
    </w:p>
    <w:p w14:paraId="0D09B085" w14:textId="6E9E4D15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7802AE41" w14:textId="7339BF56" w:rsidR="006F2B8A" w:rsidRPr="006F2B8A" w:rsidRDefault="006F2B8A" w:rsidP="00961C59">
      <w:pPr>
        <w:jc w:val="both"/>
      </w:pPr>
      <w:r w:rsidRPr="006F2B8A">
        <w:t>Alkotmányos rendünk történelmi gyökereinek ismerete elengedhetetlen a hatályos közjogi rendszerünk megfelelő értelmezéséhez.  </w:t>
      </w:r>
    </w:p>
    <w:p w14:paraId="19E3E7FB" w14:textId="77777777" w:rsidR="006F2B8A" w:rsidRPr="006F2B8A" w:rsidRDefault="006F2B8A" w:rsidP="00961C59">
      <w:pPr>
        <w:jc w:val="both"/>
      </w:pPr>
      <w:r w:rsidRPr="006F2B8A">
        <w:t>Az Alaptörvény történeti alkotmányunk vívmányait a hatályos alkotmányjog részévé tette, így a közjogi hagyományok és az Alaptörvény kapcsolata különleges jelentőséggel bír. </w:t>
      </w:r>
    </w:p>
    <w:p w14:paraId="73A1EB70" w14:textId="57473F1B" w:rsidR="00376789" w:rsidRDefault="00376789" w:rsidP="006F2B8A"/>
    <w:p w14:paraId="7CFBEB23" w14:textId="77777777" w:rsidR="00D673CB" w:rsidRPr="00D673CB" w:rsidRDefault="00D673CB" w:rsidP="00D673CB">
      <w:pPr>
        <w:rPr>
          <w:b/>
          <w:bCs/>
        </w:rPr>
      </w:pPr>
      <w:r w:rsidRPr="00D673CB">
        <w:rPr>
          <w:b/>
          <w:bCs/>
        </w:rPr>
        <w:t>Tantárgy oktatója:</w:t>
      </w:r>
    </w:p>
    <w:p w14:paraId="15CF591F" w14:textId="77777777" w:rsidR="006F2B8A" w:rsidRPr="006F2B8A" w:rsidRDefault="006F2B8A" w:rsidP="00961C59">
      <w:r w:rsidRPr="006F2B8A">
        <w:t>Dr. Szabó István </w:t>
      </w:r>
    </w:p>
    <w:p w14:paraId="40562814" w14:textId="77777777" w:rsidR="00170DEC" w:rsidRPr="00170DEC" w:rsidRDefault="00170DEC" w:rsidP="00170DEC">
      <w:r w:rsidRPr="00170DEC">
        <w:t> </w:t>
      </w:r>
    </w:p>
    <w:p w14:paraId="755D341C" w14:textId="0E8F76B8" w:rsidR="001F749D" w:rsidRPr="001F749D" w:rsidRDefault="001F749D" w:rsidP="00170DEC"/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23BF8"/>
    <w:multiLevelType w:val="hybridMultilevel"/>
    <w:tmpl w:val="9572B0F2"/>
    <w:lvl w:ilvl="0" w:tplc="2FB6D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6"/>
  </w:num>
  <w:num w:numId="2" w16cid:durableId="1220941275">
    <w:abstractNumId w:val="25"/>
  </w:num>
  <w:num w:numId="3" w16cid:durableId="1656912806">
    <w:abstractNumId w:val="14"/>
  </w:num>
  <w:num w:numId="4" w16cid:durableId="2096702254">
    <w:abstractNumId w:val="21"/>
  </w:num>
  <w:num w:numId="5" w16cid:durableId="576288488">
    <w:abstractNumId w:val="19"/>
  </w:num>
  <w:num w:numId="6" w16cid:durableId="1892036830">
    <w:abstractNumId w:val="22"/>
  </w:num>
  <w:num w:numId="7" w16cid:durableId="1647514419">
    <w:abstractNumId w:val="0"/>
  </w:num>
  <w:num w:numId="8" w16cid:durableId="781191227">
    <w:abstractNumId w:val="13"/>
  </w:num>
  <w:num w:numId="9" w16cid:durableId="960107830">
    <w:abstractNumId w:val="20"/>
  </w:num>
  <w:num w:numId="10" w16cid:durableId="1049381860">
    <w:abstractNumId w:val="27"/>
  </w:num>
  <w:num w:numId="11" w16cid:durableId="1798915148">
    <w:abstractNumId w:val="15"/>
  </w:num>
  <w:num w:numId="12" w16cid:durableId="315307678">
    <w:abstractNumId w:val="23"/>
  </w:num>
  <w:num w:numId="13" w16cid:durableId="1027177409">
    <w:abstractNumId w:val="10"/>
  </w:num>
  <w:num w:numId="14" w16cid:durableId="1151992261">
    <w:abstractNumId w:val="24"/>
  </w:num>
  <w:num w:numId="15" w16cid:durableId="725837060">
    <w:abstractNumId w:val="8"/>
  </w:num>
  <w:num w:numId="16" w16cid:durableId="1730837013">
    <w:abstractNumId w:val="5"/>
  </w:num>
  <w:num w:numId="17" w16cid:durableId="1034697080">
    <w:abstractNumId w:val="18"/>
  </w:num>
  <w:num w:numId="18" w16cid:durableId="1904026562">
    <w:abstractNumId w:val="26"/>
  </w:num>
  <w:num w:numId="19" w16cid:durableId="1446270577">
    <w:abstractNumId w:val="2"/>
  </w:num>
  <w:num w:numId="20" w16cid:durableId="1861891320">
    <w:abstractNumId w:val="28"/>
  </w:num>
  <w:num w:numId="21" w16cid:durableId="1868592406">
    <w:abstractNumId w:val="16"/>
  </w:num>
  <w:num w:numId="22" w16cid:durableId="1797991445">
    <w:abstractNumId w:val="9"/>
  </w:num>
  <w:num w:numId="23" w16cid:durableId="1796480508">
    <w:abstractNumId w:val="17"/>
  </w:num>
  <w:num w:numId="24" w16cid:durableId="1161045465">
    <w:abstractNumId w:val="1"/>
  </w:num>
  <w:num w:numId="25" w16cid:durableId="144705036">
    <w:abstractNumId w:val="4"/>
  </w:num>
  <w:num w:numId="26" w16cid:durableId="78522246">
    <w:abstractNumId w:val="12"/>
  </w:num>
  <w:num w:numId="27" w16cid:durableId="1771268613">
    <w:abstractNumId w:val="3"/>
  </w:num>
  <w:num w:numId="28" w16cid:durableId="245968587">
    <w:abstractNumId w:val="11"/>
  </w:num>
  <w:num w:numId="29" w16cid:durableId="1770005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0932F7"/>
    <w:rsid w:val="00170DEC"/>
    <w:rsid w:val="001F749D"/>
    <w:rsid w:val="00376789"/>
    <w:rsid w:val="003B0B39"/>
    <w:rsid w:val="004C1325"/>
    <w:rsid w:val="006219D1"/>
    <w:rsid w:val="006F2B8A"/>
    <w:rsid w:val="00961C59"/>
    <w:rsid w:val="00A241BA"/>
    <w:rsid w:val="00C62DAD"/>
    <w:rsid w:val="00D673CB"/>
    <w:rsid w:val="00D7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2.mtmt.hu/gui2/?mode=browse&amp;params=publication;33863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2.mtmt.hu/gui2/?mode=browse&amp;params=publication;30855146" TargetMode="External"/><Relationship Id="rId5" Type="http://schemas.openxmlformats.org/officeDocument/2006/relationships/hyperlink" Target="https://m2.mtmt.hu/gui2/?mode=browse&amp;params=publication;313061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2026-02-25T12:31:00Z</dcterms:created>
  <dcterms:modified xsi:type="dcterms:W3CDTF">2026-02-26T06:55:00Z</dcterms:modified>
</cp:coreProperties>
</file>