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5BEC" w14:textId="77777777" w:rsidR="005A3CC9" w:rsidRDefault="00FB7541" w:rsidP="005A3CC9">
      <w:pPr>
        <w:tabs>
          <w:tab w:val="left" w:pos="3780"/>
        </w:tabs>
        <w:jc w:val="both"/>
        <w:rPr>
          <w:rStyle w:val="eop"/>
          <w:rFonts w:ascii="PT Sans" w:hAnsi="PT Sans"/>
          <w:color w:val="000000"/>
          <w:sz w:val="24"/>
          <w:szCs w:val="24"/>
          <w:shd w:val="clear" w:color="auto" w:fill="FFFFFF"/>
        </w:rPr>
      </w:pPr>
      <w:r w:rsidRPr="005A3CC9">
        <w:rPr>
          <w:rStyle w:val="normaltextrun"/>
          <w:rFonts w:ascii="PT Sans" w:hAnsi="PT Sans"/>
          <w:b/>
          <w:bCs/>
          <w:color w:val="000000"/>
          <w:sz w:val="24"/>
          <w:szCs w:val="24"/>
          <w:shd w:val="clear" w:color="auto" w:fill="FFFFFF"/>
        </w:rPr>
        <w:t>A polgári igazságszolgáltatás fejlődési tendenciái JDDO327XA0</w:t>
      </w:r>
    </w:p>
    <w:p w14:paraId="35C59CE6" w14:textId="63DDBD19" w:rsidR="00D673CB" w:rsidRPr="005A3CC9" w:rsidRDefault="00D673CB" w:rsidP="005A3CC9">
      <w:pPr>
        <w:tabs>
          <w:tab w:val="left" w:pos="3780"/>
        </w:tabs>
        <w:jc w:val="both"/>
        <w:rPr>
          <w:rFonts w:ascii="PT Sans" w:hAnsi="PT Sans"/>
          <w:b/>
          <w:bCs/>
          <w:sz w:val="24"/>
          <w:szCs w:val="24"/>
        </w:rPr>
      </w:pPr>
      <w:r w:rsidRPr="005A3CC9">
        <w:rPr>
          <w:rFonts w:ascii="PT Sans" w:hAnsi="PT Sans"/>
          <w:b/>
          <w:bCs/>
          <w:sz w:val="24"/>
          <w:szCs w:val="24"/>
        </w:rPr>
        <w:t>A tantárgy céljának rövid ismertetése:</w:t>
      </w:r>
    </w:p>
    <w:p w14:paraId="5A2B9DC7" w14:textId="4B62A7D7" w:rsidR="00163BA1" w:rsidRDefault="00832777" w:rsidP="005A3CC9">
      <w:pPr>
        <w:pStyle w:val="paragraph"/>
        <w:spacing w:before="0" w:beforeAutospacing="0" w:after="0" w:afterAutospacing="0"/>
        <w:jc w:val="both"/>
        <w:textAlignment w:val="baseline"/>
        <w:rPr>
          <w:rFonts w:ascii="PT Sans" w:hAnsi="PT Sans"/>
        </w:rPr>
      </w:pPr>
      <w:r w:rsidRPr="005A3CC9">
        <w:rPr>
          <w:rStyle w:val="normaltextrun"/>
          <w:rFonts w:ascii="PT Sans" w:eastAsiaTheme="majorEastAsia" w:hAnsi="PT Sans"/>
        </w:rPr>
        <w:t>A tárgy keretében áttekintjük a polgári eljárásjog leginkább időszerű kérdéseit, melynek során a PhD hallgatók az oktató elméleti bevezetőjét követően, az oktató iránymutatásai segítségével aktív kutatómunkát végezve dolgoznak fel és referálnak egy-egy témát.</w:t>
      </w:r>
      <w:r w:rsidR="005A3CC9">
        <w:rPr>
          <w:rStyle w:val="normaltextrun"/>
          <w:rFonts w:ascii="PT Sans" w:eastAsiaTheme="majorEastAsia" w:hAnsi="PT Sans"/>
        </w:rPr>
        <w:t xml:space="preserve"> </w:t>
      </w:r>
    </w:p>
    <w:p w14:paraId="7251E8F3" w14:textId="77777777" w:rsidR="005A3CC9" w:rsidRPr="005A3CC9" w:rsidRDefault="005A3CC9" w:rsidP="005A3CC9">
      <w:pPr>
        <w:pStyle w:val="paragraph"/>
        <w:spacing w:before="0" w:beforeAutospacing="0" w:after="0" w:afterAutospacing="0"/>
        <w:jc w:val="both"/>
        <w:textAlignment w:val="baseline"/>
        <w:rPr>
          <w:rFonts w:ascii="PT Sans" w:hAnsi="PT Sans"/>
          <w:b/>
          <w:bCs/>
        </w:rPr>
      </w:pPr>
    </w:p>
    <w:p w14:paraId="687B7A9E" w14:textId="014F86FC" w:rsidR="00D673CB" w:rsidRPr="005A3CC9" w:rsidRDefault="00D673CB" w:rsidP="005A3CC9">
      <w:pPr>
        <w:jc w:val="both"/>
        <w:rPr>
          <w:rFonts w:ascii="PT Sans" w:hAnsi="PT Sans"/>
          <w:b/>
          <w:bCs/>
          <w:sz w:val="24"/>
          <w:szCs w:val="24"/>
        </w:rPr>
      </w:pPr>
      <w:r w:rsidRPr="005A3CC9">
        <w:rPr>
          <w:rFonts w:ascii="PT Sans" w:hAnsi="PT Sans"/>
          <w:b/>
          <w:bCs/>
          <w:sz w:val="24"/>
          <w:szCs w:val="24"/>
        </w:rPr>
        <w:t xml:space="preserve">Elsajátítandó gyakorlati ismeretanyag: </w:t>
      </w:r>
    </w:p>
    <w:p w14:paraId="5E2D1122" w14:textId="77777777" w:rsidR="00832777" w:rsidRPr="005A3CC9" w:rsidRDefault="00832777" w:rsidP="005A3CC9">
      <w:pPr>
        <w:tabs>
          <w:tab w:val="left" w:pos="3780"/>
        </w:tabs>
        <w:jc w:val="both"/>
        <w:rPr>
          <w:rFonts w:ascii="PT Sans" w:hAnsi="PT Sans"/>
          <w:sz w:val="24"/>
          <w:szCs w:val="24"/>
        </w:rPr>
      </w:pPr>
      <w:r w:rsidRPr="005A3CC9">
        <w:rPr>
          <w:rFonts w:ascii="PT Sans" w:hAnsi="PT Sans"/>
          <w:sz w:val="24"/>
          <w:szCs w:val="24"/>
        </w:rPr>
        <w:t>A kurzus előadás, de gyakorlati elemeket is tartalmaz, mely elsősorban a hallgatók önálló kutatómunkára való alkalmasságát kívánja elősegíteni. Ennek során megoldandó feladatok: megfelelő témaválasztás, önálló forráskutatás és feldolgozás, prezentáció, vitakészségfejlesztés.</w:t>
      </w:r>
    </w:p>
    <w:p w14:paraId="778E292C" w14:textId="319C06A8" w:rsidR="00D673CB" w:rsidRPr="005A3CC9" w:rsidRDefault="00D673CB" w:rsidP="005A3CC9">
      <w:pPr>
        <w:jc w:val="both"/>
        <w:rPr>
          <w:rFonts w:ascii="PT Sans" w:hAnsi="PT Sans"/>
          <w:b/>
          <w:bCs/>
          <w:sz w:val="24"/>
          <w:szCs w:val="24"/>
        </w:rPr>
      </w:pPr>
      <w:r w:rsidRPr="005A3CC9">
        <w:rPr>
          <w:rFonts w:ascii="PT Sans" w:hAnsi="PT Sans"/>
          <w:b/>
          <w:bCs/>
          <w:sz w:val="24"/>
          <w:szCs w:val="24"/>
        </w:rPr>
        <w:t>Elsajátítandó elméleti ismeretanyag:</w:t>
      </w:r>
    </w:p>
    <w:p w14:paraId="0408EEFA" w14:textId="77777777" w:rsidR="005A3CC9" w:rsidRPr="005A3CC9" w:rsidRDefault="00832777" w:rsidP="005A3CC9">
      <w:pPr>
        <w:pStyle w:val="Nincstrkz"/>
        <w:rPr>
          <w:rFonts w:ascii="PT Sans" w:hAnsi="PT Sans"/>
          <w:sz w:val="24"/>
          <w:szCs w:val="24"/>
          <w:shd w:val="clear" w:color="auto" w:fill="FDFCFB"/>
        </w:rPr>
      </w:pPr>
      <w:r w:rsidRPr="005A3CC9">
        <w:rPr>
          <w:rFonts w:ascii="PT Sans" w:hAnsi="PT Sans"/>
          <w:sz w:val="24"/>
          <w:szCs w:val="24"/>
          <w:shd w:val="clear" w:color="auto" w:fill="FDFCFB"/>
        </w:rPr>
        <w:t>1. Információs technológia, perhatékonyság</w:t>
      </w:r>
    </w:p>
    <w:p w14:paraId="31310CA9" w14:textId="77777777" w:rsidR="005A3CC9" w:rsidRPr="005A3CC9" w:rsidRDefault="00832777" w:rsidP="005A3CC9">
      <w:pPr>
        <w:pStyle w:val="Nincstrkz"/>
        <w:rPr>
          <w:rFonts w:ascii="PT Sans" w:hAnsi="PT Sans"/>
          <w:sz w:val="24"/>
          <w:szCs w:val="24"/>
          <w:shd w:val="clear" w:color="auto" w:fill="FDFCFB"/>
        </w:rPr>
      </w:pPr>
      <w:r w:rsidRPr="005A3CC9">
        <w:rPr>
          <w:rFonts w:ascii="PT Sans" w:hAnsi="PT Sans"/>
          <w:sz w:val="24"/>
          <w:szCs w:val="24"/>
          <w:shd w:val="clear" w:color="auto" w:fill="FDFCFB"/>
        </w:rPr>
        <w:t>2. Az igazságügyi együttmű</w:t>
      </w:r>
      <w:r w:rsidRPr="005A3CC9">
        <w:rPr>
          <w:rStyle w:val="object"/>
          <w:rFonts w:ascii="PT Sans" w:hAnsi="PT Sans"/>
          <w:color w:val="51862F"/>
          <w:sz w:val="24"/>
          <w:szCs w:val="24"/>
          <w:shd w:val="clear" w:color="auto" w:fill="FDFCFB"/>
        </w:rPr>
        <w:t>k</w:t>
      </w:r>
      <w:r w:rsidRPr="005A3CC9">
        <w:rPr>
          <w:rFonts w:ascii="PT Sans" w:hAnsi="PT Sans"/>
          <w:sz w:val="24"/>
          <w:szCs w:val="24"/>
          <w:shd w:val="clear" w:color="auto" w:fill="FDFCFB"/>
        </w:rPr>
        <w:t>ödés legújabb irányai az EU-ban</w:t>
      </w:r>
    </w:p>
    <w:p w14:paraId="247F5C7C" w14:textId="77777777" w:rsidR="005A3CC9" w:rsidRPr="005A3CC9" w:rsidRDefault="00832777" w:rsidP="005A3CC9">
      <w:pPr>
        <w:pStyle w:val="Nincstrkz"/>
        <w:rPr>
          <w:rFonts w:ascii="PT Sans" w:hAnsi="PT Sans"/>
          <w:sz w:val="24"/>
          <w:szCs w:val="24"/>
          <w:shd w:val="clear" w:color="auto" w:fill="FDFCFB"/>
        </w:rPr>
      </w:pPr>
      <w:r w:rsidRPr="005A3CC9">
        <w:rPr>
          <w:rFonts w:ascii="PT Sans" w:hAnsi="PT Sans"/>
          <w:sz w:val="24"/>
          <w:szCs w:val="24"/>
          <w:shd w:val="clear" w:color="auto" w:fill="FDFCFB"/>
        </w:rPr>
        <w:t>3. Egy jövőbeli polgári perjogi modelltörvény lehetősége – ELI-UNIDROIT projekt</w:t>
      </w:r>
    </w:p>
    <w:p w14:paraId="48BC1E70" w14:textId="77777777" w:rsidR="005A3CC9" w:rsidRPr="005A3CC9" w:rsidRDefault="00832777" w:rsidP="005A3CC9">
      <w:pPr>
        <w:pStyle w:val="Nincstrkz"/>
        <w:rPr>
          <w:rFonts w:ascii="PT Sans" w:hAnsi="PT Sans"/>
          <w:sz w:val="24"/>
          <w:szCs w:val="24"/>
          <w:shd w:val="clear" w:color="auto" w:fill="FDFCFB"/>
        </w:rPr>
      </w:pPr>
      <w:r w:rsidRPr="005A3CC9">
        <w:rPr>
          <w:rFonts w:ascii="PT Sans" w:hAnsi="PT Sans"/>
          <w:sz w:val="24"/>
          <w:szCs w:val="24"/>
          <w:shd w:val="clear" w:color="auto" w:fill="FDFCFB"/>
        </w:rPr>
        <w:t>4. A kollektív igényérvényesítés fejlődése Európában</w:t>
      </w:r>
    </w:p>
    <w:p w14:paraId="5934D80C" w14:textId="6F5270BE" w:rsidR="00832777" w:rsidRPr="005A3CC9" w:rsidRDefault="00832777" w:rsidP="005A3CC9">
      <w:pPr>
        <w:pStyle w:val="Nincstrkz"/>
        <w:rPr>
          <w:rFonts w:ascii="PT Sans" w:hAnsi="PT Sans"/>
          <w:sz w:val="24"/>
          <w:szCs w:val="24"/>
        </w:rPr>
      </w:pPr>
      <w:r w:rsidRPr="005A3CC9">
        <w:rPr>
          <w:rFonts w:ascii="PT Sans" w:hAnsi="PT Sans"/>
          <w:sz w:val="24"/>
          <w:szCs w:val="24"/>
          <w:shd w:val="clear" w:color="auto" w:fill="FDFCFB"/>
        </w:rPr>
        <w:t>5. Igazságszolgáltatási tevékenységek privatizálásnak lehetősége</w:t>
      </w:r>
    </w:p>
    <w:p w14:paraId="256E878E" w14:textId="77777777" w:rsidR="005A3CC9" w:rsidRDefault="005A3CC9" w:rsidP="005A3CC9">
      <w:pPr>
        <w:jc w:val="both"/>
        <w:rPr>
          <w:rFonts w:ascii="PT Sans" w:hAnsi="PT Sans"/>
          <w:b/>
          <w:bCs/>
          <w:sz w:val="24"/>
          <w:szCs w:val="24"/>
        </w:rPr>
      </w:pPr>
    </w:p>
    <w:p w14:paraId="05DB11AF" w14:textId="0EC7E37A" w:rsidR="00D673CB" w:rsidRPr="005A3CC9" w:rsidRDefault="00D673CB" w:rsidP="005A3CC9">
      <w:pPr>
        <w:jc w:val="both"/>
        <w:rPr>
          <w:rFonts w:ascii="PT Sans" w:hAnsi="PT Sans"/>
          <w:b/>
          <w:bCs/>
          <w:sz w:val="24"/>
          <w:szCs w:val="24"/>
        </w:rPr>
      </w:pPr>
      <w:r w:rsidRPr="005A3CC9">
        <w:rPr>
          <w:rFonts w:ascii="PT Sans" w:hAnsi="PT Sans"/>
          <w:b/>
          <w:bCs/>
          <w:sz w:val="24"/>
          <w:szCs w:val="24"/>
        </w:rPr>
        <w:t>Az értékelés kritériuma:</w:t>
      </w:r>
    </w:p>
    <w:p w14:paraId="7027D6E5" w14:textId="77777777" w:rsidR="00832777" w:rsidRPr="005A3CC9" w:rsidRDefault="00832777" w:rsidP="005A3CC9">
      <w:pPr>
        <w:pStyle w:val="Nincstrkz"/>
        <w:rPr>
          <w:rFonts w:ascii="PT Sans" w:hAnsi="PT Sans"/>
          <w:sz w:val="24"/>
          <w:szCs w:val="24"/>
        </w:rPr>
      </w:pPr>
      <w:r w:rsidRPr="005A3CC9">
        <w:rPr>
          <w:rFonts w:ascii="PT Sans" w:hAnsi="PT Sans"/>
          <w:sz w:val="24"/>
          <w:szCs w:val="24"/>
        </w:rPr>
        <w:t>Az órákon az aktív részvétel és a prezentáció tartása kötelező.</w:t>
      </w:r>
    </w:p>
    <w:p w14:paraId="436C10E4" w14:textId="77777777" w:rsidR="00832777" w:rsidRPr="005A3CC9" w:rsidRDefault="00832777" w:rsidP="005A3CC9">
      <w:pPr>
        <w:pStyle w:val="Nincstrkz"/>
        <w:rPr>
          <w:rFonts w:ascii="PT Sans" w:hAnsi="PT Sans"/>
          <w:sz w:val="24"/>
          <w:szCs w:val="24"/>
        </w:rPr>
      </w:pPr>
      <w:r w:rsidRPr="005A3CC9">
        <w:rPr>
          <w:rFonts w:ascii="PT Sans" w:hAnsi="PT Sans"/>
          <w:sz w:val="24"/>
          <w:szCs w:val="24"/>
        </w:rPr>
        <w:t>Az értékelés ötfokozatú, alapjául a következők szolgálnak: tananyag, kötelező irodalom önálló feldolgozása, a kiadott előzetes feladatok minőségi teljesítése, aktív részvétel.</w:t>
      </w:r>
    </w:p>
    <w:p w14:paraId="1CA3CB66" w14:textId="77777777" w:rsidR="00832777" w:rsidRPr="005A3CC9" w:rsidRDefault="00832777" w:rsidP="005A3CC9">
      <w:pPr>
        <w:jc w:val="both"/>
        <w:rPr>
          <w:rFonts w:ascii="PT Sans" w:hAnsi="PT Sans"/>
          <w:b/>
          <w:bCs/>
          <w:sz w:val="24"/>
          <w:szCs w:val="24"/>
        </w:rPr>
      </w:pPr>
    </w:p>
    <w:p w14:paraId="66B99562" w14:textId="77F6E5EB" w:rsidR="00D673CB" w:rsidRPr="005A3CC9" w:rsidRDefault="00D673CB" w:rsidP="005A3CC9">
      <w:pPr>
        <w:jc w:val="both"/>
        <w:rPr>
          <w:rFonts w:ascii="PT Sans" w:hAnsi="PT Sans"/>
          <w:b/>
          <w:bCs/>
          <w:sz w:val="24"/>
          <w:szCs w:val="24"/>
        </w:rPr>
      </w:pPr>
      <w:r w:rsidRPr="005A3CC9">
        <w:rPr>
          <w:rFonts w:ascii="PT Sans" w:hAnsi="PT Sans"/>
          <w:b/>
          <w:bCs/>
          <w:sz w:val="24"/>
          <w:szCs w:val="24"/>
        </w:rPr>
        <w:t>Az alkalmazott oktatási módszerek:</w:t>
      </w:r>
    </w:p>
    <w:p w14:paraId="5FC074E5" w14:textId="77777777" w:rsidR="00832777" w:rsidRPr="005A3CC9" w:rsidRDefault="00832777" w:rsidP="005A3CC9">
      <w:pPr>
        <w:pStyle w:val="paragraph"/>
        <w:spacing w:before="0" w:beforeAutospacing="0" w:after="0" w:afterAutospacing="0"/>
        <w:jc w:val="both"/>
        <w:textAlignment w:val="baseline"/>
        <w:rPr>
          <w:rStyle w:val="eop"/>
          <w:rFonts w:ascii="PT Sans" w:hAnsi="PT Sans"/>
        </w:rPr>
      </w:pPr>
      <w:r w:rsidRPr="005A3CC9">
        <w:rPr>
          <w:rStyle w:val="eop"/>
          <w:rFonts w:ascii="PT Sans" w:hAnsi="PT Sans"/>
        </w:rPr>
        <w:t xml:space="preserve">A tematikában szereplő témákat a hallgatók aktív közreműködésével dolgozza fel az oktató. Egy elméleti bevezetést követően (amely csak részben frontális oktatás), a hallgatókat igyekszik kezdettől fogva bevonni a témáról kialakult diskurzusba. A tárgy tehát a kezdetektől fogva interaktív is, melyet gyakorlati elemekkel is gazdagítunk az alábbiak szerint. A tantárgy oktatásával azokat a képességeket szeretnénk fejleszteni a PhD hallgatóknál, melyek az önálló kutatómunkára teszi őket alkalmasnak. Egy vagy két általuk választott részterületen ki kell választaniuk egy megfelelően aktuális témakört, melyhez forrásokat keresve, strukturáltan feldolgozzák és adott időkeretek között előadják a </w:t>
      </w:r>
      <w:proofErr w:type="spellStart"/>
      <w:r w:rsidRPr="005A3CC9">
        <w:rPr>
          <w:rStyle w:val="eop"/>
          <w:rFonts w:ascii="PT Sans" w:hAnsi="PT Sans"/>
        </w:rPr>
        <w:t>feldolgozottakat</w:t>
      </w:r>
      <w:proofErr w:type="spellEnd"/>
      <w:r w:rsidRPr="005A3CC9">
        <w:rPr>
          <w:rStyle w:val="eop"/>
          <w:rFonts w:ascii="PT Sans" w:hAnsi="PT Sans"/>
        </w:rPr>
        <w:t>. Ennek során az egész hallgatói csoportot bevonva diszkussziót folytatunk, amely a PhD hallgatók vitakészségét javítja. </w:t>
      </w:r>
    </w:p>
    <w:p w14:paraId="28C53DB1" w14:textId="77777777" w:rsidR="00163BA1" w:rsidRPr="005A3CC9" w:rsidRDefault="00163BA1" w:rsidP="005A3CC9">
      <w:pPr>
        <w:jc w:val="both"/>
        <w:rPr>
          <w:rFonts w:ascii="PT Sans" w:hAnsi="PT Sans"/>
          <w:b/>
          <w:bCs/>
          <w:sz w:val="24"/>
          <w:szCs w:val="24"/>
        </w:rPr>
      </w:pPr>
    </w:p>
    <w:p w14:paraId="3C804C69" w14:textId="60A1584C" w:rsidR="00D673CB" w:rsidRPr="005A3CC9" w:rsidRDefault="00D673CB" w:rsidP="005A3CC9">
      <w:pPr>
        <w:jc w:val="both"/>
        <w:rPr>
          <w:rFonts w:ascii="PT Sans" w:hAnsi="PT Sans"/>
          <w:b/>
          <w:bCs/>
          <w:sz w:val="24"/>
          <w:szCs w:val="24"/>
        </w:rPr>
      </w:pPr>
      <w:r w:rsidRPr="005A3CC9">
        <w:rPr>
          <w:rFonts w:ascii="PT Sans" w:hAnsi="PT Sans"/>
          <w:b/>
          <w:bCs/>
          <w:sz w:val="24"/>
          <w:szCs w:val="24"/>
        </w:rPr>
        <w:t>Kötelező irodalom:</w:t>
      </w:r>
    </w:p>
    <w:p w14:paraId="5C247916" w14:textId="77777777" w:rsidR="00832777" w:rsidRPr="005A3CC9" w:rsidRDefault="00832777" w:rsidP="005A3CC9">
      <w:pPr>
        <w:tabs>
          <w:tab w:val="left" w:pos="3780"/>
        </w:tabs>
        <w:jc w:val="both"/>
        <w:rPr>
          <w:rFonts w:ascii="PT Sans" w:hAnsi="PT Sans"/>
          <w:sz w:val="24"/>
          <w:szCs w:val="24"/>
        </w:rPr>
      </w:pPr>
      <w:proofErr w:type="spellStart"/>
      <w:r w:rsidRPr="005A3CC9">
        <w:rPr>
          <w:rFonts w:ascii="PT Sans" w:hAnsi="PT Sans"/>
          <w:sz w:val="24"/>
          <w:szCs w:val="24"/>
        </w:rPr>
        <w:t>Inchausti</w:t>
      </w:r>
      <w:proofErr w:type="spellEnd"/>
      <w:r w:rsidRPr="005A3CC9">
        <w:rPr>
          <w:rFonts w:ascii="PT Sans" w:hAnsi="PT Sans"/>
          <w:sz w:val="24"/>
          <w:szCs w:val="24"/>
        </w:rPr>
        <w:t xml:space="preserve"> and Hess: The </w:t>
      </w:r>
      <w:proofErr w:type="spellStart"/>
      <w:r w:rsidRPr="005A3CC9">
        <w:rPr>
          <w:rFonts w:ascii="PT Sans" w:hAnsi="PT Sans"/>
          <w:sz w:val="24"/>
          <w:szCs w:val="24"/>
        </w:rPr>
        <w:t>Future</w:t>
      </w:r>
      <w:proofErr w:type="spellEnd"/>
      <w:r w:rsidRPr="005A3CC9">
        <w:rPr>
          <w:rFonts w:ascii="PT Sans" w:hAnsi="PT Sans"/>
          <w:sz w:val="24"/>
          <w:szCs w:val="24"/>
        </w:rPr>
        <w:t xml:space="preserve"> of European Law of Civil </w:t>
      </w:r>
      <w:proofErr w:type="spellStart"/>
      <w:r w:rsidRPr="005A3CC9">
        <w:rPr>
          <w:rFonts w:ascii="PT Sans" w:hAnsi="PT Sans"/>
          <w:sz w:val="24"/>
          <w:szCs w:val="24"/>
        </w:rPr>
        <w:t>Procedure</w:t>
      </w:r>
      <w:proofErr w:type="spellEnd"/>
      <w:r w:rsidRPr="005A3CC9">
        <w:rPr>
          <w:rFonts w:ascii="PT Sans" w:hAnsi="PT Sans"/>
          <w:sz w:val="24"/>
          <w:szCs w:val="24"/>
        </w:rPr>
        <w:t xml:space="preserve">. </w:t>
      </w:r>
      <w:proofErr w:type="spellStart"/>
      <w:r w:rsidRPr="005A3CC9">
        <w:rPr>
          <w:rFonts w:ascii="PT Sans" w:hAnsi="PT Sans"/>
          <w:sz w:val="24"/>
          <w:szCs w:val="24"/>
        </w:rPr>
        <w:t>Intersentia</w:t>
      </w:r>
      <w:proofErr w:type="spellEnd"/>
      <w:r w:rsidRPr="005A3CC9">
        <w:rPr>
          <w:rFonts w:ascii="PT Sans" w:hAnsi="PT Sans"/>
          <w:sz w:val="24"/>
          <w:szCs w:val="24"/>
        </w:rPr>
        <w:t>, 2020. ISBN 978-1-780688596</w:t>
      </w:r>
    </w:p>
    <w:p w14:paraId="7E4615F5" w14:textId="77777777" w:rsidR="00832777" w:rsidRPr="005A3CC9" w:rsidRDefault="00832777" w:rsidP="005A3CC9">
      <w:pPr>
        <w:tabs>
          <w:tab w:val="left" w:pos="3780"/>
        </w:tabs>
        <w:jc w:val="both"/>
        <w:rPr>
          <w:rFonts w:ascii="PT Sans" w:hAnsi="PT Sans"/>
          <w:sz w:val="24"/>
          <w:szCs w:val="24"/>
        </w:rPr>
      </w:pPr>
      <w:proofErr w:type="spellStart"/>
      <w:r w:rsidRPr="005A3CC9">
        <w:rPr>
          <w:rFonts w:ascii="PT Sans" w:hAnsi="PT Sans"/>
          <w:sz w:val="24"/>
          <w:szCs w:val="24"/>
        </w:rPr>
        <w:lastRenderedPageBreak/>
        <w:t>Gárdos</w:t>
      </w:r>
      <w:proofErr w:type="spellEnd"/>
      <w:r w:rsidRPr="005A3CC9">
        <w:rPr>
          <w:rFonts w:ascii="PT Sans" w:hAnsi="PT Sans"/>
          <w:sz w:val="24"/>
          <w:szCs w:val="24"/>
        </w:rPr>
        <w:t xml:space="preserve"> Orosz Fruzsina / </w:t>
      </w:r>
      <w:proofErr w:type="spellStart"/>
      <w:r w:rsidRPr="005A3CC9">
        <w:rPr>
          <w:rFonts w:ascii="PT Sans" w:hAnsi="PT Sans"/>
          <w:sz w:val="24"/>
          <w:szCs w:val="24"/>
        </w:rPr>
        <w:t>Osztovits</w:t>
      </w:r>
      <w:proofErr w:type="spellEnd"/>
      <w:r w:rsidRPr="005A3CC9">
        <w:rPr>
          <w:rFonts w:ascii="PT Sans" w:hAnsi="PT Sans"/>
          <w:sz w:val="24"/>
          <w:szCs w:val="24"/>
        </w:rPr>
        <w:t xml:space="preserve"> András. (</w:t>
      </w:r>
      <w:proofErr w:type="spellStart"/>
      <w:r w:rsidRPr="005A3CC9">
        <w:rPr>
          <w:rFonts w:ascii="PT Sans" w:hAnsi="PT Sans"/>
          <w:sz w:val="24"/>
          <w:szCs w:val="24"/>
        </w:rPr>
        <w:t>ed</w:t>
      </w:r>
      <w:proofErr w:type="spellEnd"/>
      <w:r w:rsidRPr="005A3CC9">
        <w:rPr>
          <w:rFonts w:ascii="PT Sans" w:hAnsi="PT Sans"/>
          <w:sz w:val="24"/>
          <w:szCs w:val="24"/>
        </w:rPr>
        <w:t xml:space="preserve">.): Az új Polgári perrendtartás első öt éve. ORAC/HUNREN, Bp. 2025 ISBN 9789632586601 </w:t>
      </w:r>
    </w:p>
    <w:p w14:paraId="1D4DB13A" w14:textId="77777777" w:rsidR="00163BA1" w:rsidRPr="005A3CC9" w:rsidRDefault="00163BA1" w:rsidP="005A3CC9">
      <w:pPr>
        <w:jc w:val="both"/>
        <w:rPr>
          <w:rFonts w:ascii="PT Sans" w:hAnsi="PT Sans"/>
          <w:b/>
          <w:bCs/>
          <w:sz w:val="24"/>
          <w:szCs w:val="24"/>
        </w:rPr>
      </w:pPr>
    </w:p>
    <w:p w14:paraId="3018F48B" w14:textId="30B14FC3" w:rsidR="00D673CB" w:rsidRPr="005A3CC9" w:rsidRDefault="00D673CB" w:rsidP="005A3CC9">
      <w:pPr>
        <w:jc w:val="both"/>
        <w:rPr>
          <w:rFonts w:ascii="PT Sans" w:hAnsi="PT Sans"/>
          <w:b/>
          <w:bCs/>
          <w:sz w:val="24"/>
          <w:szCs w:val="24"/>
        </w:rPr>
      </w:pPr>
      <w:r w:rsidRPr="005A3CC9">
        <w:rPr>
          <w:rFonts w:ascii="PT Sans" w:hAnsi="PT Sans"/>
          <w:b/>
          <w:bCs/>
          <w:sz w:val="24"/>
          <w:szCs w:val="24"/>
        </w:rPr>
        <w:t>Ajánlott irodalom:</w:t>
      </w:r>
    </w:p>
    <w:p w14:paraId="56DF0118" w14:textId="77777777" w:rsidR="00832777" w:rsidRPr="005A3CC9" w:rsidRDefault="00832777" w:rsidP="005A3CC9">
      <w:pPr>
        <w:pStyle w:val="paragraph"/>
        <w:spacing w:before="0" w:beforeAutospacing="0" w:after="0" w:afterAutospacing="0"/>
        <w:jc w:val="both"/>
        <w:textAlignment w:val="baseline"/>
        <w:rPr>
          <w:rStyle w:val="eop"/>
          <w:rFonts w:ascii="PT Sans" w:hAnsi="PT Sans"/>
        </w:rPr>
      </w:pPr>
      <w:proofErr w:type="spellStart"/>
      <w:r w:rsidRPr="005A3CC9">
        <w:rPr>
          <w:rStyle w:val="eop"/>
          <w:rFonts w:ascii="PT Sans" w:hAnsi="PT Sans"/>
        </w:rPr>
        <w:t>Koichi</w:t>
      </w:r>
      <w:proofErr w:type="spellEnd"/>
      <w:r w:rsidRPr="005A3CC9">
        <w:rPr>
          <w:rStyle w:val="eop"/>
          <w:rFonts w:ascii="PT Sans" w:hAnsi="PT Sans"/>
        </w:rPr>
        <w:t xml:space="preserve"> Miki (</w:t>
      </w:r>
      <w:proofErr w:type="spellStart"/>
      <w:r w:rsidRPr="005A3CC9">
        <w:rPr>
          <w:rStyle w:val="eop"/>
          <w:rFonts w:ascii="PT Sans" w:hAnsi="PT Sans"/>
        </w:rPr>
        <w:t>ed</w:t>
      </w:r>
      <w:proofErr w:type="spellEnd"/>
      <w:r w:rsidRPr="005A3CC9">
        <w:rPr>
          <w:rStyle w:val="eop"/>
          <w:rFonts w:ascii="PT Sans" w:hAnsi="PT Sans"/>
        </w:rPr>
        <w:t xml:space="preserve">.) </w:t>
      </w:r>
      <w:proofErr w:type="spellStart"/>
      <w:r w:rsidRPr="005A3CC9">
        <w:rPr>
          <w:rStyle w:val="eop"/>
          <w:rFonts w:ascii="PT Sans" w:hAnsi="PT Sans"/>
        </w:rPr>
        <w:t>Technology</w:t>
      </w:r>
      <w:proofErr w:type="spellEnd"/>
      <w:r w:rsidRPr="005A3CC9">
        <w:rPr>
          <w:rStyle w:val="eop"/>
          <w:rFonts w:ascii="PT Sans" w:hAnsi="PT Sans"/>
        </w:rPr>
        <w:t xml:space="preserve">, </w:t>
      </w:r>
      <w:proofErr w:type="spellStart"/>
      <w:r w:rsidRPr="005A3CC9">
        <w:rPr>
          <w:rStyle w:val="eop"/>
          <w:rFonts w:ascii="PT Sans" w:hAnsi="PT Sans"/>
        </w:rPr>
        <w:t>the</w:t>
      </w:r>
      <w:proofErr w:type="spellEnd"/>
      <w:r w:rsidRPr="005A3CC9">
        <w:rPr>
          <w:rStyle w:val="eop"/>
          <w:rFonts w:ascii="PT Sans" w:hAnsi="PT Sans"/>
        </w:rPr>
        <w:t xml:space="preserve"> Global </w:t>
      </w:r>
      <w:proofErr w:type="spellStart"/>
      <w:r w:rsidRPr="005A3CC9">
        <w:rPr>
          <w:rStyle w:val="eop"/>
          <w:rFonts w:ascii="PT Sans" w:hAnsi="PT Sans"/>
        </w:rPr>
        <w:t>Economy</w:t>
      </w:r>
      <w:proofErr w:type="spellEnd"/>
      <w:r w:rsidRPr="005A3CC9">
        <w:rPr>
          <w:rStyle w:val="eop"/>
          <w:rFonts w:ascii="PT Sans" w:hAnsi="PT Sans"/>
        </w:rPr>
        <w:t xml:space="preserve"> and </w:t>
      </w:r>
      <w:proofErr w:type="spellStart"/>
      <w:r w:rsidRPr="005A3CC9">
        <w:rPr>
          <w:rStyle w:val="eop"/>
          <w:rFonts w:ascii="PT Sans" w:hAnsi="PT Sans"/>
        </w:rPr>
        <w:t>other</w:t>
      </w:r>
      <w:proofErr w:type="spellEnd"/>
      <w:r w:rsidRPr="005A3CC9">
        <w:rPr>
          <w:rStyle w:val="eop"/>
          <w:rFonts w:ascii="PT Sans" w:hAnsi="PT Sans"/>
        </w:rPr>
        <w:t xml:space="preserve"> New </w:t>
      </w:r>
      <w:proofErr w:type="spellStart"/>
      <w:r w:rsidRPr="005A3CC9">
        <w:rPr>
          <w:rStyle w:val="eop"/>
          <w:rFonts w:ascii="PT Sans" w:hAnsi="PT Sans"/>
        </w:rPr>
        <w:t>Challanges</w:t>
      </w:r>
      <w:proofErr w:type="spellEnd"/>
      <w:r w:rsidRPr="005A3CC9">
        <w:rPr>
          <w:rStyle w:val="eop"/>
          <w:rFonts w:ascii="PT Sans" w:hAnsi="PT Sans"/>
        </w:rPr>
        <w:t xml:space="preserve"> </w:t>
      </w:r>
      <w:proofErr w:type="spellStart"/>
      <w:r w:rsidRPr="005A3CC9">
        <w:rPr>
          <w:rStyle w:val="eop"/>
          <w:rFonts w:ascii="PT Sans" w:hAnsi="PT Sans"/>
        </w:rPr>
        <w:t>for</w:t>
      </w:r>
      <w:proofErr w:type="spellEnd"/>
      <w:r w:rsidRPr="005A3CC9">
        <w:rPr>
          <w:rStyle w:val="eop"/>
          <w:rFonts w:ascii="PT Sans" w:hAnsi="PT Sans"/>
        </w:rPr>
        <w:t xml:space="preserve"> Civil </w:t>
      </w:r>
      <w:proofErr w:type="spellStart"/>
      <w:r w:rsidRPr="005A3CC9">
        <w:rPr>
          <w:rStyle w:val="eop"/>
          <w:rFonts w:ascii="PT Sans" w:hAnsi="PT Sans"/>
        </w:rPr>
        <w:t>Justice</w:t>
      </w:r>
      <w:proofErr w:type="spellEnd"/>
      <w:r w:rsidRPr="005A3CC9">
        <w:rPr>
          <w:rStyle w:val="eop"/>
          <w:rFonts w:ascii="PT Sans" w:hAnsi="PT Sans"/>
        </w:rPr>
        <w:t xml:space="preserve">. </w:t>
      </w:r>
      <w:proofErr w:type="spellStart"/>
      <w:r w:rsidRPr="005A3CC9">
        <w:rPr>
          <w:rStyle w:val="eop"/>
          <w:rFonts w:ascii="PT Sans" w:hAnsi="PT Sans"/>
        </w:rPr>
        <w:t>Intersentia</w:t>
      </w:r>
      <w:proofErr w:type="spellEnd"/>
      <w:r w:rsidRPr="005A3CC9">
        <w:rPr>
          <w:rStyle w:val="eop"/>
          <w:rFonts w:ascii="PT Sans" w:hAnsi="PT Sans"/>
        </w:rPr>
        <w:t>, 2021, ISBN 9781780689715</w:t>
      </w:r>
    </w:p>
    <w:p w14:paraId="4439DCF8" w14:textId="77777777" w:rsidR="00832777" w:rsidRPr="005A3CC9" w:rsidRDefault="00832777" w:rsidP="005A3CC9">
      <w:pPr>
        <w:pStyle w:val="paragraph"/>
        <w:spacing w:before="0" w:beforeAutospacing="0" w:after="0" w:afterAutospacing="0"/>
        <w:jc w:val="both"/>
        <w:textAlignment w:val="baseline"/>
        <w:rPr>
          <w:rStyle w:val="eop"/>
          <w:rFonts w:ascii="PT Sans" w:hAnsi="PT Sans"/>
        </w:rPr>
      </w:pPr>
    </w:p>
    <w:p w14:paraId="7ADEFB78" w14:textId="77777777" w:rsidR="00832777" w:rsidRPr="005A3CC9" w:rsidRDefault="00832777" w:rsidP="005A3CC9">
      <w:pPr>
        <w:pStyle w:val="paragraph"/>
        <w:spacing w:before="0" w:beforeAutospacing="0" w:after="0" w:afterAutospacing="0"/>
        <w:jc w:val="both"/>
        <w:textAlignment w:val="baseline"/>
        <w:rPr>
          <w:rStyle w:val="eop"/>
          <w:rFonts w:ascii="PT Sans" w:hAnsi="PT Sans"/>
        </w:rPr>
      </w:pPr>
      <w:proofErr w:type="spellStart"/>
      <w:r w:rsidRPr="005A3CC9">
        <w:rPr>
          <w:rStyle w:val="eop"/>
          <w:rFonts w:ascii="PT Sans" w:hAnsi="PT Sans"/>
        </w:rPr>
        <w:t>Althammer</w:t>
      </w:r>
      <w:proofErr w:type="spellEnd"/>
      <w:r w:rsidRPr="005A3CC9">
        <w:rPr>
          <w:rStyle w:val="eop"/>
          <w:rFonts w:ascii="PT Sans" w:hAnsi="PT Sans"/>
        </w:rPr>
        <w:t xml:space="preserve"> / Roth: </w:t>
      </w:r>
      <w:proofErr w:type="spellStart"/>
      <w:r w:rsidRPr="005A3CC9">
        <w:rPr>
          <w:rStyle w:val="eop"/>
          <w:rFonts w:ascii="PT Sans" w:hAnsi="PT Sans"/>
        </w:rPr>
        <w:t>Prozessuales</w:t>
      </w:r>
      <w:proofErr w:type="spellEnd"/>
      <w:r w:rsidRPr="005A3CC9">
        <w:rPr>
          <w:rStyle w:val="eop"/>
          <w:rFonts w:ascii="PT Sans" w:hAnsi="PT Sans"/>
        </w:rPr>
        <w:t xml:space="preserve"> </w:t>
      </w:r>
      <w:proofErr w:type="spellStart"/>
      <w:r w:rsidRPr="005A3CC9">
        <w:rPr>
          <w:rStyle w:val="eop"/>
          <w:rFonts w:ascii="PT Sans" w:hAnsi="PT Sans"/>
        </w:rPr>
        <w:t>Denken</w:t>
      </w:r>
      <w:proofErr w:type="spellEnd"/>
      <w:r w:rsidRPr="005A3CC9">
        <w:rPr>
          <w:rStyle w:val="eop"/>
          <w:rFonts w:ascii="PT Sans" w:hAnsi="PT Sans"/>
        </w:rPr>
        <w:t xml:space="preserve"> und </w:t>
      </w:r>
      <w:proofErr w:type="spellStart"/>
      <w:r w:rsidRPr="005A3CC9">
        <w:rPr>
          <w:rStyle w:val="eop"/>
          <w:rFonts w:ascii="PT Sans" w:hAnsi="PT Sans"/>
        </w:rPr>
        <w:t>künstliche</w:t>
      </w:r>
      <w:proofErr w:type="spellEnd"/>
      <w:r w:rsidRPr="005A3CC9">
        <w:rPr>
          <w:rStyle w:val="eop"/>
          <w:rFonts w:ascii="PT Sans" w:hAnsi="PT Sans"/>
        </w:rPr>
        <w:t xml:space="preserve"> </w:t>
      </w:r>
      <w:proofErr w:type="spellStart"/>
      <w:r w:rsidRPr="005A3CC9">
        <w:rPr>
          <w:rStyle w:val="eop"/>
          <w:rFonts w:ascii="PT Sans" w:hAnsi="PT Sans"/>
        </w:rPr>
        <w:t>Intelligenz</w:t>
      </w:r>
      <w:proofErr w:type="spellEnd"/>
      <w:r w:rsidRPr="005A3CC9">
        <w:rPr>
          <w:rStyle w:val="eop"/>
          <w:rFonts w:ascii="PT Sans" w:hAnsi="PT Sans"/>
        </w:rPr>
        <w:t xml:space="preserve">. </w:t>
      </w:r>
      <w:proofErr w:type="spellStart"/>
      <w:r w:rsidRPr="005A3CC9">
        <w:rPr>
          <w:rStyle w:val="eop"/>
          <w:rFonts w:ascii="PT Sans" w:hAnsi="PT Sans"/>
        </w:rPr>
        <w:t>Mohr</w:t>
      </w:r>
      <w:proofErr w:type="spellEnd"/>
      <w:r w:rsidRPr="005A3CC9">
        <w:rPr>
          <w:rStyle w:val="eop"/>
          <w:rFonts w:ascii="PT Sans" w:hAnsi="PT Sans"/>
        </w:rPr>
        <w:t xml:space="preserve"> </w:t>
      </w:r>
      <w:proofErr w:type="spellStart"/>
      <w:r w:rsidRPr="005A3CC9">
        <w:rPr>
          <w:rStyle w:val="eop"/>
          <w:rFonts w:ascii="PT Sans" w:hAnsi="PT Sans"/>
        </w:rPr>
        <w:t>Siebeck</w:t>
      </w:r>
      <w:proofErr w:type="spellEnd"/>
      <w:r w:rsidRPr="005A3CC9">
        <w:rPr>
          <w:rStyle w:val="eop"/>
          <w:rFonts w:ascii="PT Sans" w:hAnsi="PT Sans"/>
        </w:rPr>
        <w:t>, 2023, ISBN 9783161625008</w:t>
      </w:r>
    </w:p>
    <w:p w14:paraId="57622194" w14:textId="77777777" w:rsidR="00832777" w:rsidRPr="005A3CC9" w:rsidRDefault="00832777" w:rsidP="005A3CC9">
      <w:pPr>
        <w:pStyle w:val="paragraph"/>
        <w:spacing w:before="0" w:beforeAutospacing="0" w:after="0" w:afterAutospacing="0"/>
        <w:jc w:val="both"/>
        <w:textAlignment w:val="baseline"/>
        <w:rPr>
          <w:rFonts w:ascii="PT Sans" w:hAnsi="PT Sans"/>
        </w:rPr>
      </w:pPr>
    </w:p>
    <w:p w14:paraId="6AAF15B0" w14:textId="77777777" w:rsidR="00832777" w:rsidRPr="005A3CC9" w:rsidRDefault="00832777" w:rsidP="005A3CC9">
      <w:pPr>
        <w:pStyle w:val="paragraph"/>
        <w:spacing w:before="0" w:beforeAutospacing="0" w:after="0" w:afterAutospacing="0"/>
        <w:jc w:val="both"/>
        <w:textAlignment w:val="baseline"/>
        <w:rPr>
          <w:rStyle w:val="eop"/>
          <w:rFonts w:ascii="PT Sans" w:hAnsi="PT Sans"/>
        </w:rPr>
      </w:pPr>
      <w:r w:rsidRPr="005A3CC9">
        <w:rPr>
          <w:rStyle w:val="normaltextrun"/>
          <w:rFonts w:ascii="PT Sans" w:eastAsiaTheme="majorEastAsia" w:hAnsi="PT Sans"/>
        </w:rPr>
        <w:t xml:space="preserve">Harsági / van </w:t>
      </w:r>
      <w:proofErr w:type="spellStart"/>
      <w:r w:rsidRPr="005A3CC9">
        <w:rPr>
          <w:rStyle w:val="normaltextrun"/>
          <w:rFonts w:ascii="PT Sans" w:eastAsiaTheme="majorEastAsia" w:hAnsi="PT Sans"/>
        </w:rPr>
        <w:t>Rhee</w:t>
      </w:r>
      <w:proofErr w:type="spellEnd"/>
      <w:r w:rsidRPr="005A3CC9">
        <w:rPr>
          <w:rStyle w:val="normaltextrun"/>
          <w:rFonts w:ascii="PT Sans" w:eastAsiaTheme="majorEastAsia" w:hAnsi="PT Sans"/>
        </w:rPr>
        <w:t xml:space="preserve"> (</w:t>
      </w:r>
      <w:proofErr w:type="spellStart"/>
      <w:r w:rsidRPr="005A3CC9">
        <w:rPr>
          <w:rStyle w:val="normaltextrun"/>
          <w:rFonts w:ascii="PT Sans" w:eastAsiaTheme="majorEastAsia" w:hAnsi="PT Sans"/>
        </w:rPr>
        <w:t>eds</w:t>
      </w:r>
      <w:proofErr w:type="spellEnd"/>
      <w:r w:rsidRPr="005A3CC9">
        <w:rPr>
          <w:rStyle w:val="normaltextrun"/>
          <w:rFonts w:ascii="PT Sans" w:eastAsiaTheme="majorEastAsia" w:hAnsi="PT Sans"/>
        </w:rPr>
        <w:t xml:space="preserve">.): </w:t>
      </w:r>
      <w:proofErr w:type="gramStart"/>
      <w:r w:rsidRPr="005A3CC9">
        <w:rPr>
          <w:rStyle w:val="normaltextrun"/>
          <w:rFonts w:ascii="PT Sans" w:eastAsiaTheme="majorEastAsia" w:hAnsi="PT Sans"/>
        </w:rPr>
        <w:t>Multi-</w:t>
      </w:r>
      <w:proofErr w:type="spellStart"/>
      <w:r w:rsidRPr="005A3CC9">
        <w:rPr>
          <w:rStyle w:val="normaltextrun"/>
          <w:rFonts w:ascii="PT Sans" w:eastAsiaTheme="majorEastAsia" w:hAnsi="PT Sans"/>
        </w:rPr>
        <w:t>party</w:t>
      </w:r>
      <w:proofErr w:type="spellEnd"/>
      <w:proofErr w:type="gramEnd"/>
      <w:r w:rsidRPr="005A3CC9">
        <w:rPr>
          <w:rStyle w:val="normaltextrun"/>
          <w:rFonts w:ascii="PT Sans" w:eastAsiaTheme="majorEastAsia" w:hAnsi="PT Sans"/>
        </w:rPr>
        <w:t xml:space="preserve"> </w:t>
      </w:r>
      <w:proofErr w:type="spellStart"/>
      <w:r w:rsidRPr="005A3CC9">
        <w:rPr>
          <w:rStyle w:val="normaltextrun"/>
          <w:rFonts w:ascii="PT Sans" w:eastAsiaTheme="majorEastAsia" w:hAnsi="PT Sans"/>
        </w:rPr>
        <w:t>Redress</w:t>
      </w:r>
      <w:proofErr w:type="spellEnd"/>
      <w:r w:rsidRPr="005A3CC9">
        <w:rPr>
          <w:rStyle w:val="normaltextrun"/>
          <w:rFonts w:ascii="PT Sans" w:eastAsiaTheme="majorEastAsia" w:hAnsi="PT Sans"/>
        </w:rPr>
        <w:t xml:space="preserve"> </w:t>
      </w:r>
      <w:proofErr w:type="spellStart"/>
      <w:r w:rsidRPr="005A3CC9">
        <w:rPr>
          <w:rStyle w:val="normaltextrun"/>
          <w:rFonts w:ascii="PT Sans" w:eastAsiaTheme="majorEastAsia" w:hAnsi="PT Sans"/>
        </w:rPr>
        <w:t>Mechanisms</w:t>
      </w:r>
      <w:proofErr w:type="spellEnd"/>
      <w:r w:rsidRPr="005A3CC9">
        <w:rPr>
          <w:rStyle w:val="normaltextrun"/>
          <w:rFonts w:ascii="PT Sans" w:eastAsiaTheme="majorEastAsia" w:hAnsi="PT Sans"/>
        </w:rPr>
        <w:t xml:space="preserve"> in Europe: </w:t>
      </w:r>
      <w:proofErr w:type="spellStart"/>
      <w:r w:rsidRPr="005A3CC9">
        <w:rPr>
          <w:rStyle w:val="normaltextrun"/>
          <w:rFonts w:ascii="PT Sans" w:eastAsiaTheme="majorEastAsia" w:hAnsi="PT Sans"/>
        </w:rPr>
        <w:t>Squeaking</w:t>
      </w:r>
      <w:proofErr w:type="spellEnd"/>
      <w:r w:rsidRPr="005A3CC9">
        <w:rPr>
          <w:rStyle w:val="normaltextrun"/>
          <w:rFonts w:ascii="PT Sans" w:eastAsiaTheme="majorEastAsia" w:hAnsi="PT Sans"/>
        </w:rPr>
        <w:t xml:space="preserve"> </w:t>
      </w:r>
      <w:proofErr w:type="spellStart"/>
      <w:r w:rsidRPr="005A3CC9">
        <w:rPr>
          <w:rStyle w:val="normaltextrun"/>
          <w:rFonts w:ascii="PT Sans" w:eastAsiaTheme="majorEastAsia" w:hAnsi="PT Sans"/>
        </w:rPr>
        <w:t>Mice</w:t>
      </w:r>
      <w:proofErr w:type="spellEnd"/>
      <w:r w:rsidRPr="005A3CC9">
        <w:rPr>
          <w:rStyle w:val="normaltextrun"/>
          <w:rFonts w:ascii="PT Sans" w:eastAsiaTheme="majorEastAsia" w:hAnsi="PT Sans"/>
        </w:rPr>
        <w:t xml:space="preserve">? </w:t>
      </w:r>
      <w:proofErr w:type="spellStart"/>
      <w:r w:rsidRPr="005A3CC9">
        <w:rPr>
          <w:rStyle w:val="normaltextrun"/>
          <w:rFonts w:ascii="PT Sans" w:eastAsiaTheme="majorEastAsia" w:hAnsi="PT Sans"/>
        </w:rPr>
        <w:t>Intersentia</w:t>
      </w:r>
      <w:proofErr w:type="spellEnd"/>
      <w:r w:rsidRPr="005A3CC9">
        <w:rPr>
          <w:rStyle w:val="normaltextrun"/>
          <w:rFonts w:ascii="PT Sans" w:eastAsiaTheme="majorEastAsia" w:hAnsi="PT Sans"/>
        </w:rPr>
        <w:t>, Cambridge-</w:t>
      </w:r>
      <w:proofErr w:type="spellStart"/>
      <w:r w:rsidRPr="005A3CC9">
        <w:rPr>
          <w:rStyle w:val="normaltextrun"/>
          <w:rFonts w:ascii="PT Sans" w:eastAsiaTheme="majorEastAsia" w:hAnsi="PT Sans"/>
        </w:rPr>
        <w:t>Antwerp</w:t>
      </w:r>
      <w:proofErr w:type="spellEnd"/>
      <w:r w:rsidRPr="005A3CC9">
        <w:rPr>
          <w:rStyle w:val="normaltextrun"/>
          <w:rFonts w:ascii="PT Sans" w:eastAsiaTheme="majorEastAsia" w:hAnsi="PT Sans"/>
        </w:rPr>
        <w:t>-</w:t>
      </w:r>
      <w:proofErr w:type="spellStart"/>
      <w:r w:rsidRPr="005A3CC9">
        <w:rPr>
          <w:rStyle w:val="normaltextrun"/>
          <w:rFonts w:ascii="PT Sans" w:eastAsiaTheme="majorEastAsia" w:hAnsi="PT Sans"/>
        </w:rPr>
        <w:t>Portland</w:t>
      </w:r>
      <w:proofErr w:type="spellEnd"/>
      <w:r w:rsidRPr="005A3CC9">
        <w:rPr>
          <w:rStyle w:val="normaltextrun"/>
          <w:rFonts w:ascii="PT Sans" w:eastAsiaTheme="majorEastAsia" w:hAnsi="PT Sans"/>
        </w:rPr>
        <w:t>, 2014</w:t>
      </w:r>
      <w:r w:rsidRPr="005A3CC9">
        <w:rPr>
          <w:rStyle w:val="eop"/>
          <w:rFonts w:ascii="PT Sans" w:hAnsi="PT Sans"/>
        </w:rPr>
        <w:t> </w:t>
      </w:r>
    </w:p>
    <w:p w14:paraId="59DFE27E" w14:textId="77777777" w:rsidR="00832777" w:rsidRPr="005A3CC9" w:rsidRDefault="00832777" w:rsidP="005A3CC9">
      <w:pPr>
        <w:pStyle w:val="paragraph"/>
        <w:spacing w:before="0" w:beforeAutospacing="0" w:after="0" w:afterAutospacing="0"/>
        <w:jc w:val="both"/>
        <w:textAlignment w:val="baseline"/>
        <w:rPr>
          <w:rStyle w:val="eop"/>
          <w:rFonts w:ascii="PT Sans" w:hAnsi="PT Sans"/>
        </w:rPr>
      </w:pPr>
    </w:p>
    <w:p w14:paraId="7D00E8A4" w14:textId="77777777" w:rsidR="00832777" w:rsidRPr="005A3CC9" w:rsidRDefault="00832777" w:rsidP="005A3CC9">
      <w:pPr>
        <w:pStyle w:val="paragraph"/>
        <w:spacing w:before="0" w:beforeAutospacing="0" w:after="0" w:afterAutospacing="0"/>
        <w:jc w:val="both"/>
        <w:textAlignment w:val="baseline"/>
        <w:rPr>
          <w:rStyle w:val="eop"/>
          <w:rFonts w:ascii="PT Sans" w:hAnsi="PT Sans"/>
        </w:rPr>
      </w:pPr>
      <w:r w:rsidRPr="005A3CC9">
        <w:rPr>
          <w:rStyle w:val="eop"/>
          <w:rFonts w:ascii="PT Sans" w:hAnsi="PT Sans"/>
        </w:rPr>
        <w:t xml:space="preserve">Harsági Viktória: Kollektív igényérvényesítés. Internetes Jogi Enciklopédia szócikk, </w:t>
      </w:r>
      <w:hyperlink r:id="rId6" w:history="1">
        <w:r w:rsidRPr="005A3CC9">
          <w:rPr>
            <w:rStyle w:val="Hiperhivatkozs"/>
            <w:rFonts w:ascii="PT Sans" w:eastAsiaTheme="majorEastAsia" w:hAnsi="PT Sans"/>
          </w:rPr>
          <w:t>www.ijoten.hu</w:t>
        </w:r>
      </w:hyperlink>
    </w:p>
    <w:p w14:paraId="5D28F092" w14:textId="77777777" w:rsidR="00832777" w:rsidRPr="005A3CC9" w:rsidRDefault="00832777" w:rsidP="005A3CC9">
      <w:pPr>
        <w:jc w:val="both"/>
        <w:rPr>
          <w:rFonts w:ascii="PT Sans" w:hAnsi="PT Sans"/>
          <w:b/>
          <w:bCs/>
          <w:sz w:val="24"/>
          <w:szCs w:val="24"/>
        </w:rPr>
      </w:pPr>
    </w:p>
    <w:p w14:paraId="0D09B085" w14:textId="46D10E93" w:rsidR="00D673CB" w:rsidRPr="005A3CC9" w:rsidRDefault="00D673CB" w:rsidP="005A3CC9">
      <w:pPr>
        <w:jc w:val="both"/>
        <w:rPr>
          <w:rFonts w:ascii="PT Sans" w:hAnsi="PT Sans"/>
          <w:b/>
          <w:bCs/>
          <w:sz w:val="24"/>
          <w:szCs w:val="24"/>
        </w:rPr>
      </w:pPr>
      <w:r w:rsidRPr="005A3CC9">
        <w:rPr>
          <w:rFonts w:ascii="PT Sans" w:hAnsi="PT Sans"/>
          <w:b/>
          <w:bCs/>
          <w:sz w:val="24"/>
          <w:szCs w:val="24"/>
        </w:rPr>
        <w:t>A tantárgy hozzájárulása a Képzési és kimeneti követelményekben meghatározott kompetenciaelemek elsajátításához:</w:t>
      </w:r>
    </w:p>
    <w:p w14:paraId="06A202B6" w14:textId="77777777" w:rsidR="00832777" w:rsidRPr="005A3CC9" w:rsidRDefault="00832777" w:rsidP="005A3CC9">
      <w:pPr>
        <w:spacing w:after="60"/>
        <w:jc w:val="both"/>
        <w:rPr>
          <w:rFonts w:ascii="PT Sans" w:hAnsi="PT Sans"/>
          <w:sz w:val="24"/>
          <w:szCs w:val="24"/>
        </w:rPr>
      </w:pPr>
      <w:r w:rsidRPr="005A3CC9">
        <w:rPr>
          <w:rFonts w:ascii="PT Sans" w:hAnsi="PT Sans"/>
          <w:sz w:val="24"/>
          <w:szCs w:val="24"/>
        </w:rPr>
        <w:t>A tárgy hozzájárul a hallgatók polgári igazságszolgáltatásról szerzett tudásanyagnak bővítéséhez és az önálló kutatómunkához és forrásfeldolgozáshoz szükséges képességek fejlesztéséhez. Önálló véleményalkotásra is készteti a hallgatókat.</w:t>
      </w:r>
    </w:p>
    <w:p w14:paraId="73A1EB70" w14:textId="3AD91753" w:rsidR="00376789" w:rsidRPr="005A3CC9" w:rsidRDefault="00376789" w:rsidP="005A3CC9">
      <w:pPr>
        <w:jc w:val="both"/>
        <w:rPr>
          <w:rFonts w:ascii="PT Sans" w:hAnsi="PT Sans"/>
          <w:sz w:val="24"/>
          <w:szCs w:val="24"/>
        </w:rPr>
      </w:pPr>
    </w:p>
    <w:p w14:paraId="7CFBEB23" w14:textId="77777777" w:rsidR="00D673CB" w:rsidRPr="005A3CC9" w:rsidRDefault="00D673CB" w:rsidP="005A3CC9">
      <w:pPr>
        <w:jc w:val="both"/>
        <w:rPr>
          <w:rFonts w:ascii="PT Sans" w:hAnsi="PT Sans"/>
          <w:b/>
          <w:bCs/>
          <w:sz w:val="24"/>
          <w:szCs w:val="24"/>
        </w:rPr>
      </w:pPr>
      <w:r w:rsidRPr="005A3CC9">
        <w:rPr>
          <w:rFonts w:ascii="PT Sans" w:hAnsi="PT Sans"/>
          <w:b/>
          <w:bCs/>
          <w:sz w:val="24"/>
          <w:szCs w:val="24"/>
        </w:rPr>
        <w:t>Tantárgy oktatója:</w:t>
      </w:r>
    </w:p>
    <w:p w14:paraId="3836D26F" w14:textId="6C210C59" w:rsidR="000C46B3" w:rsidRPr="005A3CC9" w:rsidRDefault="000C46B3" w:rsidP="005A3CC9">
      <w:pPr>
        <w:jc w:val="both"/>
        <w:rPr>
          <w:rFonts w:ascii="PT Sans" w:hAnsi="PT Sans"/>
          <w:sz w:val="24"/>
          <w:szCs w:val="24"/>
        </w:rPr>
      </w:pPr>
      <w:r w:rsidRPr="005A3CC9">
        <w:rPr>
          <w:rFonts w:ascii="PT Sans" w:hAnsi="PT Sans"/>
          <w:sz w:val="24"/>
          <w:szCs w:val="24"/>
        </w:rPr>
        <w:t xml:space="preserve">Dr. </w:t>
      </w:r>
      <w:r w:rsidR="00832777" w:rsidRPr="005A3CC9">
        <w:rPr>
          <w:rFonts w:ascii="PT Sans" w:hAnsi="PT Sans"/>
          <w:sz w:val="24"/>
          <w:szCs w:val="24"/>
        </w:rPr>
        <w:t>Harsági Viktória</w:t>
      </w:r>
      <w:r w:rsidRPr="005A3CC9">
        <w:rPr>
          <w:rFonts w:ascii="PT Sans" w:hAnsi="PT Sans"/>
          <w:sz w:val="24"/>
          <w:szCs w:val="24"/>
        </w:rPr>
        <w:t> </w:t>
      </w:r>
    </w:p>
    <w:sectPr w:rsidR="000C46B3" w:rsidRPr="005A3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altName w:val="Malgun Gothic"/>
    <w:panose1 w:val="020B0503020203020204"/>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A71"/>
    <w:multiLevelType w:val="multilevel"/>
    <w:tmpl w:val="9CA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35624"/>
    <w:multiLevelType w:val="multilevel"/>
    <w:tmpl w:val="B808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99A"/>
    <w:multiLevelType w:val="multilevel"/>
    <w:tmpl w:val="6A68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A04D1"/>
    <w:multiLevelType w:val="multilevel"/>
    <w:tmpl w:val="C524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16065"/>
    <w:multiLevelType w:val="multilevel"/>
    <w:tmpl w:val="B10A45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B95DA7"/>
    <w:multiLevelType w:val="multilevel"/>
    <w:tmpl w:val="4E4E922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07BD20F4"/>
    <w:multiLevelType w:val="multilevel"/>
    <w:tmpl w:val="D624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7D464E"/>
    <w:multiLevelType w:val="multilevel"/>
    <w:tmpl w:val="E0C2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A128BB"/>
    <w:multiLevelType w:val="multilevel"/>
    <w:tmpl w:val="A1B8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3503B"/>
    <w:multiLevelType w:val="multilevel"/>
    <w:tmpl w:val="6F661C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16831"/>
    <w:multiLevelType w:val="multilevel"/>
    <w:tmpl w:val="C18E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3101FC"/>
    <w:multiLevelType w:val="multilevel"/>
    <w:tmpl w:val="A4C6D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B94DD2"/>
    <w:multiLevelType w:val="multilevel"/>
    <w:tmpl w:val="749C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D224E9"/>
    <w:multiLevelType w:val="multilevel"/>
    <w:tmpl w:val="81041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190162"/>
    <w:multiLevelType w:val="multilevel"/>
    <w:tmpl w:val="69AA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0334F"/>
    <w:multiLevelType w:val="multilevel"/>
    <w:tmpl w:val="3138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11981"/>
    <w:multiLevelType w:val="multilevel"/>
    <w:tmpl w:val="5088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64557"/>
    <w:multiLevelType w:val="multilevel"/>
    <w:tmpl w:val="BD0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F5859"/>
    <w:multiLevelType w:val="multilevel"/>
    <w:tmpl w:val="31A6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330D18"/>
    <w:multiLevelType w:val="multilevel"/>
    <w:tmpl w:val="EDB4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D31973"/>
    <w:multiLevelType w:val="multilevel"/>
    <w:tmpl w:val="0918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1641B"/>
    <w:multiLevelType w:val="multilevel"/>
    <w:tmpl w:val="330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0E47F3"/>
    <w:multiLevelType w:val="multilevel"/>
    <w:tmpl w:val="EE32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6E1F61"/>
    <w:multiLevelType w:val="multilevel"/>
    <w:tmpl w:val="205A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3D0BB8"/>
    <w:multiLevelType w:val="multilevel"/>
    <w:tmpl w:val="8B4A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2B1D5D"/>
    <w:multiLevelType w:val="multilevel"/>
    <w:tmpl w:val="8330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1464A"/>
    <w:multiLevelType w:val="multilevel"/>
    <w:tmpl w:val="9C6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3E3277"/>
    <w:multiLevelType w:val="multilevel"/>
    <w:tmpl w:val="908A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67782"/>
    <w:multiLevelType w:val="multilevel"/>
    <w:tmpl w:val="FE02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3306B8"/>
    <w:multiLevelType w:val="multilevel"/>
    <w:tmpl w:val="FD9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062914"/>
    <w:multiLevelType w:val="multilevel"/>
    <w:tmpl w:val="2138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127CB3"/>
    <w:multiLevelType w:val="multilevel"/>
    <w:tmpl w:val="609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8A5BF6"/>
    <w:multiLevelType w:val="multilevel"/>
    <w:tmpl w:val="841A64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DF798D"/>
    <w:multiLevelType w:val="multilevel"/>
    <w:tmpl w:val="DB86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4E1E98"/>
    <w:multiLevelType w:val="multilevel"/>
    <w:tmpl w:val="C59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E38C1"/>
    <w:multiLevelType w:val="multilevel"/>
    <w:tmpl w:val="FFC2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1E3840"/>
    <w:multiLevelType w:val="hybridMultilevel"/>
    <w:tmpl w:val="79C01E30"/>
    <w:lvl w:ilvl="0" w:tplc="2FB6D24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7656468"/>
    <w:multiLevelType w:val="multilevel"/>
    <w:tmpl w:val="75EC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B3008"/>
    <w:multiLevelType w:val="multilevel"/>
    <w:tmpl w:val="BEFC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B4083D"/>
    <w:multiLevelType w:val="multilevel"/>
    <w:tmpl w:val="9AEA9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F22774"/>
    <w:multiLevelType w:val="multilevel"/>
    <w:tmpl w:val="B14E8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146687"/>
    <w:multiLevelType w:val="multilevel"/>
    <w:tmpl w:val="1940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E2D45"/>
    <w:multiLevelType w:val="multilevel"/>
    <w:tmpl w:val="E132B9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567174"/>
    <w:multiLevelType w:val="multilevel"/>
    <w:tmpl w:val="5944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3F46E6"/>
    <w:multiLevelType w:val="multilevel"/>
    <w:tmpl w:val="4936F5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4317469">
    <w:abstractNumId w:val="10"/>
  </w:num>
  <w:num w:numId="2" w16cid:durableId="1220941275">
    <w:abstractNumId w:val="41"/>
  </w:num>
  <w:num w:numId="3" w16cid:durableId="1656912806">
    <w:abstractNumId w:val="21"/>
  </w:num>
  <w:num w:numId="4" w16cid:durableId="2096702254">
    <w:abstractNumId w:val="35"/>
  </w:num>
  <w:num w:numId="5" w16cid:durableId="576288488">
    <w:abstractNumId w:val="33"/>
  </w:num>
  <w:num w:numId="6" w16cid:durableId="1892036830">
    <w:abstractNumId w:val="37"/>
  </w:num>
  <w:num w:numId="7" w16cid:durableId="1647514419">
    <w:abstractNumId w:val="0"/>
  </w:num>
  <w:num w:numId="8" w16cid:durableId="781191227">
    <w:abstractNumId w:val="19"/>
  </w:num>
  <w:num w:numId="9" w16cid:durableId="960107830">
    <w:abstractNumId w:val="34"/>
  </w:num>
  <w:num w:numId="10" w16cid:durableId="1049381860">
    <w:abstractNumId w:val="43"/>
  </w:num>
  <w:num w:numId="11" w16cid:durableId="1798915148">
    <w:abstractNumId w:val="23"/>
  </w:num>
  <w:num w:numId="12" w16cid:durableId="315307678">
    <w:abstractNumId w:val="39"/>
  </w:num>
  <w:num w:numId="13" w16cid:durableId="1027177409">
    <w:abstractNumId w:val="13"/>
  </w:num>
  <w:num w:numId="14" w16cid:durableId="1151992261">
    <w:abstractNumId w:val="40"/>
  </w:num>
  <w:num w:numId="15" w16cid:durableId="725837060">
    <w:abstractNumId w:val="11"/>
  </w:num>
  <w:num w:numId="16" w16cid:durableId="1730837013">
    <w:abstractNumId w:val="9"/>
  </w:num>
  <w:num w:numId="17" w16cid:durableId="1034697080">
    <w:abstractNumId w:val="32"/>
  </w:num>
  <w:num w:numId="18" w16cid:durableId="1904026562">
    <w:abstractNumId w:val="42"/>
  </w:num>
  <w:num w:numId="19" w16cid:durableId="1446270577">
    <w:abstractNumId w:val="4"/>
  </w:num>
  <w:num w:numId="20" w16cid:durableId="1861891320">
    <w:abstractNumId w:val="44"/>
  </w:num>
  <w:num w:numId="21" w16cid:durableId="1868592406">
    <w:abstractNumId w:val="29"/>
  </w:num>
  <w:num w:numId="22" w16cid:durableId="1797991445">
    <w:abstractNumId w:val="12"/>
  </w:num>
  <w:num w:numId="23" w16cid:durableId="1796480508">
    <w:abstractNumId w:val="31"/>
  </w:num>
  <w:num w:numId="24" w16cid:durableId="1161045465">
    <w:abstractNumId w:val="1"/>
  </w:num>
  <w:num w:numId="25" w16cid:durableId="144705036">
    <w:abstractNumId w:val="7"/>
  </w:num>
  <w:num w:numId="26" w16cid:durableId="78522246">
    <w:abstractNumId w:val="16"/>
  </w:num>
  <w:num w:numId="27" w16cid:durableId="1771268613">
    <w:abstractNumId w:val="5"/>
  </w:num>
  <w:num w:numId="28" w16cid:durableId="245968587">
    <w:abstractNumId w:val="15"/>
  </w:num>
  <w:num w:numId="29" w16cid:durableId="1807234548">
    <w:abstractNumId w:val="8"/>
  </w:num>
  <w:num w:numId="30" w16cid:durableId="1211500391">
    <w:abstractNumId w:val="3"/>
  </w:num>
  <w:num w:numId="31" w16cid:durableId="1561941924">
    <w:abstractNumId w:val="20"/>
  </w:num>
  <w:num w:numId="32" w16cid:durableId="1179271847">
    <w:abstractNumId w:val="2"/>
  </w:num>
  <w:num w:numId="33" w16cid:durableId="490828376">
    <w:abstractNumId w:val="22"/>
  </w:num>
  <w:num w:numId="34" w16cid:durableId="2143771063">
    <w:abstractNumId w:val="17"/>
  </w:num>
  <w:num w:numId="35" w16cid:durableId="1794246874">
    <w:abstractNumId w:val="6"/>
  </w:num>
  <w:num w:numId="36" w16cid:durableId="860628597">
    <w:abstractNumId w:val="24"/>
  </w:num>
  <w:num w:numId="37" w16cid:durableId="1810588513">
    <w:abstractNumId w:val="26"/>
  </w:num>
  <w:num w:numId="38" w16cid:durableId="1635057732">
    <w:abstractNumId w:val="27"/>
  </w:num>
  <w:num w:numId="39" w16cid:durableId="662779312">
    <w:abstractNumId w:val="38"/>
  </w:num>
  <w:num w:numId="40" w16cid:durableId="310989742">
    <w:abstractNumId w:val="30"/>
  </w:num>
  <w:num w:numId="41" w16cid:durableId="400297712">
    <w:abstractNumId w:val="14"/>
  </w:num>
  <w:num w:numId="42" w16cid:durableId="1882937084">
    <w:abstractNumId w:val="25"/>
  </w:num>
  <w:num w:numId="43" w16cid:durableId="1853298289">
    <w:abstractNumId w:val="28"/>
  </w:num>
  <w:num w:numId="44" w16cid:durableId="857739092">
    <w:abstractNumId w:val="18"/>
  </w:num>
  <w:num w:numId="45" w16cid:durableId="152852382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89"/>
    <w:rsid w:val="00012B94"/>
    <w:rsid w:val="000C46B3"/>
    <w:rsid w:val="00163BA1"/>
    <w:rsid w:val="00170DEC"/>
    <w:rsid w:val="001A7591"/>
    <w:rsid w:val="001F6B5E"/>
    <w:rsid w:val="001F749D"/>
    <w:rsid w:val="002A2273"/>
    <w:rsid w:val="00335C44"/>
    <w:rsid w:val="00376789"/>
    <w:rsid w:val="003B0B39"/>
    <w:rsid w:val="004C1325"/>
    <w:rsid w:val="0054685C"/>
    <w:rsid w:val="00554549"/>
    <w:rsid w:val="005A3CC9"/>
    <w:rsid w:val="006219D1"/>
    <w:rsid w:val="0065687C"/>
    <w:rsid w:val="006F2B8A"/>
    <w:rsid w:val="007C10A8"/>
    <w:rsid w:val="00832777"/>
    <w:rsid w:val="008E448B"/>
    <w:rsid w:val="00A127F0"/>
    <w:rsid w:val="00A241BA"/>
    <w:rsid w:val="00A350A8"/>
    <w:rsid w:val="00A9567A"/>
    <w:rsid w:val="00B346E6"/>
    <w:rsid w:val="00BC001C"/>
    <w:rsid w:val="00C62DAD"/>
    <w:rsid w:val="00D673CB"/>
    <w:rsid w:val="00D747BF"/>
    <w:rsid w:val="00D77745"/>
    <w:rsid w:val="00EB5DBD"/>
    <w:rsid w:val="00FB75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007A"/>
  <w15:chartTrackingRefBased/>
  <w15:docId w15:val="{8FE9E179-D319-414F-B962-D048649C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76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76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7678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7678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7678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7678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7678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7678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7678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7678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7678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7678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7678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7678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7678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678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678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6789"/>
    <w:rPr>
      <w:rFonts w:eastAsiaTheme="majorEastAsia" w:cstheme="majorBidi"/>
      <w:color w:val="272727" w:themeColor="text1" w:themeTint="D8"/>
    </w:rPr>
  </w:style>
  <w:style w:type="paragraph" w:styleId="Cm">
    <w:name w:val="Title"/>
    <w:basedOn w:val="Norml"/>
    <w:next w:val="Norml"/>
    <w:link w:val="CmChar"/>
    <w:uiPriority w:val="10"/>
    <w:qFormat/>
    <w:rsid w:val="00376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7678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7678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7678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76789"/>
    <w:pPr>
      <w:spacing w:before="160"/>
      <w:jc w:val="center"/>
    </w:pPr>
    <w:rPr>
      <w:i/>
      <w:iCs/>
      <w:color w:val="404040" w:themeColor="text1" w:themeTint="BF"/>
    </w:rPr>
  </w:style>
  <w:style w:type="character" w:customStyle="1" w:styleId="IdzetChar">
    <w:name w:val="Idézet Char"/>
    <w:basedOn w:val="Bekezdsalapbettpusa"/>
    <w:link w:val="Idzet"/>
    <w:uiPriority w:val="29"/>
    <w:rsid w:val="00376789"/>
    <w:rPr>
      <w:i/>
      <w:iCs/>
      <w:color w:val="404040" w:themeColor="text1" w:themeTint="BF"/>
    </w:rPr>
  </w:style>
  <w:style w:type="paragraph" w:styleId="Listaszerbekezds">
    <w:name w:val="List Paragraph"/>
    <w:basedOn w:val="Norml"/>
    <w:uiPriority w:val="34"/>
    <w:qFormat/>
    <w:rsid w:val="00376789"/>
    <w:pPr>
      <w:ind w:left="720"/>
      <w:contextualSpacing/>
    </w:pPr>
  </w:style>
  <w:style w:type="character" w:styleId="Erskiemels">
    <w:name w:val="Intense Emphasis"/>
    <w:basedOn w:val="Bekezdsalapbettpusa"/>
    <w:uiPriority w:val="21"/>
    <w:qFormat/>
    <w:rsid w:val="00376789"/>
    <w:rPr>
      <w:i/>
      <w:iCs/>
      <w:color w:val="0F4761" w:themeColor="accent1" w:themeShade="BF"/>
    </w:rPr>
  </w:style>
  <w:style w:type="paragraph" w:styleId="Kiemeltidzet">
    <w:name w:val="Intense Quote"/>
    <w:basedOn w:val="Norml"/>
    <w:next w:val="Norml"/>
    <w:link w:val="KiemeltidzetChar"/>
    <w:uiPriority w:val="30"/>
    <w:qFormat/>
    <w:rsid w:val="00376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76789"/>
    <w:rPr>
      <w:i/>
      <w:iCs/>
      <w:color w:val="0F4761" w:themeColor="accent1" w:themeShade="BF"/>
    </w:rPr>
  </w:style>
  <w:style w:type="character" w:styleId="Ershivatkozs">
    <w:name w:val="Intense Reference"/>
    <w:basedOn w:val="Bekezdsalapbettpusa"/>
    <w:uiPriority w:val="32"/>
    <w:qFormat/>
    <w:rsid w:val="00376789"/>
    <w:rPr>
      <w:b/>
      <w:bCs/>
      <w:smallCaps/>
      <w:color w:val="0F4761" w:themeColor="accent1" w:themeShade="BF"/>
      <w:spacing w:val="5"/>
    </w:rPr>
  </w:style>
  <w:style w:type="character" w:styleId="Hiperhivatkozs">
    <w:name w:val="Hyperlink"/>
    <w:basedOn w:val="Bekezdsalapbettpusa"/>
    <w:uiPriority w:val="99"/>
    <w:unhideWhenUsed/>
    <w:rsid w:val="001F749D"/>
    <w:rPr>
      <w:color w:val="467886" w:themeColor="hyperlink"/>
      <w:u w:val="single"/>
    </w:rPr>
  </w:style>
  <w:style w:type="character" w:styleId="Feloldatlanmegemlts">
    <w:name w:val="Unresolved Mention"/>
    <w:basedOn w:val="Bekezdsalapbettpusa"/>
    <w:uiPriority w:val="99"/>
    <w:semiHidden/>
    <w:unhideWhenUsed/>
    <w:rsid w:val="001F749D"/>
    <w:rPr>
      <w:color w:val="605E5C"/>
      <w:shd w:val="clear" w:color="auto" w:fill="E1DFDD"/>
    </w:rPr>
  </w:style>
  <w:style w:type="character" w:customStyle="1" w:styleId="normaltextrun">
    <w:name w:val="normaltextrun"/>
    <w:basedOn w:val="Bekezdsalapbettpusa"/>
    <w:rsid w:val="00FB7541"/>
  </w:style>
  <w:style w:type="character" w:customStyle="1" w:styleId="eop">
    <w:name w:val="eop"/>
    <w:basedOn w:val="Bekezdsalapbettpusa"/>
    <w:rsid w:val="00FB7541"/>
  </w:style>
  <w:style w:type="paragraph" w:customStyle="1" w:styleId="paragraph">
    <w:name w:val="paragraph"/>
    <w:basedOn w:val="Norml"/>
    <w:rsid w:val="00832777"/>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object">
    <w:name w:val="object"/>
    <w:basedOn w:val="Bekezdsalapbettpusa"/>
    <w:rsid w:val="00832777"/>
  </w:style>
  <w:style w:type="paragraph" w:styleId="Nincstrkz">
    <w:name w:val="No Spacing"/>
    <w:uiPriority w:val="1"/>
    <w:qFormat/>
    <w:rsid w:val="005A3C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2292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joten.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BDA5F-0D30-49EA-A8A8-1C1B7FF6B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2909</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Bánhidi Mónika</dc:creator>
  <cp:keywords/>
  <dc:description/>
  <cp:lastModifiedBy>Szalainé Szikszai Krisztina</cp:lastModifiedBy>
  <cp:revision>4</cp:revision>
  <dcterms:created xsi:type="dcterms:W3CDTF">2026-03-16T11:11:00Z</dcterms:created>
  <dcterms:modified xsi:type="dcterms:W3CDTF">2026-03-16T11:17:00Z</dcterms:modified>
</cp:coreProperties>
</file>