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6C9" w14:textId="77777777" w:rsidR="00075804" w:rsidRDefault="00075804" w:rsidP="00756A74">
      <w:pPr>
        <w:jc w:val="both"/>
        <w:rPr>
          <w:sz w:val="24"/>
          <w:szCs w:val="24"/>
        </w:rPr>
      </w:pPr>
      <w:r w:rsidRPr="007E1AB1">
        <w:rPr>
          <w:sz w:val="24"/>
          <w:szCs w:val="24"/>
        </w:rPr>
        <w:t>A terhelt távollétében lefolytatható eljárások megítélése az alaptörvény és az emberi jogi bíráskodás tükrében. JDDO338XA0</w:t>
      </w:r>
    </w:p>
    <w:p w14:paraId="35C59CE6" w14:textId="3CA2AFC0" w:rsidR="00D673CB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0D4AEA50" w14:textId="08FA84F4" w:rsidR="00075804" w:rsidRPr="003B0B39" w:rsidRDefault="00075804" w:rsidP="00756A74">
      <w:pPr>
        <w:jc w:val="both"/>
        <w:rPr>
          <w:b/>
          <w:bCs/>
        </w:rPr>
      </w:pPr>
      <w:r w:rsidRPr="00FC652B">
        <w:rPr>
          <w:sz w:val="24"/>
          <w:szCs w:val="24"/>
        </w:rPr>
        <w:t>A tantárgy célja, hogy a hallgatók kutatási szintű, rendszerszemléletű ismereteket szerezzenek a terhelt távollétében folytatható büntetőeljárások jogintézményéről, annak történeti, nemzetközi és hazai szabályozási kereteiről, valamint a gyakorlati alkalmazás során felmerülő problémákról és megoldási lehetőségekről. A tárgy fejleszti a hallgatók képességét arra, hogy a büntetőeljárás gyorsítását és hatékonyságát célzó jogalkotói törekvéseket összevessék a tisztességes eljárás, a védelemhez való jog és a közvetlenség elvének érvényesülésével. Cél továbbá, hogy a doktoranduszok képesek legyenek önállóan elemezni és értékelni az eljárási szabálysértések, a bizonyítási nehézségek és a nemzetközi bírósági gyakorlat releváns kérdéseit, valamint önálló kutatási projektet kialakítani a témakörben. A tantárgy támogatja a hallgatók szakmai attitűdjét, különös tekintettel az igazságszolgáltatásba vetett társadalmi bizalom, a tisztességes eljárás és az alkotmányos értékek iránti elköteleződésre, és ösztönzi őket a felelős, etikus és kreatív szakmai döntéshozatalra.</w:t>
      </w:r>
    </w:p>
    <w:p w14:paraId="687B7A9E" w14:textId="31395D81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09DB45BA" w14:textId="77777777" w:rsidR="00075804" w:rsidRDefault="00075804" w:rsidP="00075804">
      <w:pPr>
        <w:tabs>
          <w:tab w:val="left" w:pos="3780"/>
        </w:tabs>
        <w:jc w:val="both"/>
        <w:rPr>
          <w:sz w:val="24"/>
          <w:szCs w:val="24"/>
        </w:rPr>
      </w:pPr>
      <w:r w:rsidRPr="00FC652B">
        <w:rPr>
          <w:sz w:val="24"/>
          <w:szCs w:val="24"/>
        </w:rPr>
        <w:t>A tantárgy átfogó elméleti ismereteket nyújt a terhelt távollétében folytatott büntetőeljárások jogintézményének történeti, dogmatikai és gyakorlati összefüggéseiről. A hallgatók megismerik a távollétes eljárások fejlődésének jogtörténeti alapjait, a vádlott jelenlétéhez kapcsolódó eljárásjogi garanciák kialakulását és funkcióját, valamint a hagyományos tárgyalási elvek – különösen a szóbeliség, a közvetlenség, a nyilvánosság és a fegyverek egyenlőségének – szerepét és korlátait.</w:t>
      </w:r>
    </w:p>
    <w:p w14:paraId="3C0EA3F9" w14:textId="77777777" w:rsidR="00075804" w:rsidRPr="00FC652B" w:rsidRDefault="00075804" w:rsidP="00075804">
      <w:pPr>
        <w:tabs>
          <w:tab w:val="left" w:pos="3780"/>
        </w:tabs>
        <w:jc w:val="both"/>
        <w:rPr>
          <w:sz w:val="24"/>
          <w:szCs w:val="24"/>
        </w:rPr>
      </w:pPr>
      <w:r w:rsidRPr="00FC652B">
        <w:rPr>
          <w:sz w:val="24"/>
          <w:szCs w:val="24"/>
        </w:rPr>
        <w:t xml:space="preserve">A tárgy részletesen elemzi a távollétes eljárások hazai jogszabályi alapjait, a tárgyalás a szabályszerűen idézett terhelt távollétében történő megtartásának jogpolitikai és jogalkalmazói indokait, a bizonyítás sajátosságait és a felmerülő eljárási szabálysértések lehetséges következményeit. A hallgatók megismerik a másodfokú, a felülvizsgálati és a perújítási eljárások </w:t>
      </w:r>
      <w:r>
        <w:rPr>
          <w:sz w:val="24"/>
          <w:szCs w:val="24"/>
        </w:rPr>
        <w:t>sajátosságait</w:t>
      </w:r>
      <w:r w:rsidRPr="00FC652B">
        <w:rPr>
          <w:sz w:val="24"/>
          <w:szCs w:val="24"/>
        </w:rPr>
        <w:t xml:space="preserve"> távollétes ügyekben, továbbá a lemondás a tárgyalási jelenlétről és a külön eljárás dogmatikai kérdéseit.</w:t>
      </w:r>
    </w:p>
    <w:p w14:paraId="18B5522A" w14:textId="77777777" w:rsidR="00075804" w:rsidRPr="00FC652B" w:rsidRDefault="00075804" w:rsidP="00075804">
      <w:pPr>
        <w:tabs>
          <w:tab w:val="left" w:pos="3780"/>
        </w:tabs>
        <w:jc w:val="both"/>
        <w:rPr>
          <w:sz w:val="24"/>
          <w:szCs w:val="24"/>
        </w:rPr>
      </w:pPr>
      <w:r w:rsidRPr="00FC652B">
        <w:rPr>
          <w:sz w:val="24"/>
          <w:szCs w:val="24"/>
        </w:rPr>
        <w:t>A tantárgy részeként feldolgozásra kerül az Emberi Jogok Európai Bíróságának</w:t>
      </w:r>
      <w:r>
        <w:rPr>
          <w:sz w:val="24"/>
          <w:szCs w:val="24"/>
        </w:rPr>
        <w:t xml:space="preserve">, </w:t>
      </w:r>
      <w:r w:rsidRPr="00FC652B">
        <w:rPr>
          <w:sz w:val="24"/>
          <w:szCs w:val="24"/>
        </w:rPr>
        <w:t>az Alkotmánybíróságnak</w:t>
      </w:r>
      <w:r>
        <w:rPr>
          <w:sz w:val="24"/>
          <w:szCs w:val="24"/>
        </w:rPr>
        <w:t xml:space="preserve"> és a Kúriának</w:t>
      </w:r>
      <w:r w:rsidRPr="00FC652B">
        <w:rPr>
          <w:sz w:val="24"/>
          <w:szCs w:val="24"/>
        </w:rPr>
        <w:t xml:space="preserve"> a tisztességes eljárás követelményeit értelmező gyakorlata, kiemelve a védelemhez való jog, a személyes részvételhez való jog és a közvetlenség elvének érvényesülését érintő döntéseket. A tárgy kitér az Európai Unió és az Európa Tanács irányelveire és ajánlásaira, valamint azok hatására a magyar szabályozás és bírói gyakorlat alakulására.</w:t>
      </w:r>
    </w:p>
    <w:p w14:paraId="7FAC8046" w14:textId="35377FA2" w:rsidR="00075804" w:rsidRDefault="00075804" w:rsidP="00075804">
      <w:pPr>
        <w:jc w:val="both"/>
        <w:rPr>
          <w:b/>
          <w:bCs/>
        </w:rPr>
      </w:pPr>
      <w:r w:rsidRPr="00FC652B">
        <w:rPr>
          <w:sz w:val="24"/>
          <w:szCs w:val="24"/>
        </w:rPr>
        <w:t xml:space="preserve">Az elméleti </w:t>
      </w:r>
      <w:proofErr w:type="spellStart"/>
      <w:r w:rsidRPr="00FC652B">
        <w:rPr>
          <w:sz w:val="24"/>
          <w:szCs w:val="24"/>
        </w:rPr>
        <w:t>megalapozottságot</w:t>
      </w:r>
      <w:proofErr w:type="spellEnd"/>
      <w:r w:rsidRPr="00FC652B">
        <w:rPr>
          <w:sz w:val="24"/>
          <w:szCs w:val="24"/>
        </w:rPr>
        <w:t xml:space="preserve"> erősíti az anyagi igazság és eljárási hatékonyság közötti értékkonfliktus elemzése, az időszerűség és megalapozottság követelményeinek összevetése, valamint a bírói meggyőződés kialakításának elvi és alkotmányos háttere. A hallgatók betekintést nyernek a rendkívüli jogorvoslatok dogmatikájába és gyakorlati dilemmáiba, különösen a perújítás lehetséges szerepébe távollétes eljárásokban.</w:t>
      </w:r>
    </w:p>
    <w:p w14:paraId="778E292C" w14:textId="5DF79F70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lastRenderedPageBreak/>
        <w:t>Elsajátítandó elméleti ismeretanyag:</w:t>
      </w:r>
    </w:p>
    <w:p w14:paraId="7DD26456" w14:textId="77777777" w:rsidR="00075804" w:rsidRPr="00F45478" w:rsidRDefault="00075804" w:rsidP="00075804">
      <w:pPr>
        <w:tabs>
          <w:tab w:val="left" w:pos="3780"/>
        </w:tabs>
        <w:jc w:val="both"/>
        <w:rPr>
          <w:bCs/>
          <w:sz w:val="24"/>
          <w:szCs w:val="24"/>
        </w:rPr>
      </w:pPr>
      <w:r w:rsidRPr="00F45478">
        <w:rPr>
          <w:bCs/>
          <w:sz w:val="24"/>
          <w:szCs w:val="24"/>
        </w:rPr>
        <w:t>A tantárgy keretében a hallgatók elsajátítják a terhelt távollétében lefolytatható büntetőeljárások gyakorlati alkalmazásához szükséges kulcsfontosságú készségeket és módszereket. A kurzus során a hallgatók megtanulják jogesetek és bírósági határozatok szakszerű elemzését, különös tekintettel a tisztességes eljáráshoz, a védelemhez való joghoz és a személyes jelenléthez fűződő garanciák gyakorlati érvényesülésére. A tárgy fejleszti azon képességüket, hogy a releváns hazai és nemzetközi bírói gyakorlatot összevessék a konkrét eljárási szituációkkal, valamint felismerjék és értékeljék a távollétes ügyekben felmerülő eljárási szabálysértések következményeit, a bizonyítás sajátosságait és a rendkívüli jogorvoslatok igénybevételének lehetőségeit.</w:t>
      </w:r>
    </w:p>
    <w:p w14:paraId="0B602F0E" w14:textId="77777777" w:rsidR="00075804" w:rsidRPr="00F45478" w:rsidRDefault="00075804" w:rsidP="00075804">
      <w:pPr>
        <w:tabs>
          <w:tab w:val="left" w:pos="3780"/>
        </w:tabs>
        <w:jc w:val="both"/>
        <w:rPr>
          <w:bCs/>
          <w:sz w:val="24"/>
          <w:szCs w:val="24"/>
        </w:rPr>
      </w:pPr>
      <w:r w:rsidRPr="00F45478">
        <w:rPr>
          <w:bCs/>
          <w:sz w:val="24"/>
          <w:szCs w:val="24"/>
        </w:rPr>
        <w:t>Gyakorlati feladatokon keresztül a hallgatók megismerik a bírói mérlegelés és az eljárásvezetés döntési pontjait, a jelenléthez való jogról való lemondás értékelésének szempontrendszerét, valamint a tárgyalás megtartására vagy elhalasztására vonatkozó gyakorlati dilemmákat. A kurzus fejleszti a hallgatók érvelési és szakmai kommunikációs készségét, különösen vitaszimulációk és jogeset-prezentációk keretében, valamint megtanítja őket összetett jogdogmatikai és eljárási kérdések strukturált, világos és megalapozott bemutatására.</w:t>
      </w:r>
    </w:p>
    <w:p w14:paraId="78BA49C1" w14:textId="03F9F0A6" w:rsidR="00075804" w:rsidRDefault="00075804" w:rsidP="00075804">
      <w:pPr>
        <w:jc w:val="both"/>
        <w:rPr>
          <w:b/>
          <w:bCs/>
        </w:rPr>
      </w:pPr>
      <w:r w:rsidRPr="00F45478">
        <w:rPr>
          <w:bCs/>
          <w:sz w:val="24"/>
          <w:szCs w:val="24"/>
        </w:rPr>
        <w:t>A tantárgy gyakorlati komponense kiemelt hangsúlyt fektet a jogalkalmazás és jogalkotás összefüggéseire: a hallgatók képesek lesznek új jogintézményi megoldások indokoltságát értékelni, a szabályozási modelleket összehasonlítani, valamint kutatási eredményeket gyakorlati ajánlások formájában megfogalmazni, különösen a</w:t>
      </w:r>
      <w:r>
        <w:rPr>
          <w:bCs/>
          <w:sz w:val="24"/>
          <w:szCs w:val="24"/>
        </w:rPr>
        <w:t xml:space="preserve"> Kúria, a</w:t>
      </w:r>
      <w:r w:rsidRPr="00F45478">
        <w:rPr>
          <w:bCs/>
          <w:sz w:val="24"/>
          <w:szCs w:val="24"/>
        </w:rPr>
        <w:t>z Alkotmánybíróság</w:t>
      </w:r>
      <w:r>
        <w:rPr>
          <w:bCs/>
          <w:sz w:val="24"/>
          <w:szCs w:val="24"/>
        </w:rPr>
        <w:t xml:space="preserve"> és az EJEB</w:t>
      </w:r>
      <w:r w:rsidRPr="00F45478">
        <w:rPr>
          <w:bCs/>
          <w:sz w:val="24"/>
          <w:szCs w:val="24"/>
        </w:rPr>
        <w:t xml:space="preserve"> ítélkezési gyakorlatának tükrében.</w:t>
      </w:r>
    </w:p>
    <w:p w14:paraId="05DB11AF" w14:textId="0F52DB78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12D89EB8" w14:textId="77777777" w:rsidR="00075804" w:rsidRDefault="00075804" w:rsidP="00756A74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7E1AB1">
        <w:rPr>
          <w:sz w:val="24"/>
          <w:szCs w:val="24"/>
        </w:rPr>
        <w:t>ollokvium</w:t>
      </w:r>
      <w:r>
        <w:rPr>
          <w:sz w:val="24"/>
          <w:szCs w:val="24"/>
        </w:rPr>
        <w:t>, ötfokozatú minősítéssel (jeles-jó-közepes-elégséges-elégtelen)</w:t>
      </w:r>
    </w:p>
    <w:p w14:paraId="66B99562" w14:textId="1B4DB7C9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7C63386E" w14:textId="77777777" w:rsidR="00075804" w:rsidRPr="002D09BA" w:rsidRDefault="00075804" w:rsidP="00075804">
      <w:pPr>
        <w:tabs>
          <w:tab w:val="left" w:pos="3780"/>
        </w:tabs>
        <w:jc w:val="both"/>
        <w:rPr>
          <w:bCs/>
          <w:sz w:val="24"/>
          <w:szCs w:val="24"/>
        </w:rPr>
      </w:pPr>
      <w:r w:rsidRPr="002D09BA">
        <w:rPr>
          <w:bCs/>
          <w:sz w:val="24"/>
          <w:szCs w:val="24"/>
        </w:rPr>
        <w:t>A tárgy oktatása interaktív, kutatásorientált elméleti kurzus formájában történik, amelyben a hallgatók saját dogmatikai és gyakorlati megközelítéseiket is fejleszthetik. A kurzus során az alábbi oktatási módszerek alkalmazására kerül sor:</w:t>
      </w:r>
    </w:p>
    <w:p w14:paraId="0578D837" w14:textId="77777777" w:rsidR="00075804" w:rsidRPr="001F3AB1" w:rsidRDefault="00075804" w:rsidP="00075804">
      <w:pPr>
        <w:pStyle w:val="Listaszerbekezds"/>
        <w:numPr>
          <w:ilvl w:val="0"/>
          <w:numId w:val="49"/>
        </w:numPr>
        <w:tabs>
          <w:tab w:val="left" w:pos="3780"/>
        </w:tabs>
        <w:spacing w:after="0" w:line="240" w:lineRule="auto"/>
        <w:rPr>
          <w:bCs/>
          <w:sz w:val="24"/>
          <w:szCs w:val="24"/>
        </w:rPr>
      </w:pPr>
      <w:r w:rsidRPr="001F3AB1">
        <w:rPr>
          <w:bCs/>
          <w:sz w:val="24"/>
          <w:szCs w:val="24"/>
        </w:rPr>
        <w:t>Interaktív előadás a tárgy elvi és jogdogmatikai alapjainak bemutatására, a hazai és nemzetközi szabályozási modellek összehasonlításával.</w:t>
      </w:r>
    </w:p>
    <w:p w14:paraId="080B5A06" w14:textId="77777777" w:rsidR="00075804" w:rsidRPr="001F3AB1" w:rsidRDefault="00075804" w:rsidP="00075804">
      <w:pPr>
        <w:pStyle w:val="Listaszerbekezds"/>
        <w:numPr>
          <w:ilvl w:val="0"/>
          <w:numId w:val="49"/>
        </w:numPr>
        <w:tabs>
          <w:tab w:val="left" w:pos="3780"/>
        </w:tabs>
        <w:spacing w:after="0" w:line="240" w:lineRule="auto"/>
        <w:rPr>
          <w:bCs/>
          <w:sz w:val="24"/>
          <w:szCs w:val="24"/>
        </w:rPr>
      </w:pPr>
      <w:r w:rsidRPr="001F3AB1">
        <w:rPr>
          <w:bCs/>
          <w:sz w:val="24"/>
          <w:szCs w:val="24"/>
        </w:rPr>
        <w:t>Esetalapú elemzés, különösen a Kúria, az Alkotmánybíróság és az Emberi Jogok Európai Bíróságának releváns döntései alapján, a tisztességes eljárás követelményeinek gyakorlati értelmezése céljából.</w:t>
      </w:r>
    </w:p>
    <w:p w14:paraId="368959D1" w14:textId="77777777" w:rsidR="00075804" w:rsidRPr="001F3AB1" w:rsidRDefault="00075804" w:rsidP="00075804">
      <w:pPr>
        <w:pStyle w:val="Listaszerbekezds"/>
        <w:numPr>
          <w:ilvl w:val="0"/>
          <w:numId w:val="49"/>
        </w:numPr>
        <w:tabs>
          <w:tab w:val="left" w:pos="3780"/>
        </w:tabs>
        <w:spacing w:after="0" w:line="240" w:lineRule="auto"/>
        <w:rPr>
          <w:bCs/>
          <w:sz w:val="24"/>
          <w:szCs w:val="24"/>
        </w:rPr>
      </w:pPr>
      <w:r w:rsidRPr="001F3AB1">
        <w:rPr>
          <w:bCs/>
          <w:sz w:val="24"/>
          <w:szCs w:val="24"/>
        </w:rPr>
        <w:t>Irányított szemináriumi vita, amely lehetőséget biztosít a normatív és jogpolitikai érvek ütköztetésére, valamint a kritikai reflexió fejlesztésére.</w:t>
      </w:r>
    </w:p>
    <w:p w14:paraId="4E478543" w14:textId="77777777" w:rsidR="00075804" w:rsidRPr="001F3AB1" w:rsidRDefault="00075804" w:rsidP="00075804">
      <w:pPr>
        <w:pStyle w:val="Listaszerbekezds"/>
        <w:numPr>
          <w:ilvl w:val="0"/>
          <w:numId w:val="49"/>
        </w:numPr>
        <w:tabs>
          <w:tab w:val="left" w:pos="3780"/>
        </w:tabs>
        <w:spacing w:after="0" w:line="240" w:lineRule="auto"/>
        <w:rPr>
          <w:bCs/>
          <w:sz w:val="24"/>
          <w:szCs w:val="24"/>
        </w:rPr>
      </w:pPr>
      <w:r w:rsidRPr="001F3AB1">
        <w:rPr>
          <w:bCs/>
          <w:sz w:val="24"/>
          <w:szCs w:val="24"/>
        </w:rPr>
        <w:t>Forráselemzés és jogeset-elemzés a bírói gyakorlat és a jogirodalom mélyebb megértése érdekében.</w:t>
      </w:r>
    </w:p>
    <w:p w14:paraId="28D0291E" w14:textId="77777777" w:rsidR="00075804" w:rsidRPr="001F3AB1" w:rsidRDefault="00075804" w:rsidP="00075804">
      <w:pPr>
        <w:pStyle w:val="Listaszerbekezds"/>
        <w:numPr>
          <w:ilvl w:val="0"/>
          <w:numId w:val="49"/>
        </w:numPr>
        <w:tabs>
          <w:tab w:val="left" w:pos="3780"/>
        </w:tabs>
        <w:spacing w:after="0" w:line="240" w:lineRule="auto"/>
        <w:rPr>
          <w:bCs/>
          <w:sz w:val="24"/>
          <w:szCs w:val="24"/>
        </w:rPr>
      </w:pPr>
      <w:r w:rsidRPr="001F3AB1">
        <w:rPr>
          <w:bCs/>
          <w:sz w:val="24"/>
          <w:szCs w:val="24"/>
        </w:rPr>
        <w:t>Hallgatói prezentációk egy-egy eseti döntés, jogdogmatikai probléma vagy aktuális jogalkotási kérdés feldolgozására.</w:t>
      </w:r>
    </w:p>
    <w:p w14:paraId="54C62C34" w14:textId="77777777" w:rsidR="00075804" w:rsidRDefault="00075804" w:rsidP="00075804">
      <w:pPr>
        <w:pStyle w:val="Listaszerbekezds"/>
        <w:numPr>
          <w:ilvl w:val="0"/>
          <w:numId w:val="49"/>
        </w:numPr>
        <w:tabs>
          <w:tab w:val="left" w:pos="3780"/>
        </w:tabs>
        <w:spacing w:after="0" w:line="240" w:lineRule="auto"/>
        <w:rPr>
          <w:bCs/>
          <w:sz w:val="24"/>
          <w:szCs w:val="24"/>
        </w:rPr>
      </w:pPr>
      <w:r w:rsidRPr="001F3AB1">
        <w:rPr>
          <w:bCs/>
          <w:sz w:val="24"/>
          <w:szCs w:val="24"/>
        </w:rPr>
        <w:t>Kisebb egyéni kutatási feladatok és írásbeli elemzések önálló tudományos vizsgálódás fejlesztése céljából.</w:t>
      </w:r>
    </w:p>
    <w:p w14:paraId="48274438" w14:textId="1737471E" w:rsidR="00CB39CA" w:rsidRPr="00CB39CA" w:rsidRDefault="00075804" w:rsidP="00075804">
      <w:pPr>
        <w:pStyle w:val="Listaszerbekezds"/>
        <w:numPr>
          <w:ilvl w:val="0"/>
          <w:numId w:val="49"/>
        </w:numPr>
        <w:tabs>
          <w:tab w:val="left" w:pos="3780"/>
        </w:tabs>
        <w:spacing w:after="0" w:line="240" w:lineRule="auto"/>
        <w:jc w:val="both"/>
      </w:pPr>
      <w:r w:rsidRPr="00075804">
        <w:rPr>
          <w:bCs/>
          <w:sz w:val="24"/>
          <w:szCs w:val="24"/>
        </w:rPr>
        <w:lastRenderedPageBreak/>
        <w:t>K</w:t>
      </w:r>
      <w:r w:rsidRPr="00075804">
        <w:rPr>
          <w:bCs/>
          <w:sz w:val="24"/>
          <w:szCs w:val="24"/>
        </w:rPr>
        <w:t>özös értelmezési és vitahelyzetek szimulációja (pl. bírói mérlegelési dilemmák), a szakmai érvelés és vitapartneri kompetenciák fejlesztésére.</w:t>
      </w:r>
      <w:r w:rsidR="00CB39CA" w:rsidRPr="00CB39CA">
        <w:t> </w:t>
      </w:r>
    </w:p>
    <w:p w14:paraId="031920B6" w14:textId="77777777" w:rsidR="00075804" w:rsidRDefault="00075804" w:rsidP="00756A74">
      <w:pPr>
        <w:jc w:val="both"/>
        <w:rPr>
          <w:b/>
          <w:bCs/>
        </w:rPr>
      </w:pPr>
    </w:p>
    <w:p w14:paraId="3C804C69" w14:textId="3EB00E15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>Kötelező irodalom:</w:t>
      </w:r>
    </w:p>
    <w:p w14:paraId="1F69C8A7" w14:textId="77777777" w:rsidR="00075804" w:rsidRDefault="00075804" w:rsidP="00075804">
      <w:pPr>
        <w:tabs>
          <w:tab w:val="left" w:pos="3780"/>
        </w:tabs>
        <w:rPr>
          <w:sz w:val="24"/>
          <w:szCs w:val="24"/>
        </w:rPr>
      </w:pPr>
      <w:r w:rsidRPr="00001959">
        <w:rPr>
          <w:sz w:val="24"/>
          <w:szCs w:val="24"/>
        </w:rPr>
        <w:t>Csák Zsolt: Ítélet vádlott nélkül, HVG-ORAC Lap- és Könyvkiadó Kft., Budapest, 2019</w:t>
      </w:r>
      <w:r>
        <w:rPr>
          <w:sz w:val="24"/>
          <w:szCs w:val="24"/>
        </w:rPr>
        <w:t xml:space="preserve">, </w:t>
      </w:r>
      <w:r w:rsidRPr="00001959">
        <w:rPr>
          <w:sz w:val="24"/>
          <w:szCs w:val="24"/>
        </w:rPr>
        <w:t>ISBN: 9789632584485</w:t>
      </w:r>
      <w:r>
        <w:rPr>
          <w:sz w:val="24"/>
          <w:szCs w:val="24"/>
        </w:rPr>
        <w:t xml:space="preserve"> (a tantárgyi leírás rögzítésekor a második </w:t>
      </w:r>
      <w:proofErr w:type="spellStart"/>
      <w:r>
        <w:rPr>
          <w:sz w:val="24"/>
          <w:szCs w:val="24"/>
        </w:rPr>
        <w:t>átdolgozott</w:t>
      </w:r>
      <w:proofErr w:type="spellEnd"/>
      <w:r>
        <w:rPr>
          <w:sz w:val="24"/>
          <w:szCs w:val="24"/>
        </w:rPr>
        <w:t xml:space="preserve"> kiadás megjelenés alatt áll az ORAC Kiadónál).</w:t>
      </w:r>
    </w:p>
    <w:p w14:paraId="38436B96" w14:textId="77777777" w:rsidR="00075804" w:rsidRDefault="00075804" w:rsidP="00075804">
      <w:pPr>
        <w:tabs>
          <w:tab w:val="left" w:pos="3780"/>
        </w:tabs>
        <w:rPr>
          <w:sz w:val="24"/>
          <w:szCs w:val="24"/>
        </w:rPr>
      </w:pPr>
      <w:r w:rsidRPr="008C38AB">
        <w:rPr>
          <w:sz w:val="24"/>
          <w:szCs w:val="24"/>
        </w:rPr>
        <w:t xml:space="preserve">Bárd Károly: Emberi jogok és büntető igazságszolgáltatás Európában: A tisztességes eljárás büntetőügyekben – emberjog-dogmatikai értekezés, Magyar Hivatalos Közlönykiadó, Budapest, 2007. </w:t>
      </w:r>
      <w:r>
        <w:rPr>
          <w:sz w:val="24"/>
          <w:szCs w:val="24"/>
        </w:rPr>
        <w:t>ISBN:</w:t>
      </w:r>
      <w:r w:rsidRPr="008C38AB">
        <w:rPr>
          <w:rFonts w:ascii="Source Sans Pro" w:hAnsi="Source Sans Pro"/>
          <w:color w:val="212121"/>
          <w:sz w:val="18"/>
          <w:szCs w:val="18"/>
          <w:shd w:val="clear" w:color="auto" w:fill="FFFFFF"/>
        </w:rPr>
        <w:t xml:space="preserve"> </w:t>
      </w:r>
      <w:r w:rsidRPr="008C38AB">
        <w:rPr>
          <w:sz w:val="24"/>
          <w:szCs w:val="24"/>
        </w:rPr>
        <w:t>9789639722224</w:t>
      </w:r>
      <w:r>
        <w:rPr>
          <w:sz w:val="24"/>
          <w:szCs w:val="24"/>
        </w:rPr>
        <w:t>.</w:t>
      </w:r>
    </w:p>
    <w:p w14:paraId="70EA6B3B" w14:textId="0D8326D2" w:rsidR="0037250D" w:rsidRDefault="00075804" w:rsidP="00075804">
      <w:pPr>
        <w:jc w:val="both"/>
      </w:pPr>
      <w:r w:rsidRPr="008C38AB">
        <w:rPr>
          <w:sz w:val="24"/>
          <w:szCs w:val="24"/>
        </w:rPr>
        <w:t>Pápai-Tarr Ágnes: A büntetőeljárás gyorsításáról, Gondolat Kiadó, Budapest, 2012.</w:t>
      </w:r>
      <w:r>
        <w:rPr>
          <w:sz w:val="24"/>
          <w:szCs w:val="24"/>
        </w:rPr>
        <w:t xml:space="preserve"> ISBN: </w:t>
      </w:r>
      <w:r w:rsidRPr="008C38AB">
        <w:rPr>
          <w:sz w:val="24"/>
          <w:szCs w:val="24"/>
        </w:rPr>
        <w:t>9789636934163</w:t>
      </w:r>
      <w:r>
        <w:rPr>
          <w:sz w:val="24"/>
          <w:szCs w:val="24"/>
        </w:rPr>
        <w:t>.</w:t>
      </w:r>
    </w:p>
    <w:p w14:paraId="3018F48B" w14:textId="61C22AA2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>Ajánlott irodalom:</w:t>
      </w:r>
    </w:p>
    <w:p w14:paraId="03E4BF91" w14:textId="77777777" w:rsidR="00075804" w:rsidRPr="008C38AB" w:rsidRDefault="00075804" w:rsidP="00075804">
      <w:pPr>
        <w:tabs>
          <w:tab w:val="left" w:pos="3780"/>
        </w:tabs>
        <w:rPr>
          <w:sz w:val="24"/>
          <w:szCs w:val="24"/>
        </w:rPr>
      </w:pPr>
      <w:r w:rsidRPr="009852F0">
        <w:rPr>
          <w:sz w:val="24"/>
          <w:szCs w:val="24"/>
        </w:rPr>
        <w:t>Csák Zsolt</w:t>
      </w:r>
      <w:r>
        <w:rPr>
          <w:sz w:val="24"/>
          <w:szCs w:val="24"/>
        </w:rPr>
        <w:t xml:space="preserve"> </w:t>
      </w:r>
      <w:r w:rsidRPr="009852F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Pr="009852F0">
        <w:rPr>
          <w:sz w:val="24"/>
          <w:szCs w:val="24"/>
        </w:rPr>
        <w:t>Czebe</w:t>
      </w:r>
      <w:proofErr w:type="spellEnd"/>
      <w:r w:rsidRPr="009852F0">
        <w:rPr>
          <w:sz w:val="24"/>
          <w:szCs w:val="24"/>
        </w:rPr>
        <w:t xml:space="preserve"> András: A távollévő terhelttel szembeni eljárás alapjogi követelményei a Kúria elvi iránymutatásai tükrében, Kúriai Döntések, 2024/10., 1834-1846.</w:t>
      </w:r>
      <w:r>
        <w:rPr>
          <w:sz w:val="24"/>
          <w:szCs w:val="24"/>
        </w:rPr>
        <w:t xml:space="preserve"> Elérhető: </w:t>
      </w:r>
      <w:hyperlink r:id="rId6" w:history="1">
        <w:r w:rsidRPr="00D9333D">
          <w:rPr>
            <w:rStyle w:val="Hiperhivatkozs"/>
            <w:sz w:val="24"/>
            <w:szCs w:val="24"/>
          </w:rPr>
          <w:t>https://kuria-birosag.hu/hu/kuriai-dontesek/csak-zsolt-czebe-andras-tavollevo-terhelttel-szembeni-eljaras-alapjogi</w:t>
        </w:r>
      </w:hyperlink>
      <w:r>
        <w:rPr>
          <w:sz w:val="24"/>
          <w:szCs w:val="24"/>
        </w:rPr>
        <w:t xml:space="preserve"> </w:t>
      </w:r>
    </w:p>
    <w:p w14:paraId="7995E288" w14:textId="77777777" w:rsidR="00075804" w:rsidRDefault="00075804" w:rsidP="00075804">
      <w:pPr>
        <w:tabs>
          <w:tab w:val="left" w:pos="3780"/>
        </w:tabs>
        <w:rPr>
          <w:sz w:val="24"/>
          <w:szCs w:val="24"/>
        </w:rPr>
      </w:pPr>
      <w:r w:rsidRPr="00AD4413">
        <w:rPr>
          <w:sz w:val="24"/>
          <w:szCs w:val="24"/>
        </w:rPr>
        <w:t xml:space="preserve">Varga </w:t>
      </w:r>
      <w:proofErr w:type="spellStart"/>
      <w:r w:rsidRPr="00AD4413">
        <w:rPr>
          <w:sz w:val="24"/>
          <w:szCs w:val="24"/>
        </w:rPr>
        <w:t>Zs</w:t>
      </w:r>
      <w:proofErr w:type="spellEnd"/>
      <w:r w:rsidRPr="00AD4413">
        <w:rPr>
          <w:sz w:val="24"/>
          <w:szCs w:val="24"/>
        </w:rPr>
        <w:t>. András: A tisztességes eljáráshoz való jog bírósági aspektusból, Kúriai Döntések, 2022/4., 610-617.</w:t>
      </w:r>
      <w:r>
        <w:rPr>
          <w:sz w:val="24"/>
          <w:szCs w:val="24"/>
        </w:rPr>
        <w:t xml:space="preserve"> Elérhető: </w:t>
      </w:r>
      <w:hyperlink r:id="rId7" w:history="1">
        <w:r w:rsidRPr="00D9333D">
          <w:rPr>
            <w:rStyle w:val="Hiperhivatkozs"/>
            <w:sz w:val="24"/>
            <w:szCs w:val="24"/>
          </w:rPr>
          <w:t>https://kuria-birosag.hu/hu/kuriai-dontesek/1-dr-varga-zs-andras-tisztesseges-eljarashoz-valo-jog-birosagi-aspektusbol</w:t>
        </w:r>
      </w:hyperlink>
    </w:p>
    <w:p w14:paraId="062078D7" w14:textId="77777777" w:rsidR="00075804" w:rsidRDefault="00075804" w:rsidP="00075804">
      <w:pPr>
        <w:tabs>
          <w:tab w:val="left" w:pos="3780"/>
        </w:tabs>
        <w:rPr>
          <w:sz w:val="24"/>
          <w:szCs w:val="24"/>
        </w:rPr>
      </w:pPr>
      <w:proofErr w:type="spellStart"/>
      <w:r w:rsidRPr="00956889">
        <w:rPr>
          <w:sz w:val="24"/>
          <w:szCs w:val="24"/>
        </w:rPr>
        <w:t>Pollicino</w:t>
      </w:r>
      <w:proofErr w:type="spellEnd"/>
      <w:r w:rsidRPr="00956889">
        <w:rPr>
          <w:sz w:val="24"/>
          <w:szCs w:val="24"/>
        </w:rPr>
        <w:t xml:space="preserve">, </w:t>
      </w:r>
      <w:proofErr w:type="spellStart"/>
      <w:r w:rsidRPr="00956889">
        <w:rPr>
          <w:sz w:val="24"/>
          <w:szCs w:val="24"/>
        </w:rPr>
        <w:t>Oreste</w:t>
      </w:r>
      <w:proofErr w:type="spellEnd"/>
      <w:r>
        <w:rPr>
          <w:sz w:val="24"/>
          <w:szCs w:val="24"/>
        </w:rPr>
        <w:t xml:space="preserve"> </w:t>
      </w:r>
      <w:r w:rsidRPr="0095688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Pr="00956889">
        <w:rPr>
          <w:sz w:val="24"/>
          <w:szCs w:val="24"/>
        </w:rPr>
        <w:t>Bassini</w:t>
      </w:r>
      <w:proofErr w:type="spellEnd"/>
      <w:r w:rsidRPr="00956889">
        <w:rPr>
          <w:sz w:val="24"/>
          <w:szCs w:val="24"/>
        </w:rPr>
        <w:t xml:space="preserve">, Marco: </w:t>
      </w:r>
      <w:proofErr w:type="spellStart"/>
      <w:r w:rsidRPr="00956889">
        <w:rPr>
          <w:sz w:val="24"/>
          <w:szCs w:val="24"/>
        </w:rPr>
        <w:t>Personal</w:t>
      </w:r>
      <w:proofErr w:type="spellEnd"/>
      <w:r w:rsidRPr="00956889">
        <w:rPr>
          <w:sz w:val="24"/>
          <w:szCs w:val="24"/>
        </w:rPr>
        <w:t xml:space="preserve"> </w:t>
      </w:r>
      <w:proofErr w:type="spellStart"/>
      <w:r w:rsidRPr="00956889">
        <w:rPr>
          <w:sz w:val="24"/>
          <w:szCs w:val="24"/>
        </w:rPr>
        <w:t>Participation</w:t>
      </w:r>
      <w:proofErr w:type="spellEnd"/>
      <w:r w:rsidRPr="00956889">
        <w:rPr>
          <w:sz w:val="24"/>
          <w:szCs w:val="24"/>
        </w:rPr>
        <w:t xml:space="preserve"> and </w:t>
      </w:r>
      <w:proofErr w:type="spellStart"/>
      <w:r w:rsidRPr="00956889">
        <w:rPr>
          <w:sz w:val="24"/>
          <w:szCs w:val="24"/>
        </w:rPr>
        <w:t>Trials</w:t>
      </w:r>
      <w:proofErr w:type="spellEnd"/>
      <w:r w:rsidRPr="00956889">
        <w:rPr>
          <w:sz w:val="24"/>
          <w:szCs w:val="24"/>
        </w:rPr>
        <w:t xml:space="preserve"> In </w:t>
      </w:r>
      <w:proofErr w:type="spellStart"/>
      <w:r w:rsidRPr="00956889">
        <w:rPr>
          <w:sz w:val="24"/>
          <w:szCs w:val="24"/>
        </w:rPr>
        <w:t>Absentia</w:t>
      </w:r>
      <w:proofErr w:type="spellEnd"/>
      <w:r w:rsidRPr="00956889">
        <w:rPr>
          <w:sz w:val="24"/>
          <w:szCs w:val="24"/>
        </w:rPr>
        <w:t xml:space="preserve">. A </w:t>
      </w:r>
      <w:proofErr w:type="spellStart"/>
      <w:r w:rsidRPr="00956889">
        <w:rPr>
          <w:sz w:val="24"/>
          <w:szCs w:val="24"/>
        </w:rPr>
        <w:t>Comparative</w:t>
      </w:r>
      <w:proofErr w:type="spellEnd"/>
      <w:r w:rsidRPr="00956889">
        <w:rPr>
          <w:sz w:val="24"/>
          <w:szCs w:val="24"/>
        </w:rPr>
        <w:t xml:space="preserve"> </w:t>
      </w:r>
      <w:proofErr w:type="spellStart"/>
      <w:r w:rsidRPr="00956889">
        <w:rPr>
          <w:sz w:val="24"/>
          <w:szCs w:val="24"/>
        </w:rPr>
        <w:t>Constitutional</w:t>
      </w:r>
      <w:proofErr w:type="spellEnd"/>
      <w:r w:rsidRPr="00956889">
        <w:rPr>
          <w:sz w:val="24"/>
          <w:szCs w:val="24"/>
        </w:rPr>
        <w:t xml:space="preserve"> Law </w:t>
      </w:r>
      <w:proofErr w:type="spellStart"/>
      <w:r w:rsidRPr="00956889">
        <w:rPr>
          <w:sz w:val="24"/>
          <w:szCs w:val="24"/>
        </w:rPr>
        <w:t>Perspective</w:t>
      </w:r>
      <w:proofErr w:type="spellEnd"/>
      <w:r w:rsidRPr="00956889">
        <w:rPr>
          <w:sz w:val="24"/>
          <w:szCs w:val="24"/>
        </w:rPr>
        <w:t xml:space="preserve">, in: </w:t>
      </w:r>
      <w:proofErr w:type="spellStart"/>
      <w:r w:rsidRPr="00956889">
        <w:rPr>
          <w:sz w:val="24"/>
          <w:szCs w:val="24"/>
        </w:rPr>
        <w:t>Quattrocolo</w:t>
      </w:r>
      <w:proofErr w:type="spellEnd"/>
      <w:r w:rsidRPr="00956889">
        <w:rPr>
          <w:sz w:val="24"/>
          <w:szCs w:val="24"/>
        </w:rPr>
        <w:t>, Serena–</w:t>
      </w:r>
      <w:proofErr w:type="spellStart"/>
      <w:r w:rsidRPr="00956889">
        <w:rPr>
          <w:sz w:val="24"/>
          <w:szCs w:val="24"/>
        </w:rPr>
        <w:t>Ruggeri</w:t>
      </w:r>
      <w:proofErr w:type="spellEnd"/>
      <w:r w:rsidRPr="00956889">
        <w:rPr>
          <w:sz w:val="24"/>
          <w:szCs w:val="24"/>
        </w:rPr>
        <w:t xml:space="preserve">, </w:t>
      </w:r>
      <w:proofErr w:type="spellStart"/>
      <w:r w:rsidRPr="00956889">
        <w:rPr>
          <w:sz w:val="24"/>
          <w:szCs w:val="24"/>
        </w:rPr>
        <w:t>Stefano</w:t>
      </w:r>
      <w:proofErr w:type="spellEnd"/>
      <w:r w:rsidRPr="00956889">
        <w:rPr>
          <w:sz w:val="24"/>
          <w:szCs w:val="24"/>
        </w:rPr>
        <w:t xml:space="preserve"> (</w:t>
      </w:r>
      <w:proofErr w:type="spellStart"/>
      <w:r w:rsidRPr="00956889">
        <w:rPr>
          <w:sz w:val="24"/>
          <w:szCs w:val="24"/>
        </w:rPr>
        <w:t>eds</w:t>
      </w:r>
      <w:proofErr w:type="spellEnd"/>
      <w:r w:rsidRPr="00956889">
        <w:rPr>
          <w:sz w:val="24"/>
          <w:szCs w:val="24"/>
        </w:rPr>
        <w:t xml:space="preserve">.): </w:t>
      </w:r>
      <w:proofErr w:type="spellStart"/>
      <w:r w:rsidRPr="00956889">
        <w:rPr>
          <w:sz w:val="24"/>
          <w:szCs w:val="24"/>
        </w:rPr>
        <w:t>Personal</w:t>
      </w:r>
      <w:proofErr w:type="spellEnd"/>
      <w:r w:rsidRPr="00956889">
        <w:rPr>
          <w:sz w:val="24"/>
          <w:szCs w:val="24"/>
        </w:rPr>
        <w:t xml:space="preserve"> </w:t>
      </w:r>
      <w:proofErr w:type="spellStart"/>
      <w:r w:rsidRPr="00956889">
        <w:rPr>
          <w:sz w:val="24"/>
          <w:szCs w:val="24"/>
        </w:rPr>
        <w:t>Participation</w:t>
      </w:r>
      <w:proofErr w:type="spellEnd"/>
      <w:r w:rsidRPr="00956889">
        <w:rPr>
          <w:sz w:val="24"/>
          <w:szCs w:val="24"/>
        </w:rPr>
        <w:t xml:space="preserve"> in </w:t>
      </w:r>
      <w:proofErr w:type="spellStart"/>
      <w:r w:rsidRPr="00956889">
        <w:rPr>
          <w:sz w:val="24"/>
          <w:szCs w:val="24"/>
        </w:rPr>
        <w:t>Criminal</w:t>
      </w:r>
      <w:proofErr w:type="spellEnd"/>
      <w:r w:rsidRPr="00956889">
        <w:rPr>
          <w:sz w:val="24"/>
          <w:szCs w:val="24"/>
        </w:rPr>
        <w:t xml:space="preserve"> </w:t>
      </w:r>
      <w:proofErr w:type="spellStart"/>
      <w:r w:rsidRPr="00956889">
        <w:rPr>
          <w:sz w:val="24"/>
          <w:szCs w:val="24"/>
        </w:rPr>
        <w:t>Proceedings</w:t>
      </w:r>
      <w:proofErr w:type="spellEnd"/>
      <w:r w:rsidRPr="00956889">
        <w:rPr>
          <w:sz w:val="24"/>
          <w:szCs w:val="24"/>
        </w:rPr>
        <w:t xml:space="preserve">. A </w:t>
      </w:r>
      <w:proofErr w:type="spellStart"/>
      <w:r w:rsidRPr="00956889">
        <w:rPr>
          <w:sz w:val="24"/>
          <w:szCs w:val="24"/>
        </w:rPr>
        <w:t>Comparative</w:t>
      </w:r>
      <w:proofErr w:type="spellEnd"/>
      <w:r w:rsidRPr="00956889">
        <w:rPr>
          <w:sz w:val="24"/>
          <w:szCs w:val="24"/>
        </w:rPr>
        <w:t xml:space="preserve"> </w:t>
      </w:r>
      <w:proofErr w:type="spellStart"/>
      <w:r w:rsidRPr="00956889">
        <w:rPr>
          <w:sz w:val="24"/>
          <w:szCs w:val="24"/>
        </w:rPr>
        <w:t>Study</w:t>
      </w:r>
      <w:proofErr w:type="spellEnd"/>
      <w:r w:rsidRPr="00956889">
        <w:rPr>
          <w:sz w:val="24"/>
          <w:szCs w:val="24"/>
        </w:rPr>
        <w:t xml:space="preserve"> of </w:t>
      </w:r>
      <w:proofErr w:type="spellStart"/>
      <w:r w:rsidRPr="00956889">
        <w:rPr>
          <w:sz w:val="24"/>
          <w:szCs w:val="24"/>
        </w:rPr>
        <w:t>Participatory</w:t>
      </w:r>
      <w:proofErr w:type="spellEnd"/>
      <w:r w:rsidRPr="00956889">
        <w:rPr>
          <w:sz w:val="24"/>
          <w:szCs w:val="24"/>
        </w:rPr>
        <w:t xml:space="preserve"> </w:t>
      </w:r>
      <w:proofErr w:type="spellStart"/>
      <w:r w:rsidRPr="00956889">
        <w:rPr>
          <w:sz w:val="24"/>
          <w:szCs w:val="24"/>
        </w:rPr>
        <w:t>Safeguards</w:t>
      </w:r>
      <w:proofErr w:type="spellEnd"/>
      <w:r w:rsidRPr="00956889">
        <w:rPr>
          <w:sz w:val="24"/>
          <w:szCs w:val="24"/>
        </w:rPr>
        <w:t xml:space="preserve"> </w:t>
      </w:r>
      <w:proofErr w:type="gramStart"/>
      <w:r w:rsidRPr="00956889">
        <w:rPr>
          <w:sz w:val="24"/>
          <w:szCs w:val="24"/>
        </w:rPr>
        <w:t>and in</w:t>
      </w:r>
      <w:proofErr w:type="gramEnd"/>
      <w:r w:rsidRPr="00956889">
        <w:rPr>
          <w:sz w:val="24"/>
          <w:szCs w:val="24"/>
        </w:rPr>
        <w:t xml:space="preserve"> </w:t>
      </w:r>
      <w:proofErr w:type="spellStart"/>
      <w:r w:rsidRPr="00956889">
        <w:rPr>
          <w:sz w:val="24"/>
          <w:szCs w:val="24"/>
        </w:rPr>
        <w:t>absentia</w:t>
      </w:r>
      <w:proofErr w:type="spellEnd"/>
      <w:r w:rsidRPr="00956889">
        <w:rPr>
          <w:sz w:val="24"/>
          <w:szCs w:val="24"/>
        </w:rPr>
        <w:t xml:space="preserve"> </w:t>
      </w:r>
      <w:proofErr w:type="spellStart"/>
      <w:r w:rsidRPr="00956889">
        <w:rPr>
          <w:sz w:val="24"/>
          <w:szCs w:val="24"/>
        </w:rPr>
        <w:t>Trials</w:t>
      </w:r>
      <w:proofErr w:type="spellEnd"/>
      <w:r w:rsidRPr="00956889">
        <w:rPr>
          <w:sz w:val="24"/>
          <w:szCs w:val="24"/>
        </w:rPr>
        <w:t xml:space="preserve"> in Europe, Springer, </w:t>
      </w:r>
      <w:proofErr w:type="spellStart"/>
      <w:r w:rsidRPr="00956889">
        <w:rPr>
          <w:sz w:val="24"/>
          <w:szCs w:val="24"/>
        </w:rPr>
        <w:t>Cham</w:t>
      </w:r>
      <w:proofErr w:type="spellEnd"/>
      <w:r w:rsidRPr="00956889">
        <w:rPr>
          <w:sz w:val="24"/>
          <w:szCs w:val="24"/>
        </w:rPr>
        <w:t>, 2019, 527-558.</w:t>
      </w:r>
    </w:p>
    <w:p w14:paraId="69EC519C" w14:textId="77777777" w:rsidR="00075804" w:rsidRDefault="00075804" w:rsidP="00075804">
      <w:pPr>
        <w:jc w:val="both"/>
      </w:pPr>
      <w:r>
        <w:rPr>
          <w:sz w:val="24"/>
          <w:szCs w:val="24"/>
        </w:rPr>
        <w:t xml:space="preserve">Elérhető: </w:t>
      </w:r>
      <w:hyperlink r:id="rId8" w:history="1">
        <w:r w:rsidRPr="00D9333D">
          <w:rPr>
            <w:rStyle w:val="Hiperhivatkozs"/>
            <w:sz w:val="24"/>
            <w:szCs w:val="24"/>
          </w:rPr>
          <w:t>https://papers.ssrn.com/sol3/papers.cfm?abstract_id=3397349</w:t>
        </w:r>
      </w:hyperlink>
    </w:p>
    <w:p w14:paraId="0D09B085" w14:textId="31CEE9CE" w:rsidR="00D673CB" w:rsidRPr="003B0B39" w:rsidRDefault="00D673CB" w:rsidP="00075804">
      <w:pPr>
        <w:jc w:val="both"/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11AB5D97" w14:textId="77777777" w:rsidR="00075804" w:rsidRPr="002A02F0" w:rsidRDefault="00075804" w:rsidP="00075804">
      <w:pPr>
        <w:jc w:val="both"/>
        <w:rPr>
          <w:sz w:val="24"/>
          <w:szCs w:val="24"/>
        </w:rPr>
      </w:pPr>
      <w:r w:rsidRPr="002A02F0">
        <w:rPr>
          <w:sz w:val="24"/>
          <w:szCs w:val="24"/>
        </w:rPr>
        <w:t>Tudás</w:t>
      </w:r>
      <w:r>
        <w:rPr>
          <w:sz w:val="24"/>
          <w:szCs w:val="24"/>
        </w:rPr>
        <w:t xml:space="preserve">: </w:t>
      </w:r>
      <w:r w:rsidRPr="002A02F0">
        <w:rPr>
          <w:sz w:val="24"/>
          <w:szCs w:val="24"/>
        </w:rPr>
        <w:t>A tantárgy hozzájárul ahhoz, hogy a hallgatók kutatási szintű, rendszerszemléletű ismereteket sajátítsanak el a távollétes büntetőeljárások dogmatikai és gyakorlati kérdéseiről, valamint a tisztességes eljárás és a védelemhez való jog alkotmányos és nemzetközi kereteiről. A kurzus elősegíti a hallgatók mély elméleti felkészültségét az eljárási garanciák és az eljárás hatékonysága közötti komplex összefüggések feltárásában, továbbá hozzájárul a hazai és nemzetközi jogforrások és bírói gyakorlat tudományos szintű értelmezéséhez és integrálásához.</w:t>
      </w:r>
    </w:p>
    <w:p w14:paraId="763216BC" w14:textId="77777777" w:rsidR="00075804" w:rsidRPr="002A02F0" w:rsidRDefault="00075804" w:rsidP="00075804">
      <w:pPr>
        <w:jc w:val="both"/>
        <w:rPr>
          <w:sz w:val="24"/>
          <w:szCs w:val="24"/>
        </w:rPr>
      </w:pPr>
      <w:r w:rsidRPr="002A02F0">
        <w:rPr>
          <w:sz w:val="24"/>
          <w:szCs w:val="24"/>
        </w:rPr>
        <w:t>Képességek</w:t>
      </w:r>
      <w:r>
        <w:rPr>
          <w:sz w:val="24"/>
          <w:szCs w:val="24"/>
        </w:rPr>
        <w:t xml:space="preserve">: </w:t>
      </w:r>
      <w:r w:rsidRPr="002A02F0">
        <w:rPr>
          <w:sz w:val="24"/>
          <w:szCs w:val="24"/>
        </w:rPr>
        <w:t xml:space="preserve">A tantárgy fejleszti a hallgatók képességét önálló tudományos problémaazonosításra és kreatív elemzésre, különös tekintettel a távollétes eljárások gyakorlati dilemmáira és a jogértelmezési kérdésekre. A kurzus hozzájárul ahhoz, hogy a </w:t>
      </w:r>
      <w:r w:rsidRPr="002A02F0">
        <w:rPr>
          <w:sz w:val="24"/>
          <w:szCs w:val="24"/>
        </w:rPr>
        <w:lastRenderedPageBreak/>
        <w:t>doktoranduszok képesek legyenek új szakmai megközelítéseket és kutatási irányokat megfogalmazni, továbbá szakmai vitákban érvelve, adekvát módon állást foglalni a tisztességes eljáráshoz kapcsolódó elvi konfliktusokban. A hallgatók megtanulják a releváns bírósági döntések kritikai elemzését és értelmezését, illetve konkrét ügyekre való alkalmazását.</w:t>
      </w:r>
    </w:p>
    <w:p w14:paraId="7A9F22EE" w14:textId="77777777" w:rsidR="00075804" w:rsidRPr="002A02F0" w:rsidRDefault="00075804" w:rsidP="00075804">
      <w:pPr>
        <w:jc w:val="both"/>
        <w:rPr>
          <w:sz w:val="24"/>
          <w:szCs w:val="24"/>
        </w:rPr>
      </w:pPr>
      <w:r w:rsidRPr="002A02F0">
        <w:rPr>
          <w:sz w:val="24"/>
          <w:szCs w:val="24"/>
        </w:rPr>
        <w:t>Attitűdök</w:t>
      </w:r>
      <w:r>
        <w:rPr>
          <w:sz w:val="24"/>
          <w:szCs w:val="24"/>
        </w:rPr>
        <w:t xml:space="preserve">: </w:t>
      </w:r>
      <w:r w:rsidRPr="002A02F0">
        <w:rPr>
          <w:sz w:val="24"/>
          <w:szCs w:val="24"/>
        </w:rPr>
        <w:t>A tantárgy erősíti a szakmai felelősségtudatot és elköteleződést az igazságszolgáltatás értékei, különösen az alapjogok védelme és a társadalmi bizalom fenntartása iránt. Elősegíti a hallgatók nyitottságát az új kutatási irányok, módszerek és szakmai álláspontok befogadására, valamint a folyamatos önképzés iránti igény kialakítására. A kurzus támogatja a kritikai gondolkodást és az önreflexiót, illetve a tudományos integritás következetes érvényesítését.</w:t>
      </w:r>
    </w:p>
    <w:p w14:paraId="73A1EB70" w14:textId="460BEF62" w:rsidR="00376789" w:rsidRDefault="00075804" w:rsidP="00075804">
      <w:pPr>
        <w:jc w:val="both"/>
      </w:pPr>
      <w:r w:rsidRPr="002A02F0">
        <w:rPr>
          <w:sz w:val="24"/>
          <w:szCs w:val="24"/>
        </w:rPr>
        <w:t>Autonómia és felelősség</w:t>
      </w:r>
      <w:r>
        <w:rPr>
          <w:sz w:val="24"/>
          <w:szCs w:val="24"/>
        </w:rPr>
        <w:t xml:space="preserve">: </w:t>
      </w:r>
      <w:r w:rsidRPr="002A02F0">
        <w:rPr>
          <w:sz w:val="24"/>
          <w:szCs w:val="24"/>
        </w:rPr>
        <w:t>A tantárgy hozzájárul ahhoz, hogy a hallgatók önálló tudományos munkavégzésre és felelős döntéshozatalra legyenek képesek a büntető igazságszolgáltatás eljárási problémáinak megoldásában. A kurzus során fejlődik a hallgatók képessége önálló kutatási projektek tervezésére, vezetésére és megvalósítására, valamint szakmai vitákban egyenrangú vitapartneri szerep betöltésére. A tantárgy ösztönzi a doktoranduszok etikai érzékét és felelősségvállalását az eljárási garanciákat érintő kérdésekben, különös tekintettel a tisztességes eljárás elvének gyakorlati biztosítására.</w:t>
      </w:r>
    </w:p>
    <w:p w14:paraId="7CFBEB23" w14:textId="77777777" w:rsidR="00D673CB" w:rsidRPr="00D673CB" w:rsidRDefault="00D673CB" w:rsidP="00756A74">
      <w:pPr>
        <w:jc w:val="both"/>
        <w:rPr>
          <w:b/>
          <w:bCs/>
        </w:rPr>
      </w:pPr>
      <w:r w:rsidRPr="00D673CB">
        <w:rPr>
          <w:b/>
          <w:bCs/>
        </w:rPr>
        <w:t>Tantárgy oktatója:</w:t>
      </w:r>
    </w:p>
    <w:p w14:paraId="0BF9B085" w14:textId="016A15A5" w:rsidR="00CB39CA" w:rsidRPr="00CB39CA" w:rsidRDefault="00075804" w:rsidP="00CB39CA">
      <w:pPr>
        <w:jc w:val="both"/>
      </w:pPr>
      <w:r>
        <w:t>Dr. Csák Zsolt</w:t>
      </w:r>
    </w:p>
    <w:p w14:paraId="40562814" w14:textId="77777777" w:rsidR="00170DEC" w:rsidRPr="00170DEC" w:rsidRDefault="00170DEC" w:rsidP="00756A74">
      <w:pPr>
        <w:jc w:val="both"/>
      </w:pPr>
      <w:r w:rsidRPr="00170DEC">
        <w:t> </w:t>
      </w:r>
    </w:p>
    <w:p w14:paraId="755D341C" w14:textId="0E8F76B8" w:rsidR="001F749D" w:rsidRPr="001F749D" w:rsidRDefault="001F749D" w:rsidP="00756A74">
      <w:pPr>
        <w:jc w:val="both"/>
      </w:pPr>
    </w:p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E599A"/>
    <w:multiLevelType w:val="multilevel"/>
    <w:tmpl w:val="6A6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B0DEE"/>
    <w:multiLevelType w:val="multilevel"/>
    <w:tmpl w:val="118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A04D1"/>
    <w:multiLevelType w:val="multilevel"/>
    <w:tmpl w:val="C52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BD20F4"/>
    <w:multiLevelType w:val="multilevel"/>
    <w:tmpl w:val="D62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A128BB"/>
    <w:multiLevelType w:val="multilevel"/>
    <w:tmpl w:val="A1B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750D5A"/>
    <w:multiLevelType w:val="multilevel"/>
    <w:tmpl w:val="D2C8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092660"/>
    <w:multiLevelType w:val="multilevel"/>
    <w:tmpl w:val="B452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A42439"/>
    <w:multiLevelType w:val="multilevel"/>
    <w:tmpl w:val="D40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2272A"/>
    <w:multiLevelType w:val="multilevel"/>
    <w:tmpl w:val="4A38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9B0312"/>
    <w:multiLevelType w:val="hybridMultilevel"/>
    <w:tmpl w:val="FACE3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1724F"/>
    <w:multiLevelType w:val="multilevel"/>
    <w:tmpl w:val="2924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804B6D"/>
    <w:multiLevelType w:val="multilevel"/>
    <w:tmpl w:val="9A16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664557"/>
    <w:multiLevelType w:val="multilevel"/>
    <w:tmpl w:val="BD0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D31973"/>
    <w:multiLevelType w:val="multilevel"/>
    <w:tmpl w:val="091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0E47F3"/>
    <w:multiLevelType w:val="multilevel"/>
    <w:tmpl w:val="EE3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A60C48"/>
    <w:multiLevelType w:val="multilevel"/>
    <w:tmpl w:val="8A3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3D0BB8"/>
    <w:multiLevelType w:val="multilevel"/>
    <w:tmpl w:val="8B4A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C14AC3"/>
    <w:multiLevelType w:val="multilevel"/>
    <w:tmpl w:val="9FDE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A00E60"/>
    <w:multiLevelType w:val="multilevel"/>
    <w:tmpl w:val="4930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61370F"/>
    <w:multiLevelType w:val="multilevel"/>
    <w:tmpl w:val="1224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DF7086"/>
    <w:multiLevelType w:val="multilevel"/>
    <w:tmpl w:val="4F3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13"/>
  </w:num>
  <w:num w:numId="2" w16cid:durableId="1220941275">
    <w:abstractNumId w:val="45"/>
  </w:num>
  <w:num w:numId="3" w16cid:durableId="1656912806">
    <w:abstractNumId w:val="27"/>
  </w:num>
  <w:num w:numId="4" w16cid:durableId="2096702254">
    <w:abstractNumId w:val="41"/>
  </w:num>
  <w:num w:numId="5" w16cid:durableId="576288488">
    <w:abstractNumId w:val="38"/>
  </w:num>
  <w:num w:numId="6" w16cid:durableId="1892036830">
    <w:abstractNumId w:val="42"/>
  </w:num>
  <w:num w:numId="7" w16cid:durableId="1647514419">
    <w:abstractNumId w:val="0"/>
  </w:num>
  <w:num w:numId="8" w16cid:durableId="781191227">
    <w:abstractNumId w:val="25"/>
  </w:num>
  <w:num w:numId="9" w16cid:durableId="960107830">
    <w:abstractNumId w:val="39"/>
  </w:num>
  <w:num w:numId="10" w16cid:durableId="1049381860">
    <w:abstractNumId w:val="47"/>
  </w:num>
  <w:num w:numId="11" w16cid:durableId="1798915148">
    <w:abstractNumId w:val="29"/>
  </w:num>
  <w:num w:numId="12" w16cid:durableId="315307678">
    <w:abstractNumId w:val="43"/>
  </w:num>
  <w:num w:numId="13" w16cid:durableId="1027177409">
    <w:abstractNumId w:val="16"/>
  </w:num>
  <w:num w:numId="14" w16cid:durableId="1151992261">
    <w:abstractNumId w:val="44"/>
  </w:num>
  <w:num w:numId="15" w16cid:durableId="725837060">
    <w:abstractNumId w:val="14"/>
  </w:num>
  <w:num w:numId="16" w16cid:durableId="1730837013">
    <w:abstractNumId w:val="12"/>
  </w:num>
  <w:num w:numId="17" w16cid:durableId="1034697080">
    <w:abstractNumId w:val="37"/>
  </w:num>
  <w:num w:numId="18" w16cid:durableId="1904026562">
    <w:abstractNumId w:val="46"/>
  </w:num>
  <w:num w:numId="19" w16cid:durableId="1446270577">
    <w:abstractNumId w:val="5"/>
  </w:num>
  <w:num w:numId="20" w16cid:durableId="1861891320">
    <w:abstractNumId w:val="48"/>
  </w:num>
  <w:num w:numId="21" w16cid:durableId="1868592406">
    <w:abstractNumId w:val="35"/>
  </w:num>
  <w:num w:numId="22" w16cid:durableId="1797991445">
    <w:abstractNumId w:val="15"/>
  </w:num>
  <w:num w:numId="23" w16cid:durableId="1796480508">
    <w:abstractNumId w:val="36"/>
  </w:num>
  <w:num w:numId="24" w16cid:durableId="1161045465">
    <w:abstractNumId w:val="1"/>
  </w:num>
  <w:num w:numId="25" w16cid:durableId="144705036">
    <w:abstractNumId w:val="8"/>
  </w:num>
  <w:num w:numId="26" w16cid:durableId="78522246">
    <w:abstractNumId w:val="23"/>
  </w:num>
  <w:num w:numId="27" w16cid:durableId="1771268613">
    <w:abstractNumId w:val="6"/>
  </w:num>
  <w:num w:numId="28" w16cid:durableId="245968587">
    <w:abstractNumId w:val="19"/>
  </w:num>
  <w:num w:numId="29" w16cid:durableId="1807234548">
    <w:abstractNumId w:val="9"/>
  </w:num>
  <w:num w:numId="30" w16cid:durableId="1211500391">
    <w:abstractNumId w:val="4"/>
  </w:num>
  <w:num w:numId="31" w16cid:durableId="1561941924">
    <w:abstractNumId w:val="26"/>
  </w:num>
  <w:num w:numId="32" w16cid:durableId="1179271847">
    <w:abstractNumId w:val="2"/>
  </w:num>
  <w:num w:numId="33" w16cid:durableId="490828376">
    <w:abstractNumId w:val="28"/>
  </w:num>
  <w:num w:numId="34" w16cid:durableId="2143771063">
    <w:abstractNumId w:val="24"/>
  </w:num>
  <w:num w:numId="35" w16cid:durableId="1794246874">
    <w:abstractNumId w:val="7"/>
  </w:num>
  <w:num w:numId="36" w16cid:durableId="860628597">
    <w:abstractNumId w:val="31"/>
  </w:num>
  <w:num w:numId="37" w16cid:durableId="1396708457">
    <w:abstractNumId w:val="21"/>
  </w:num>
  <w:num w:numId="38" w16cid:durableId="1054082464">
    <w:abstractNumId w:val="30"/>
  </w:num>
  <w:num w:numId="39" w16cid:durableId="1563130263">
    <w:abstractNumId w:val="10"/>
  </w:num>
  <w:num w:numId="40" w16cid:durableId="1728070413">
    <w:abstractNumId w:val="34"/>
  </w:num>
  <w:num w:numId="41" w16cid:durableId="204102576">
    <w:abstractNumId w:val="11"/>
  </w:num>
  <w:num w:numId="42" w16cid:durableId="141316995">
    <w:abstractNumId w:val="32"/>
  </w:num>
  <w:num w:numId="43" w16cid:durableId="572859724">
    <w:abstractNumId w:val="18"/>
  </w:num>
  <w:num w:numId="44" w16cid:durableId="1846284728">
    <w:abstractNumId w:val="3"/>
  </w:num>
  <w:num w:numId="45" w16cid:durableId="1765682102">
    <w:abstractNumId w:val="17"/>
  </w:num>
  <w:num w:numId="46" w16cid:durableId="1098258342">
    <w:abstractNumId w:val="22"/>
  </w:num>
  <w:num w:numId="47" w16cid:durableId="933320100">
    <w:abstractNumId w:val="40"/>
  </w:num>
  <w:num w:numId="48" w16cid:durableId="756173123">
    <w:abstractNumId w:val="33"/>
  </w:num>
  <w:num w:numId="49" w16cid:durableId="19286165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075804"/>
    <w:rsid w:val="000C46B3"/>
    <w:rsid w:val="00170DEC"/>
    <w:rsid w:val="001A7591"/>
    <w:rsid w:val="001F749D"/>
    <w:rsid w:val="0037250D"/>
    <w:rsid w:val="00376789"/>
    <w:rsid w:val="003B0B39"/>
    <w:rsid w:val="004C1325"/>
    <w:rsid w:val="005246ED"/>
    <w:rsid w:val="00554549"/>
    <w:rsid w:val="006219D1"/>
    <w:rsid w:val="006F2B8A"/>
    <w:rsid w:val="00756A74"/>
    <w:rsid w:val="007C10A8"/>
    <w:rsid w:val="008E448B"/>
    <w:rsid w:val="00A241BA"/>
    <w:rsid w:val="00A9567A"/>
    <w:rsid w:val="00B346E6"/>
    <w:rsid w:val="00BC001C"/>
    <w:rsid w:val="00BC0818"/>
    <w:rsid w:val="00C62DAD"/>
    <w:rsid w:val="00CB39CA"/>
    <w:rsid w:val="00D673CB"/>
    <w:rsid w:val="00D747BF"/>
    <w:rsid w:val="00D77745"/>
    <w:rsid w:val="00EB5DBD"/>
    <w:rsid w:val="00F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  <w:style w:type="table" w:styleId="Rcsostblzat">
    <w:name w:val="Table Grid"/>
    <w:basedOn w:val="Normltblzat"/>
    <w:rsid w:val="000758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3397349" TargetMode="External"/><Relationship Id="rId3" Type="http://schemas.openxmlformats.org/officeDocument/2006/relationships/styles" Target="styles.xml"/><Relationship Id="rId7" Type="http://schemas.openxmlformats.org/officeDocument/2006/relationships/hyperlink" Target="https://kuria-birosag.hu/hu/kuriai-dontesek/1-dr-varga-zs-andras-tisztesseges-eljarashoz-valo-jog-birosagi-aspektusbo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ria-birosag.hu/hu/kuriai-dontesek/csak-zsolt-czebe-andras-tavollevo-terhelttel-szembeni-eljaras-alapjog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9062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2</cp:revision>
  <dcterms:created xsi:type="dcterms:W3CDTF">2026-03-04T12:31:00Z</dcterms:created>
  <dcterms:modified xsi:type="dcterms:W3CDTF">2026-03-04T12:31:00Z</dcterms:modified>
</cp:coreProperties>
</file>