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C126" w14:textId="77777777" w:rsidR="00564B61" w:rsidRPr="00564B61" w:rsidRDefault="00564B61" w:rsidP="007B76DB">
      <w:pPr>
        <w:jc w:val="both"/>
        <w:rPr>
          <w:b/>
          <w:bCs/>
        </w:rPr>
      </w:pPr>
      <w:r w:rsidRPr="00564B61">
        <w:rPr>
          <w:b/>
          <w:bCs/>
        </w:rPr>
        <w:t>Adózás az Európai Unióban (JDDO340XA0) </w:t>
      </w:r>
    </w:p>
    <w:p w14:paraId="35C59CE6" w14:textId="77777777" w:rsidR="00D673CB" w:rsidRPr="003B0B39" w:rsidRDefault="00D673CB" w:rsidP="007B76DB">
      <w:pPr>
        <w:jc w:val="both"/>
        <w:rPr>
          <w:b/>
          <w:bCs/>
        </w:rPr>
      </w:pPr>
      <w:r w:rsidRPr="003B0B39">
        <w:rPr>
          <w:b/>
          <w:bCs/>
        </w:rPr>
        <w:t>A tantárgy céljának rövid ismertetése:</w:t>
      </w:r>
    </w:p>
    <w:p w14:paraId="21D699E1" w14:textId="01ADEE80" w:rsidR="00564B61" w:rsidRPr="00564B61" w:rsidRDefault="00564B61" w:rsidP="007B76DB">
      <w:pPr>
        <w:jc w:val="both"/>
      </w:pPr>
      <w:r w:rsidRPr="00564B61">
        <w:t>A tantárgy az Európai Unió működéséről szóló szerződés rendelkezésein keresztül vizsgálja az adóharmonizáció elemeit, kitérve arra, hogy az adóharmonizáció fő célja annak biztosítása, hogy az egyes nemzeti adópolitikák ne gyakoroljanak kedvezőtlen hatást a többi tagállam adórendszerére és ezen keresztül az unió egységes belső piacára. </w:t>
      </w:r>
    </w:p>
    <w:p w14:paraId="687B7A9E" w14:textId="77777777" w:rsidR="00D673CB" w:rsidRPr="003B0B39" w:rsidRDefault="00D673CB" w:rsidP="007B76DB">
      <w:pPr>
        <w:jc w:val="both"/>
        <w:rPr>
          <w:b/>
          <w:bCs/>
        </w:rPr>
      </w:pPr>
      <w:r w:rsidRPr="003B0B39">
        <w:rPr>
          <w:b/>
          <w:bCs/>
        </w:rPr>
        <w:t xml:space="preserve">Elsajátítandó gyakorlati ismeretanyag: </w:t>
      </w:r>
    </w:p>
    <w:p w14:paraId="799E065D" w14:textId="77777777" w:rsidR="00564B61" w:rsidRPr="00564B61" w:rsidRDefault="00564B61" w:rsidP="007B76DB">
      <w:pPr>
        <w:jc w:val="both"/>
      </w:pPr>
      <w:r w:rsidRPr="00564B61">
        <w:t xml:space="preserve">Mivel az adóharmonizációt szolgáló egyes uniós szabályok az uniós tagállamok és Magyarország számára is nagy jelentőséggel bírnak olyannyira, hogy az egyes Európai Unió Bírósága által meghozott döntések nemcsak az országhatáron belül, de azon kívül is képesek gazdasági mechanizmusokat elindítani. Az egységes belső piaccal rendelkező Európai Unió számára ezért vált rendkívüli jelentőségűvé az adóharmonizációs célkitűzés, valamint annak eredményei. Mindezen keretrendszeren belül a tantárgy számos olyan jogesetet </w:t>
      </w:r>
      <w:proofErr w:type="spellStart"/>
      <w:r w:rsidRPr="00564B61">
        <w:t>dolgoz</w:t>
      </w:r>
      <w:proofErr w:type="spellEnd"/>
      <w:r w:rsidRPr="00564B61">
        <w:t xml:space="preserve"> fel, amelyekben Európai Unió Bírósága jogfejlesztő szerepet betöltve, ma már precedensnek számító döntéseket hozott. Például kitérünk – többek között – a C-276/18. </w:t>
      </w:r>
      <w:proofErr w:type="spellStart"/>
      <w:r w:rsidRPr="00564B61">
        <w:t>Krakvet</w:t>
      </w:r>
      <w:proofErr w:type="spellEnd"/>
      <w:r w:rsidRPr="00564B61">
        <w:t xml:space="preserve"> </w:t>
      </w:r>
      <w:proofErr w:type="spellStart"/>
      <w:r w:rsidRPr="00564B61">
        <w:t>Marek</w:t>
      </w:r>
      <w:proofErr w:type="spellEnd"/>
      <w:r w:rsidRPr="00564B61">
        <w:t xml:space="preserve"> </w:t>
      </w:r>
      <w:proofErr w:type="spellStart"/>
      <w:r w:rsidRPr="00564B61">
        <w:t>Batko</w:t>
      </w:r>
      <w:proofErr w:type="spellEnd"/>
      <w:r w:rsidRPr="00564B61">
        <w:t xml:space="preserve"> ügyben hozott ítéletre, illetve a C-419/14. </w:t>
      </w:r>
      <w:proofErr w:type="spellStart"/>
      <w:r w:rsidRPr="00564B61">
        <w:t>WebMindlicenses</w:t>
      </w:r>
      <w:proofErr w:type="spellEnd"/>
      <w:r w:rsidRPr="00564B61">
        <w:t xml:space="preserve"> Kft. ügyben hozott ítéletre. </w:t>
      </w:r>
    </w:p>
    <w:p w14:paraId="778E292C" w14:textId="0D49693F" w:rsidR="00D673CB" w:rsidRPr="003B0B39" w:rsidRDefault="00D673CB" w:rsidP="007B76DB">
      <w:pPr>
        <w:jc w:val="both"/>
        <w:rPr>
          <w:b/>
          <w:bCs/>
        </w:rPr>
      </w:pPr>
      <w:r w:rsidRPr="003B0B39">
        <w:rPr>
          <w:b/>
          <w:bCs/>
        </w:rPr>
        <w:t>Elsajátítandó elméleti ismeretanyag:</w:t>
      </w:r>
    </w:p>
    <w:p w14:paraId="19263BA4" w14:textId="77777777" w:rsidR="00564B61" w:rsidRPr="00564B61" w:rsidRDefault="00564B61" w:rsidP="007B76DB">
      <w:pPr>
        <w:jc w:val="both"/>
      </w:pPr>
      <w:r w:rsidRPr="00564B61">
        <w:t>Az adóharmonizáció jelentősége az Európai Uniót érintően elsősorban abban rejlik, hogy segíti a közös piac zavartalan működését, csökkenti a tisztességtelen adóversenyt, és támogatja az uniós gazdaságpolitikai célokat. Az adóharmonizáció célja, hogy kiegyensúlyozottabb, versenyképesebb és igazságosabb gazdasági környezetet teremtsen az Európai Unióban. Bár a teljes harmonizáció politikailag érzékeny témakör, és több adónem tekintetében még nem valósult meg, azonban bizonyos területeken (pl. ÁFA, adóelkerülés elleni szabályok) már jelentős előrelépés történt. </w:t>
      </w:r>
    </w:p>
    <w:p w14:paraId="05DB11AF" w14:textId="08A3526F" w:rsidR="00D673CB" w:rsidRPr="003B0B39" w:rsidRDefault="00376789" w:rsidP="007B76DB">
      <w:pPr>
        <w:jc w:val="both"/>
        <w:rPr>
          <w:b/>
          <w:bCs/>
        </w:rPr>
      </w:pPr>
      <w:r w:rsidRPr="00376789">
        <w:t> </w:t>
      </w:r>
      <w:r w:rsidR="00D673CB" w:rsidRPr="003B0B39">
        <w:rPr>
          <w:b/>
          <w:bCs/>
        </w:rPr>
        <w:t>Az értékelés kritériuma:</w:t>
      </w:r>
    </w:p>
    <w:p w14:paraId="490CC258" w14:textId="63DD4209" w:rsidR="00564B61" w:rsidRPr="00564B61" w:rsidRDefault="00564B61" w:rsidP="007B76DB">
      <w:pPr>
        <w:jc w:val="both"/>
      </w:pPr>
      <w:r w:rsidRPr="00564B61">
        <w:rPr>
          <w:b/>
          <w:bCs/>
          <w:u w:val="single"/>
        </w:rPr>
        <w:t xml:space="preserve">Részvétel: </w:t>
      </w:r>
      <w:r w:rsidRPr="00564B61">
        <w:rPr>
          <w:i/>
          <w:iCs/>
        </w:rPr>
        <w:t>Az előadásokon való részvétel kötelező. </w:t>
      </w:r>
      <w:r w:rsidRPr="00564B61">
        <w:t> </w:t>
      </w:r>
    </w:p>
    <w:p w14:paraId="09887CFE" w14:textId="77777777" w:rsidR="00564B61" w:rsidRPr="00564B61" w:rsidRDefault="00564B61" w:rsidP="007B76DB">
      <w:pPr>
        <w:jc w:val="both"/>
      </w:pPr>
      <w:r w:rsidRPr="00564B61">
        <w:rPr>
          <w:b/>
          <w:bCs/>
          <w:u w:val="single"/>
        </w:rPr>
        <w:t xml:space="preserve">Szóbeli vizsga, értékelés: </w:t>
      </w:r>
      <w:r w:rsidRPr="00564B61">
        <w:t>1 -59% = elégtelen; 60-69%= elégséges; 70-79%= közepes; 80-89%= jó; 90-100%= jeles </w:t>
      </w:r>
    </w:p>
    <w:p w14:paraId="34762160" w14:textId="542FD9A4" w:rsidR="00376789" w:rsidRPr="00D673CB" w:rsidRDefault="00376789" w:rsidP="007B76DB">
      <w:pPr>
        <w:jc w:val="both"/>
      </w:pPr>
    </w:p>
    <w:p w14:paraId="66B99562" w14:textId="77777777" w:rsidR="00D673CB" w:rsidRPr="003B0B39" w:rsidRDefault="00D673CB" w:rsidP="007B76DB">
      <w:pPr>
        <w:jc w:val="both"/>
        <w:rPr>
          <w:b/>
          <w:bCs/>
        </w:rPr>
      </w:pPr>
      <w:r w:rsidRPr="003B0B39">
        <w:rPr>
          <w:b/>
          <w:bCs/>
        </w:rPr>
        <w:t>Az alkalmazott oktatási módszerek:</w:t>
      </w:r>
    </w:p>
    <w:p w14:paraId="26FDFEDA" w14:textId="7C9E2D10" w:rsidR="00564B61" w:rsidRPr="00564B61" w:rsidRDefault="00564B61" w:rsidP="007B76DB">
      <w:pPr>
        <w:jc w:val="both"/>
      </w:pPr>
      <w:r w:rsidRPr="00564B61">
        <w:t>tanári előadás – frontális munka, megbeszélés – csoportmunka, megosztás (az egyes jogesetek feldolgozása során) </w:t>
      </w:r>
    </w:p>
    <w:p w14:paraId="3C804C69" w14:textId="7926CB8E" w:rsidR="00D673CB" w:rsidRPr="003B0B39" w:rsidRDefault="00D673CB" w:rsidP="007B76DB">
      <w:pPr>
        <w:jc w:val="both"/>
        <w:rPr>
          <w:b/>
          <w:bCs/>
        </w:rPr>
      </w:pPr>
      <w:r w:rsidRPr="003B0B39">
        <w:rPr>
          <w:b/>
          <w:bCs/>
        </w:rPr>
        <w:t>Kötelező irodalom:</w:t>
      </w:r>
    </w:p>
    <w:p w14:paraId="617038F3" w14:textId="05F58CD0" w:rsidR="00564B61" w:rsidRPr="00564B61" w:rsidRDefault="00564B61" w:rsidP="007B76DB">
      <w:pPr>
        <w:jc w:val="both"/>
      </w:pPr>
      <w:r w:rsidRPr="00564B61">
        <w:t xml:space="preserve">Erdős Gabriella, Földes Balázs, </w:t>
      </w:r>
      <w:proofErr w:type="spellStart"/>
      <w:r w:rsidRPr="00564B61">
        <w:t>Őry</w:t>
      </w:r>
      <w:proofErr w:type="spellEnd"/>
      <w:r w:rsidRPr="00564B61">
        <w:t xml:space="preserve"> Tamás: Az Európai Unió adójoga. </w:t>
      </w:r>
      <w:proofErr w:type="spellStart"/>
      <w:r w:rsidRPr="00564B61">
        <w:t>Wolters</w:t>
      </w:r>
      <w:proofErr w:type="spellEnd"/>
      <w:r w:rsidRPr="00564B61">
        <w:t xml:space="preserve"> </w:t>
      </w:r>
      <w:proofErr w:type="spellStart"/>
      <w:r w:rsidRPr="00564B61">
        <w:t>Kluwer</w:t>
      </w:r>
      <w:proofErr w:type="spellEnd"/>
      <w:r w:rsidRPr="00564B61">
        <w:t>, Budapest, 2021. </w:t>
      </w:r>
    </w:p>
    <w:p w14:paraId="2945AEDA" w14:textId="77777777" w:rsidR="00564B61" w:rsidRPr="00564B61" w:rsidRDefault="00564B61" w:rsidP="007B76DB">
      <w:pPr>
        <w:jc w:val="both"/>
      </w:pPr>
      <w:r w:rsidRPr="00564B61">
        <w:t xml:space="preserve">Dr. Szabó Ildikó: Az Európai Bíróság ítélete a </w:t>
      </w:r>
      <w:proofErr w:type="spellStart"/>
      <w:r w:rsidRPr="00564B61">
        <w:t>WebMindLicenses</w:t>
      </w:r>
      <w:proofErr w:type="spellEnd"/>
      <w:r w:rsidRPr="00564B61">
        <w:t xml:space="preserve"> Kft. ügyében. ELJÁRÁSJOGI SZEMLE 1 pp. 30-38, 9 p. (2016) </w:t>
      </w:r>
    </w:p>
    <w:p w14:paraId="1A6EF21C" w14:textId="77777777" w:rsidR="00564B61" w:rsidRDefault="00564B61" w:rsidP="007B76DB">
      <w:pPr>
        <w:jc w:val="both"/>
        <w:rPr>
          <w:b/>
          <w:bCs/>
        </w:rPr>
      </w:pPr>
    </w:p>
    <w:p w14:paraId="3018F48B" w14:textId="4FB97FF6" w:rsidR="00D673CB" w:rsidRPr="003B0B39" w:rsidRDefault="00D673CB" w:rsidP="007B76DB">
      <w:pPr>
        <w:jc w:val="both"/>
        <w:rPr>
          <w:b/>
          <w:bCs/>
        </w:rPr>
      </w:pPr>
      <w:r w:rsidRPr="003B0B39">
        <w:rPr>
          <w:b/>
          <w:bCs/>
        </w:rPr>
        <w:t>Ajánlott irodalom:</w:t>
      </w:r>
    </w:p>
    <w:p w14:paraId="14C731B9" w14:textId="3827AD67" w:rsidR="00564B61" w:rsidRPr="00564B61" w:rsidRDefault="00564B61" w:rsidP="007B76DB">
      <w:pPr>
        <w:jc w:val="both"/>
      </w:pPr>
      <w:r w:rsidRPr="00564B61">
        <w:lastRenderedPageBreak/>
        <w:t xml:space="preserve">Dr. Békés Balázs: Közvetlen adózás az Európai Unióban. A tagállami jogok harmonizációja és versenye. </w:t>
      </w:r>
      <w:proofErr w:type="spellStart"/>
      <w:r w:rsidRPr="00564B61">
        <w:t>Wolters</w:t>
      </w:r>
      <w:proofErr w:type="spellEnd"/>
      <w:r w:rsidRPr="00564B61">
        <w:t xml:space="preserve"> </w:t>
      </w:r>
      <w:proofErr w:type="spellStart"/>
      <w:r w:rsidRPr="00564B61">
        <w:t>Kluwer</w:t>
      </w:r>
      <w:proofErr w:type="spellEnd"/>
      <w:r w:rsidRPr="00564B61">
        <w:t>. Budapest, 2019. </w:t>
      </w:r>
    </w:p>
    <w:p w14:paraId="38CB399C" w14:textId="77777777" w:rsidR="00564B61" w:rsidRPr="00564B61" w:rsidRDefault="00564B61" w:rsidP="007B76DB">
      <w:pPr>
        <w:jc w:val="both"/>
      </w:pPr>
      <w:proofErr w:type="spellStart"/>
      <w:r w:rsidRPr="00564B61">
        <w:t>Ferkelt</w:t>
      </w:r>
      <w:proofErr w:type="spellEnd"/>
      <w:r w:rsidRPr="00564B61">
        <w:t xml:space="preserve"> Balázs: Az európai integráció legnagyobb sikere: a gazdasági integráció megvalósulása az Európai Unióban. Hitelintézeti Szemle, 22. évf. 1. szám, 2023. március, 161–165. o. </w:t>
      </w:r>
    </w:p>
    <w:p w14:paraId="676DE060" w14:textId="77777777" w:rsidR="00564B61" w:rsidRPr="00564B61" w:rsidRDefault="00564B61" w:rsidP="007B76DB">
      <w:pPr>
        <w:jc w:val="both"/>
      </w:pPr>
      <w:r w:rsidRPr="00564B61">
        <w:t>Erdős Éva: Fenntarthatóság és adókikerülés kapcsolata az európai adóharmonizáció legújabb tendenciáinak tükrében. Miskolci Jogi Szemle, 2021. (16. évf.) 5. sz. 113-127. old. </w:t>
      </w:r>
    </w:p>
    <w:p w14:paraId="7D45A062" w14:textId="77777777" w:rsidR="00564B61" w:rsidRPr="00564B61" w:rsidRDefault="00564B61" w:rsidP="007B76DB">
      <w:pPr>
        <w:jc w:val="both"/>
      </w:pPr>
      <w:r w:rsidRPr="00564B61">
        <w:t xml:space="preserve">Deák Dániel: Környezeti adóharmonizáció és versenykonform szabályozás az Európai Unió Bírósága gyakorlatának fényében. Pro </w:t>
      </w:r>
      <w:proofErr w:type="spellStart"/>
      <w:proofErr w:type="gramStart"/>
      <w:r w:rsidRPr="00564B61">
        <w:t>futuro</w:t>
      </w:r>
      <w:proofErr w:type="spellEnd"/>
      <w:r w:rsidRPr="00564B61">
        <w:t xml:space="preserve"> :</w:t>
      </w:r>
      <w:proofErr w:type="gramEnd"/>
      <w:r w:rsidRPr="00564B61">
        <w:t xml:space="preserve"> a jövő nemzedékek joga, 2017. (7. évf.) 1. sz. 95-117. old. </w:t>
      </w:r>
    </w:p>
    <w:p w14:paraId="7326C3D0" w14:textId="77777777" w:rsidR="00564B61" w:rsidRPr="00564B61" w:rsidRDefault="00564B61" w:rsidP="007B76DB">
      <w:pPr>
        <w:jc w:val="both"/>
      </w:pPr>
      <w:proofErr w:type="spellStart"/>
      <w:r w:rsidRPr="00564B61">
        <w:t>Őry</w:t>
      </w:r>
      <w:proofErr w:type="spellEnd"/>
      <w:r w:rsidRPr="00564B61">
        <w:t xml:space="preserve"> Tamás: Adóharmonizáció az Európai Unióban - I. rész. Adó, 2015. (29. évf.) 15. sz. 45-51. old. </w:t>
      </w:r>
    </w:p>
    <w:p w14:paraId="3132F847" w14:textId="77777777" w:rsidR="00564B61" w:rsidRPr="00564B61" w:rsidRDefault="00564B61" w:rsidP="007B76DB">
      <w:pPr>
        <w:jc w:val="both"/>
      </w:pPr>
      <w:proofErr w:type="spellStart"/>
      <w:r w:rsidRPr="00564B61">
        <w:t>Őry</w:t>
      </w:r>
      <w:proofErr w:type="spellEnd"/>
      <w:r w:rsidRPr="00564B61">
        <w:t xml:space="preserve"> Tamás: Adóharmonizáció az Európai Unióban - II. rész. Adó, 2016. (30. évf.) 3. sz. 43-49. old. </w:t>
      </w:r>
    </w:p>
    <w:p w14:paraId="0B6B7D0F" w14:textId="77777777" w:rsidR="00564B61" w:rsidRPr="00564B61" w:rsidRDefault="00564B61" w:rsidP="007B76DB">
      <w:pPr>
        <w:jc w:val="both"/>
      </w:pPr>
      <w:proofErr w:type="spellStart"/>
      <w:r w:rsidRPr="00564B61">
        <w:t>Szilovics</w:t>
      </w:r>
      <w:proofErr w:type="spellEnd"/>
      <w:r w:rsidRPr="00564B61">
        <w:t xml:space="preserve"> Csaba: Az Európai Unió adójogának jellegzetességei és az adóharmonizáció folyamata. Jura, 2014. (20. évf.) 2. sz. 150-155. old. </w:t>
      </w:r>
    </w:p>
    <w:p w14:paraId="3322CA50" w14:textId="35A963F1" w:rsidR="001F749D" w:rsidRPr="001F749D" w:rsidRDefault="001F749D" w:rsidP="007B76DB">
      <w:pPr>
        <w:jc w:val="both"/>
      </w:pPr>
      <w:r w:rsidRPr="001F749D">
        <w:t> </w:t>
      </w:r>
    </w:p>
    <w:p w14:paraId="0D09B085" w14:textId="77777777" w:rsidR="00D673CB" w:rsidRPr="003B0B39" w:rsidRDefault="00D673CB" w:rsidP="007B76DB">
      <w:pPr>
        <w:jc w:val="both"/>
        <w:rPr>
          <w:b/>
          <w:bCs/>
        </w:rPr>
      </w:pPr>
      <w:r w:rsidRPr="003B0B39">
        <w:rPr>
          <w:b/>
          <w:bCs/>
        </w:rPr>
        <w:t>A tantárgy hozzájárulása a Képzési és kimeneti követelményekben meghatározott kompetenciaelemek elsajátításához:</w:t>
      </w:r>
    </w:p>
    <w:p w14:paraId="260C1CC6" w14:textId="653417D7" w:rsidR="00564B61" w:rsidRPr="00564B61" w:rsidRDefault="00564B61" w:rsidP="007B76DB">
      <w:pPr>
        <w:jc w:val="both"/>
      </w:pPr>
      <w:r w:rsidRPr="00564B61">
        <w:t>A hallgató megismeri az adózás alapvető struktúráját az Európai Unióban, és csoportosítani tudja az egyes adónemeket, adókötelezettségeket. </w:t>
      </w:r>
    </w:p>
    <w:p w14:paraId="39B8ACD3" w14:textId="77777777" w:rsidR="00564B61" w:rsidRPr="00564B61" w:rsidRDefault="00564B61" w:rsidP="007B76DB">
      <w:pPr>
        <w:jc w:val="both"/>
      </w:pPr>
      <w:r w:rsidRPr="00564B61">
        <w:t>A hallgató elemezni tudja az egyes országok adószerkezetét az Európai Unió által meghatározott keretrendszerben. </w:t>
      </w:r>
    </w:p>
    <w:p w14:paraId="7CCAECC5" w14:textId="77777777" w:rsidR="00564B61" w:rsidRPr="00564B61" w:rsidRDefault="00564B61" w:rsidP="007B76DB">
      <w:pPr>
        <w:jc w:val="both"/>
      </w:pPr>
      <w:r w:rsidRPr="00564B61">
        <w:t>A hallgató meg tudja határozni a hazai adórendszer főbb jellemvonásait, és párhuzamos, illetve eltérő karaktereket tud bemutatni az Európai Unió többi tagállamának adórendszeréhez képest. </w:t>
      </w:r>
    </w:p>
    <w:p w14:paraId="0FEA44C5" w14:textId="77777777" w:rsidR="00564B61" w:rsidRPr="00564B61" w:rsidRDefault="00564B61" w:rsidP="007B76DB">
      <w:pPr>
        <w:jc w:val="both"/>
      </w:pPr>
      <w:r w:rsidRPr="00564B61">
        <w:t>A hallgató képes autonóm módon, különböző szempontokat is megjelölve elemezni az adórendszert érintő, az Európai Unió Bírósága előtt lévő jogeseteket. </w:t>
      </w:r>
    </w:p>
    <w:p w14:paraId="73A1EB70" w14:textId="295CEF24" w:rsidR="00376789" w:rsidRDefault="00376789" w:rsidP="007B76DB">
      <w:pPr>
        <w:jc w:val="both"/>
      </w:pPr>
    </w:p>
    <w:p w14:paraId="7CFBEB23" w14:textId="77777777" w:rsidR="00D673CB" w:rsidRPr="00D673CB" w:rsidRDefault="00D673CB" w:rsidP="007B76DB">
      <w:pPr>
        <w:jc w:val="both"/>
        <w:rPr>
          <w:b/>
          <w:bCs/>
        </w:rPr>
      </w:pPr>
      <w:r w:rsidRPr="00D673CB">
        <w:rPr>
          <w:b/>
          <w:bCs/>
        </w:rPr>
        <w:t>Tantárgy oktatója:</w:t>
      </w:r>
    </w:p>
    <w:p w14:paraId="2636175A" w14:textId="1A8381A1" w:rsidR="00564B61" w:rsidRPr="00564B61" w:rsidRDefault="00564B61" w:rsidP="007B76DB">
      <w:pPr>
        <w:jc w:val="both"/>
      </w:pPr>
      <w:r w:rsidRPr="00564B61">
        <w:t>Dr. Szabó Ildikó PhD e. adjunktus </w:t>
      </w:r>
    </w:p>
    <w:p w14:paraId="755D341C" w14:textId="042A937E" w:rsidR="001F749D" w:rsidRPr="001F749D" w:rsidRDefault="001F749D" w:rsidP="007B76DB">
      <w:pPr>
        <w:jc w:val="both"/>
      </w:pPr>
    </w:p>
    <w:sectPr w:rsidR="001F749D" w:rsidRPr="001F7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A71"/>
    <w:multiLevelType w:val="multilevel"/>
    <w:tmpl w:val="9CA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6065"/>
    <w:multiLevelType w:val="multilevel"/>
    <w:tmpl w:val="B10A4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503B"/>
    <w:multiLevelType w:val="multilevel"/>
    <w:tmpl w:val="6F661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31"/>
    <w:multiLevelType w:val="multilevel"/>
    <w:tmpl w:val="C18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101FC"/>
    <w:multiLevelType w:val="multilevel"/>
    <w:tmpl w:val="A4C6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224E9"/>
    <w:multiLevelType w:val="multilevel"/>
    <w:tmpl w:val="81041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330D18"/>
    <w:multiLevelType w:val="multilevel"/>
    <w:tmpl w:val="EDB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1641B"/>
    <w:multiLevelType w:val="multilevel"/>
    <w:tmpl w:val="330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E1F61"/>
    <w:multiLevelType w:val="multilevel"/>
    <w:tmpl w:val="205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A5BF6"/>
    <w:multiLevelType w:val="multilevel"/>
    <w:tmpl w:val="841A6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F798D"/>
    <w:multiLevelType w:val="multilevel"/>
    <w:tmpl w:val="DB8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E1E98"/>
    <w:multiLevelType w:val="multilevel"/>
    <w:tmpl w:val="C59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E38C1"/>
    <w:multiLevelType w:val="multilevel"/>
    <w:tmpl w:val="FFC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56468"/>
    <w:multiLevelType w:val="multilevel"/>
    <w:tmpl w:val="75E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4083D"/>
    <w:multiLevelType w:val="multilevel"/>
    <w:tmpl w:val="9AEA9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22774"/>
    <w:multiLevelType w:val="multilevel"/>
    <w:tmpl w:val="B14E8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146687"/>
    <w:multiLevelType w:val="multilevel"/>
    <w:tmpl w:val="194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E2D45"/>
    <w:multiLevelType w:val="multilevel"/>
    <w:tmpl w:val="E132B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567174"/>
    <w:multiLevelType w:val="multilevel"/>
    <w:tmpl w:val="594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F46E6"/>
    <w:multiLevelType w:val="multilevel"/>
    <w:tmpl w:val="4936F5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317469">
    <w:abstractNumId w:val="3"/>
  </w:num>
  <w:num w:numId="2" w16cid:durableId="1220941275">
    <w:abstractNumId w:val="16"/>
  </w:num>
  <w:num w:numId="3" w16cid:durableId="1656912806">
    <w:abstractNumId w:val="7"/>
  </w:num>
  <w:num w:numId="4" w16cid:durableId="2096702254">
    <w:abstractNumId w:val="12"/>
  </w:num>
  <w:num w:numId="5" w16cid:durableId="576288488">
    <w:abstractNumId w:val="10"/>
  </w:num>
  <w:num w:numId="6" w16cid:durableId="1892036830">
    <w:abstractNumId w:val="13"/>
  </w:num>
  <w:num w:numId="7" w16cid:durableId="1647514419">
    <w:abstractNumId w:val="0"/>
  </w:num>
  <w:num w:numId="8" w16cid:durableId="781191227">
    <w:abstractNumId w:val="6"/>
  </w:num>
  <w:num w:numId="9" w16cid:durableId="960107830">
    <w:abstractNumId w:val="11"/>
  </w:num>
  <w:num w:numId="10" w16cid:durableId="1049381860">
    <w:abstractNumId w:val="18"/>
  </w:num>
  <w:num w:numId="11" w16cid:durableId="1798915148">
    <w:abstractNumId w:val="8"/>
  </w:num>
  <w:num w:numId="12" w16cid:durableId="315307678">
    <w:abstractNumId w:val="14"/>
  </w:num>
  <w:num w:numId="13" w16cid:durableId="1027177409">
    <w:abstractNumId w:val="5"/>
  </w:num>
  <w:num w:numId="14" w16cid:durableId="1151992261">
    <w:abstractNumId w:val="15"/>
  </w:num>
  <w:num w:numId="15" w16cid:durableId="725837060">
    <w:abstractNumId w:val="4"/>
  </w:num>
  <w:num w:numId="16" w16cid:durableId="1730837013">
    <w:abstractNumId w:val="2"/>
  </w:num>
  <w:num w:numId="17" w16cid:durableId="1034697080">
    <w:abstractNumId w:val="9"/>
  </w:num>
  <w:num w:numId="18" w16cid:durableId="1904026562">
    <w:abstractNumId w:val="17"/>
  </w:num>
  <w:num w:numId="19" w16cid:durableId="1446270577">
    <w:abstractNumId w:val="1"/>
  </w:num>
  <w:num w:numId="20" w16cid:durableId="1861891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9"/>
    <w:rsid w:val="00012B94"/>
    <w:rsid w:val="000A622E"/>
    <w:rsid w:val="001F749D"/>
    <w:rsid w:val="00376789"/>
    <w:rsid w:val="003B0B39"/>
    <w:rsid w:val="004C1325"/>
    <w:rsid w:val="00564B61"/>
    <w:rsid w:val="006219D1"/>
    <w:rsid w:val="007B76DB"/>
    <w:rsid w:val="00A241BA"/>
    <w:rsid w:val="00C62DAD"/>
    <w:rsid w:val="00D673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007A"/>
  <w15:chartTrackingRefBased/>
  <w15:docId w15:val="{8FE9E179-D319-414F-B962-D048649C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7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67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67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67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67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67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67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67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67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67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67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67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67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67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67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67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6789"/>
    <w:rPr>
      <w:rFonts w:eastAsiaTheme="majorEastAsia" w:cstheme="majorBidi"/>
      <w:color w:val="272727" w:themeColor="text1" w:themeTint="D8"/>
    </w:rPr>
  </w:style>
  <w:style w:type="paragraph" w:styleId="Cm">
    <w:name w:val="Title"/>
    <w:basedOn w:val="Norml"/>
    <w:next w:val="Norml"/>
    <w:link w:val="CmChar"/>
    <w:uiPriority w:val="10"/>
    <w:qFormat/>
    <w:rsid w:val="0037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67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67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67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6789"/>
    <w:pPr>
      <w:spacing w:before="160"/>
      <w:jc w:val="center"/>
    </w:pPr>
    <w:rPr>
      <w:i/>
      <w:iCs/>
      <w:color w:val="404040" w:themeColor="text1" w:themeTint="BF"/>
    </w:rPr>
  </w:style>
  <w:style w:type="character" w:customStyle="1" w:styleId="IdzetChar">
    <w:name w:val="Idézet Char"/>
    <w:basedOn w:val="Bekezdsalapbettpusa"/>
    <w:link w:val="Idzet"/>
    <w:uiPriority w:val="29"/>
    <w:rsid w:val="00376789"/>
    <w:rPr>
      <w:i/>
      <w:iCs/>
      <w:color w:val="404040" w:themeColor="text1" w:themeTint="BF"/>
    </w:rPr>
  </w:style>
  <w:style w:type="paragraph" w:styleId="Listaszerbekezds">
    <w:name w:val="List Paragraph"/>
    <w:basedOn w:val="Norml"/>
    <w:uiPriority w:val="34"/>
    <w:qFormat/>
    <w:rsid w:val="00376789"/>
    <w:pPr>
      <w:ind w:left="720"/>
      <w:contextualSpacing/>
    </w:pPr>
  </w:style>
  <w:style w:type="character" w:styleId="Erskiemels">
    <w:name w:val="Intense Emphasis"/>
    <w:basedOn w:val="Bekezdsalapbettpusa"/>
    <w:uiPriority w:val="21"/>
    <w:qFormat/>
    <w:rsid w:val="00376789"/>
    <w:rPr>
      <w:i/>
      <w:iCs/>
      <w:color w:val="0F4761" w:themeColor="accent1" w:themeShade="BF"/>
    </w:rPr>
  </w:style>
  <w:style w:type="paragraph" w:styleId="Kiemeltidzet">
    <w:name w:val="Intense Quote"/>
    <w:basedOn w:val="Norml"/>
    <w:next w:val="Norml"/>
    <w:link w:val="KiemeltidzetChar"/>
    <w:uiPriority w:val="30"/>
    <w:qFormat/>
    <w:rsid w:val="0037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6789"/>
    <w:rPr>
      <w:i/>
      <w:iCs/>
      <w:color w:val="0F4761" w:themeColor="accent1" w:themeShade="BF"/>
    </w:rPr>
  </w:style>
  <w:style w:type="character" w:styleId="Ershivatkozs">
    <w:name w:val="Intense Reference"/>
    <w:basedOn w:val="Bekezdsalapbettpusa"/>
    <w:uiPriority w:val="32"/>
    <w:qFormat/>
    <w:rsid w:val="00376789"/>
    <w:rPr>
      <w:b/>
      <w:bCs/>
      <w:smallCaps/>
      <w:color w:val="0F4761" w:themeColor="accent1" w:themeShade="BF"/>
      <w:spacing w:val="5"/>
    </w:rPr>
  </w:style>
  <w:style w:type="character" w:styleId="Hiperhivatkozs">
    <w:name w:val="Hyperlink"/>
    <w:basedOn w:val="Bekezdsalapbettpusa"/>
    <w:uiPriority w:val="99"/>
    <w:unhideWhenUsed/>
    <w:rsid w:val="001F749D"/>
    <w:rPr>
      <w:color w:val="467886" w:themeColor="hyperlink"/>
      <w:u w:val="single"/>
    </w:rPr>
  </w:style>
  <w:style w:type="character" w:styleId="Feloldatlanmegemlts">
    <w:name w:val="Unresolved Mention"/>
    <w:basedOn w:val="Bekezdsalapbettpusa"/>
    <w:uiPriority w:val="99"/>
    <w:semiHidden/>
    <w:unhideWhenUsed/>
    <w:rsid w:val="001F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537</Words>
  <Characters>3711</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Bánhidi Mónika</dc:creator>
  <cp:keywords/>
  <dc:description/>
  <cp:lastModifiedBy>Szalainé Szikszai Krisztina</cp:lastModifiedBy>
  <cp:revision>3</cp:revision>
  <dcterms:created xsi:type="dcterms:W3CDTF">2026-02-25T12:01:00Z</dcterms:created>
  <dcterms:modified xsi:type="dcterms:W3CDTF">2026-02-26T07:00:00Z</dcterms:modified>
</cp:coreProperties>
</file>