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1ECC" w14:textId="77777777" w:rsidR="004E3680" w:rsidRPr="004E3680" w:rsidRDefault="004E3680" w:rsidP="004E3680">
      <w:pPr>
        <w:rPr>
          <w:b/>
          <w:bCs/>
        </w:rPr>
      </w:pPr>
      <w:r w:rsidRPr="004E3680">
        <w:rPr>
          <w:b/>
          <w:bCs/>
        </w:rPr>
        <w:t>Az Európai Bíróság ítélkezési gyakorlatának legújabb tendenciái, különös tekintettel az uniós polgárság intézményére JDDO343XA0 </w:t>
      </w:r>
    </w:p>
    <w:p w14:paraId="35C59CE6" w14:textId="77777777" w:rsidR="00D673CB" w:rsidRPr="003B0B39" w:rsidRDefault="00D673CB" w:rsidP="00D673CB">
      <w:pPr>
        <w:rPr>
          <w:b/>
          <w:bCs/>
        </w:rPr>
      </w:pPr>
      <w:r w:rsidRPr="003B0B39">
        <w:rPr>
          <w:b/>
          <w:bCs/>
        </w:rPr>
        <w:t>A tantárgy céljának rövid ismertetése:</w:t>
      </w:r>
    </w:p>
    <w:p w14:paraId="4A7FBD47" w14:textId="5A92DF7F" w:rsidR="004E3680" w:rsidRPr="004E3680" w:rsidRDefault="004E3680" w:rsidP="007549C1">
      <w:pPr>
        <w:jc w:val="both"/>
      </w:pPr>
      <w:r w:rsidRPr="004E3680">
        <w:t xml:space="preserve">Az Európai Bíróság, mint az uniós jog értelmezésére kizárólagosan jogosult bírói fórum kiemelkedő szerepet játszik az integráció mélyítésében az uniós jog valamennyi területén. Ezen, sokszor kiterjesztő jogértelmezés alapjaiban határozta meg az európai integráció fejlődését már a kezdeti Van </w:t>
      </w:r>
      <w:proofErr w:type="spellStart"/>
      <w:r w:rsidRPr="004E3680">
        <w:t>Gend</w:t>
      </w:r>
      <w:proofErr w:type="spellEnd"/>
      <w:r w:rsidRPr="004E3680">
        <w:t xml:space="preserve"> </w:t>
      </w:r>
      <w:proofErr w:type="spellStart"/>
      <w:r w:rsidRPr="004E3680">
        <w:t>en</w:t>
      </w:r>
      <w:proofErr w:type="spellEnd"/>
      <w:r w:rsidRPr="004E3680">
        <w:t xml:space="preserve"> Loos döntéstől fogva. A tárgy keretében annak vizsgálatára kerül sor, hogy (i) milyen jogértelmezési módszerekkel dolgozik az Európai Bíróság, és (ii) ezek a módszerek mennyiben és milyen módon járulnak hozzá az uniós jog fejlesztéséhez az egyes területeken. A tárgy keretében külön is vizsgáljuk az uniós polgárság jogintézményét, valamint egyes, a tárgyat felvett hallgatók kutatási témájához kapcsolódó jogintézményekre vonatkozó luxemburgi bírósági gyakorlatot. </w:t>
      </w:r>
    </w:p>
    <w:p w14:paraId="687B7A9E" w14:textId="218D3638" w:rsidR="00D673CB" w:rsidRPr="003B0B39" w:rsidRDefault="00D673CB" w:rsidP="00D673CB">
      <w:pPr>
        <w:rPr>
          <w:b/>
          <w:bCs/>
        </w:rPr>
      </w:pPr>
      <w:r w:rsidRPr="003B0B39">
        <w:rPr>
          <w:b/>
          <w:bCs/>
        </w:rPr>
        <w:t xml:space="preserve">Elsajátítandó gyakorlati ismeretanyag: </w:t>
      </w:r>
    </w:p>
    <w:p w14:paraId="3A4C9F3E" w14:textId="77777777" w:rsidR="004E3680" w:rsidRDefault="004E3680" w:rsidP="007549C1">
      <w:pPr>
        <w:jc w:val="both"/>
      </w:pPr>
      <w:r w:rsidRPr="004E3680">
        <w:t>A tantárgy keretében bemutatásra kerülnek az Európai Unió Bíróságának azon jogesetei, melyeken keresztül jól szemléltethetők az egyes jogértelmezési módszerek, különös tekintettel az uniós polgárság intézménye körében.</w:t>
      </w:r>
    </w:p>
    <w:p w14:paraId="778E292C" w14:textId="46154D8B" w:rsidR="00D673CB" w:rsidRPr="003B0B39" w:rsidRDefault="00D673CB" w:rsidP="003B0B39">
      <w:pPr>
        <w:rPr>
          <w:b/>
          <w:bCs/>
        </w:rPr>
      </w:pPr>
      <w:r w:rsidRPr="003B0B39">
        <w:rPr>
          <w:b/>
          <w:bCs/>
        </w:rPr>
        <w:t>Elsajátítandó elméleti ismeretanyag:</w:t>
      </w:r>
    </w:p>
    <w:p w14:paraId="595530A9" w14:textId="4FDC72C5" w:rsidR="00376789" w:rsidRPr="00376789" w:rsidRDefault="004E3680" w:rsidP="00D673CB">
      <w:r w:rsidRPr="004E3680">
        <w:t>A tantárgy keretében bemutatásra kerülnek az Európai Unió Bíróságának jogértelmezési módszerei.</w:t>
      </w:r>
      <w:r w:rsidR="00376789" w:rsidRPr="00376789">
        <w:t> </w:t>
      </w:r>
    </w:p>
    <w:p w14:paraId="05DB11AF" w14:textId="77777777" w:rsidR="00D673CB" w:rsidRPr="003B0B39" w:rsidRDefault="00D673CB" w:rsidP="00D673CB">
      <w:pPr>
        <w:rPr>
          <w:b/>
          <w:bCs/>
        </w:rPr>
      </w:pPr>
      <w:r w:rsidRPr="003B0B39">
        <w:rPr>
          <w:b/>
          <w:bCs/>
        </w:rPr>
        <w:t>Az értékelés kritériuma:</w:t>
      </w:r>
    </w:p>
    <w:p w14:paraId="4615D60A" w14:textId="77777777" w:rsidR="004E3680" w:rsidRPr="004E3680" w:rsidRDefault="004E3680" w:rsidP="007549C1">
      <w:pPr>
        <w:jc w:val="both"/>
      </w:pPr>
      <w:r w:rsidRPr="004E3680">
        <w:t>A tárgy óráinak látogatása kötelező. A hallgatók a félév végén (választásuk szerint) a kutatási témájukhoz kapcsolódóan egy szerzői ív (40.000 n szóközökkel, lábjegyzetekkel) terjedelmű tanulmányt készítenek (melyben felhasználhatják az általuk feldolgozott jogesetet és az annak bemutatása során az oktatótól és a kurzuson résztvevő többi hallgatótól kapott visszajelzéseket is), vagy pedig a tárgy anyagából szóbeli kollokviumot tesznek. </w:t>
      </w:r>
    </w:p>
    <w:p w14:paraId="66B99562" w14:textId="77777777" w:rsidR="00D673CB" w:rsidRPr="003B0B39" w:rsidRDefault="00D673CB" w:rsidP="00D673CB">
      <w:pPr>
        <w:rPr>
          <w:b/>
          <w:bCs/>
        </w:rPr>
      </w:pPr>
      <w:r w:rsidRPr="003B0B39">
        <w:rPr>
          <w:b/>
          <w:bCs/>
        </w:rPr>
        <w:t>Az alkalmazott oktatási módszerek:</w:t>
      </w:r>
    </w:p>
    <w:p w14:paraId="376560D5" w14:textId="19863007" w:rsidR="004E3680" w:rsidRPr="004E3680" w:rsidRDefault="004E3680" w:rsidP="007549C1">
      <w:pPr>
        <w:jc w:val="both"/>
      </w:pPr>
      <w:r w:rsidRPr="004E3680">
        <w:t>A kurzus egy részében elméleti (frontális) előadásra kerül sor, mely bemutatja a legfontosabb jogértelmezési módszereket egy-egy példán keresztül. </w:t>
      </w:r>
    </w:p>
    <w:p w14:paraId="4740A452" w14:textId="77777777" w:rsidR="004E3680" w:rsidRPr="004E3680" w:rsidRDefault="004E3680" w:rsidP="007549C1">
      <w:pPr>
        <w:jc w:val="both"/>
      </w:pPr>
      <w:r w:rsidRPr="004E3680">
        <w:t>A kurzus keretében a hallgatók egy-egy általuk választott- a kutatási tárgyukhoz kapcsolódó- jogesetet is feldolgoznak az EUB legújabb esetjogból, amelyet szóban is ismertetnek. </w:t>
      </w:r>
    </w:p>
    <w:p w14:paraId="3C804C69" w14:textId="4BED405A" w:rsidR="00D673CB" w:rsidRPr="003B0B39" w:rsidRDefault="004E3680" w:rsidP="00D673CB">
      <w:pPr>
        <w:rPr>
          <w:b/>
          <w:bCs/>
        </w:rPr>
      </w:pPr>
      <w:r w:rsidRPr="004E3680">
        <w:t> </w:t>
      </w:r>
      <w:r w:rsidR="00D673CB" w:rsidRPr="003B0B39">
        <w:rPr>
          <w:b/>
          <w:bCs/>
        </w:rPr>
        <w:t>Kötelező irodalom:</w:t>
      </w:r>
    </w:p>
    <w:p w14:paraId="18DD3567" w14:textId="27B8F2D5" w:rsidR="004E3680" w:rsidRPr="004E3680" w:rsidRDefault="004E3680" w:rsidP="004E3680">
      <w:proofErr w:type="spellStart"/>
      <w:r w:rsidRPr="004E3680">
        <w:t>Koen</w:t>
      </w:r>
      <w:proofErr w:type="spellEnd"/>
      <w:r w:rsidRPr="004E3680">
        <w:t xml:space="preserve"> </w:t>
      </w:r>
      <w:proofErr w:type="spellStart"/>
      <w:r w:rsidRPr="004E3680">
        <w:t>Lenaerts</w:t>
      </w:r>
      <w:proofErr w:type="spellEnd"/>
      <w:r w:rsidRPr="004E3680">
        <w:t xml:space="preserve"> – José A. </w:t>
      </w:r>
      <w:proofErr w:type="spellStart"/>
      <w:r w:rsidRPr="004E3680">
        <w:t>Gutiérrez-Fons</w:t>
      </w:r>
      <w:proofErr w:type="spellEnd"/>
      <w:r w:rsidRPr="004E3680">
        <w:t>: Az Európai Unió Bíróságának jogértelmezési módszerei. ORAC, 2022. </w:t>
      </w:r>
    </w:p>
    <w:p w14:paraId="79567C9E" w14:textId="77777777" w:rsidR="004E3680" w:rsidRPr="004E3680" w:rsidRDefault="004E3680" w:rsidP="004E3680">
      <w:proofErr w:type="spellStart"/>
      <w:r w:rsidRPr="004E3680">
        <w:t>Blutman</w:t>
      </w:r>
      <w:proofErr w:type="spellEnd"/>
      <w:r w:rsidRPr="004E3680">
        <w:t xml:space="preserve"> László: Az Európai Unió joga a gyakorlatban – a Brexit után. ORAC, 2020. </w:t>
      </w:r>
    </w:p>
    <w:p w14:paraId="05F7AF31" w14:textId="77777777" w:rsidR="004E3680" w:rsidRPr="004E3680" w:rsidRDefault="004E3680" w:rsidP="004E3680">
      <w:proofErr w:type="spellStart"/>
      <w:r w:rsidRPr="004E3680">
        <w:t>Gyeney</w:t>
      </w:r>
      <w:proofErr w:type="spellEnd"/>
      <w:r w:rsidRPr="004E3680">
        <w:t xml:space="preserve"> Laura – Szabó Marcel: Az uniós polgárság </w:t>
      </w:r>
      <w:proofErr w:type="spellStart"/>
      <w:r w:rsidRPr="004E3680">
        <w:t>jelene</w:t>
      </w:r>
      <w:proofErr w:type="spellEnd"/>
      <w:r w:rsidRPr="004E3680">
        <w:t xml:space="preserve"> és jövője: úton az egységes európai állampolgárság felé? ORAC, 2023. </w:t>
      </w:r>
    </w:p>
    <w:p w14:paraId="0A088C99" w14:textId="77777777" w:rsidR="004E3680" w:rsidRPr="004E3680" w:rsidRDefault="004E3680" w:rsidP="004E3680">
      <w:proofErr w:type="spellStart"/>
      <w:r w:rsidRPr="004E3680">
        <w:t>Dora</w:t>
      </w:r>
      <w:proofErr w:type="spellEnd"/>
      <w:r w:rsidRPr="004E3680">
        <w:t xml:space="preserve"> </w:t>
      </w:r>
      <w:proofErr w:type="spellStart"/>
      <w:r w:rsidRPr="004E3680">
        <w:t>Kostakopoulou</w:t>
      </w:r>
      <w:proofErr w:type="spellEnd"/>
      <w:r w:rsidRPr="004E3680">
        <w:t xml:space="preserve">: Research </w:t>
      </w:r>
      <w:proofErr w:type="spellStart"/>
      <w:r w:rsidRPr="004E3680">
        <w:t>Handbook</w:t>
      </w:r>
      <w:proofErr w:type="spellEnd"/>
      <w:r w:rsidRPr="004E3680">
        <w:t xml:space="preserve"> </w:t>
      </w:r>
      <w:proofErr w:type="spellStart"/>
      <w:r w:rsidRPr="004E3680">
        <w:t>on</w:t>
      </w:r>
      <w:proofErr w:type="spellEnd"/>
      <w:r w:rsidRPr="004E3680">
        <w:t xml:space="preserve"> European Union </w:t>
      </w:r>
      <w:proofErr w:type="spellStart"/>
      <w:r w:rsidRPr="004E3680">
        <w:t>Citizenship</w:t>
      </w:r>
      <w:proofErr w:type="spellEnd"/>
      <w:r w:rsidRPr="004E3680">
        <w:t xml:space="preserve"> Law and Policy. Edward </w:t>
      </w:r>
      <w:proofErr w:type="spellStart"/>
      <w:r w:rsidRPr="004E3680">
        <w:t>Elgar</w:t>
      </w:r>
      <w:proofErr w:type="spellEnd"/>
      <w:r w:rsidRPr="004E3680">
        <w:t xml:space="preserve"> Publishing, 2022. </w:t>
      </w:r>
    </w:p>
    <w:p w14:paraId="050679FD" w14:textId="77777777" w:rsidR="004E3680" w:rsidRPr="004E3680" w:rsidRDefault="004E3680" w:rsidP="004E3680">
      <w:r w:rsidRPr="004E3680">
        <w:lastRenderedPageBreak/>
        <w:t xml:space="preserve">Sandra </w:t>
      </w:r>
      <w:proofErr w:type="spellStart"/>
      <w:r w:rsidRPr="004E3680">
        <w:t>Mantu</w:t>
      </w:r>
      <w:proofErr w:type="spellEnd"/>
      <w:r w:rsidRPr="004E3680">
        <w:t xml:space="preserve"> – Paul </w:t>
      </w:r>
      <w:proofErr w:type="spellStart"/>
      <w:r w:rsidRPr="004E3680">
        <w:t>Minderhoud</w:t>
      </w:r>
      <w:proofErr w:type="spellEnd"/>
      <w:r w:rsidRPr="004E3680">
        <w:t xml:space="preserve"> – </w:t>
      </w:r>
      <w:proofErr w:type="spellStart"/>
      <w:r w:rsidRPr="004E3680">
        <w:t>Elspeth</w:t>
      </w:r>
      <w:proofErr w:type="spellEnd"/>
      <w:r w:rsidRPr="004E3680">
        <w:t xml:space="preserve"> </w:t>
      </w:r>
      <w:proofErr w:type="spellStart"/>
      <w:r w:rsidRPr="004E3680">
        <w:t>Guild</w:t>
      </w:r>
      <w:proofErr w:type="spellEnd"/>
      <w:r w:rsidRPr="004E3680">
        <w:t xml:space="preserve">: EU </w:t>
      </w:r>
      <w:proofErr w:type="spellStart"/>
      <w:r w:rsidRPr="004E3680">
        <w:t>Citizenship</w:t>
      </w:r>
      <w:proofErr w:type="spellEnd"/>
      <w:r w:rsidRPr="004E3680">
        <w:t xml:space="preserve"> and Free </w:t>
      </w:r>
      <w:proofErr w:type="spellStart"/>
      <w:r w:rsidRPr="004E3680">
        <w:t>Movement</w:t>
      </w:r>
      <w:proofErr w:type="spellEnd"/>
      <w:r w:rsidRPr="004E3680">
        <w:t xml:space="preserve"> </w:t>
      </w:r>
      <w:proofErr w:type="spellStart"/>
      <w:r w:rsidRPr="004E3680">
        <w:t>Rights</w:t>
      </w:r>
      <w:proofErr w:type="spellEnd"/>
      <w:r w:rsidRPr="004E3680">
        <w:t xml:space="preserve">: </w:t>
      </w:r>
      <w:proofErr w:type="spellStart"/>
      <w:r w:rsidRPr="004E3680">
        <w:t>Taking</w:t>
      </w:r>
      <w:proofErr w:type="spellEnd"/>
      <w:r w:rsidRPr="004E3680">
        <w:t xml:space="preserve"> </w:t>
      </w:r>
      <w:proofErr w:type="spellStart"/>
      <w:r w:rsidRPr="004E3680">
        <w:t>Supranational</w:t>
      </w:r>
      <w:proofErr w:type="spellEnd"/>
      <w:r w:rsidRPr="004E3680">
        <w:t xml:space="preserve"> </w:t>
      </w:r>
      <w:proofErr w:type="spellStart"/>
      <w:r w:rsidRPr="004E3680">
        <w:t>Citizenship</w:t>
      </w:r>
      <w:proofErr w:type="spellEnd"/>
      <w:r w:rsidRPr="004E3680">
        <w:t xml:space="preserve"> </w:t>
      </w:r>
      <w:proofErr w:type="spellStart"/>
      <w:r w:rsidRPr="004E3680">
        <w:t>Seriously</w:t>
      </w:r>
      <w:proofErr w:type="spellEnd"/>
      <w:r w:rsidRPr="004E3680">
        <w:t>. Brill, 2020. </w:t>
      </w:r>
    </w:p>
    <w:p w14:paraId="64829F6C" w14:textId="77777777" w:rsidR="004E3680" w:rsidRPr="004E3680" w:rsidRDefault="004E3680" w:rsidP="004E3680">
      <w:proofErr w:type="spellStart"/>
      <w:r w:rsidRPr="004E3680">
        <w:t>Niam</w:t>
      </w:r>
      <w:proofErr w:type="spellEnd"/>
      <w:r w:rsidRPr="004E3680">
        <w:t xml:space="preserve"> </w:t>
      </w:r>
      <w:proofErr w:type="spellStart"/>
      <w:r w:rsidRPr="004E3680">
        <w:t>Nic</w:t>
      </w:r>
      <w:proofErr w:type="spellEnd"/>
      <w:r w:rsidRPr="004E3680">
        <w:t xml:space="preserve"> </w:t>
      </w:r>
      <w:proofErr w:type="spellStart"/>
      <w:r w:rsidRPr="004E3680">
        <w:t>Shuibhne</w:t>
      </w:r>
      <w:proofErr w:type="spellEnd"/>
      <w:r w:rsidRPr="004E3680">
        <w:t xml:space="preserve">: EU </w:t>
      </w:r>
      <w:proofErr w:type="spellStart"/>
      <w:r w:rsidRPr="004E3680">
        <w:t>Citizenship</w:t>
      </w:r>
      <w:proofErr w:type="spellEnd"/>
      <w:r w:rsidRPr="004E3680">
        <w:t xml:space="preserve"> Law. OUP, 2023 </w:t>
      </w:r>
    </w:p>
    <w:p w14:paraId="022ADB23" w14:textId="77777777" w:rsidR="004E3680" w:rsidRPr="004E3680" w:rsidRDefault="004E3680" w:rsidP="004E3680">
      <w:r w:rsidRPr="004E3680">
        <w:t xml:space="preserve">Luke </w:t>
      </w:r>
      <w:proofErr w:type="spellStart"/>
      <w:r w:rsidRPr="004E3680">
        <w:t>Dimitrios</w:t>
      </w:r>
      <w:proofErr w:type="spellEnd"/>
      <w:r w:rsidRPr="004E3680">
        <w:t xml:space="preserve"> </w:t>
      </w:r>
      <w:proofErr w:type="spellStart"/>
      <w:r w:rsidRPr="004E3680">
        <w:t>Spieker</w:t>
      </w:r>
      <w:proofErr w:type="spellEnd"/>
      <w:r w:rsidRPr="004E3680">
        <w:t xml:space="preserve">: EU </w:t>
      </w:r>
      <w:proofErr w:type="spellStart"/>
      <w:r w:rsidRPr="004E3680">
        <w:t>Values</w:t>
      </w:r>
      <w:proofErr w:type="spellEnd"/>
      <w:r w:rsidRPr="004E3680">
        <w:t xml:space="preserve"> </w:t>
      </w:r>
      <w:proofErr w:type="spellStart"/>
      <w:r w:rsidRPr="004E3680">
        <w:t>before</w:t>
      </w:r>
      <w:proofErr w:type="spellEnd"/>
      <w:r w:rsidRPr="004E3680">
        <w:t xml:space="preserve"> </w:t>
      </w:r>
      <w:proofErr w:type="spellStart"/>
      <w:r w:rsidRPr="004E3680">
        <w:t>the</w:t>
      </w:r>
      <w:proofErr w:type="spellEnd"/>
      <w:r w:rsidRPr="004E3680">
        <w:t xml:space="preserve"> </w:t>
      </w:r>
      <w:proofErr w:type="spellStart"/>
      <w:r w:rsidRPr="004E3680">
        <w:t>Court</w:t>
      </w:r>
      <w:proofErr w:type="spellEnd"/>
      <w:r w:rsidRPr="004E3680">
        <w:t xml:space="preserve"> of </w:t>
      </w:r>
      <w:proofErr w:type="spellStart"/>
      <w:r w:rsidRPr="004E3680">
        <w:t>Justice</w:t>
      </w:r>
      <w:proofErr w:type="spellEnd"/>
      <w:r w:rsidRPr="004E3680">
        <w:t xml:space="preserve">: </w:t>
      </w:r>
      <w:proofErr w:type="spellStart"/>
      <w:r w:rsidRPr="004E3680">
        <w:t>Foundations</w:t>
      </w:r>
      <w:proofErr w:type="spellEnd"/>
      <w:r w:rsidRPr="004E3680">
        <w:t xml:space="preserve">, </w:t>
      </w:r>
      <w:proofErr w:type="spellStart"/>
      <w:r w:rsidRPr="004E3680">
        <w:t>Potential</w:t>
      </w:r>
      <w:proofErr w:type="spellEnd"/>
      <w:r w:rsidRPr="004E3680">
        <w:t xml:space="preserve">, </w:t>
      </w:r>
      <w:proofErr w:type="spellStart"/>
      <w:r w:rsidRPr="004E3680">
        <w:t>Risks</w:t>
      </w:r>
      <w:proofErr w:type="spellEnd"/>
      <w:r w:rsidRPr="004E3680">
        <w:t>. Oxford University Press, 2023. </w:t>
      </w:r>
    </w:p>
    <w:p w14:paraId="3018F48B" w14:textId="41258C94" w:rsidR="00D673CB" w:rsidRPr="003B0B39" w:rsidRDefault="00D673CB" w:rsidP="004E3680">
      <w:pPr>
        <w:rPr>
          <w:b/>
          <w:bCs/>
        </w:rPr>
      </w:pPr>
      <w:r w:rsidRPr="003B0B39">
        <w:rPr>
          <w:b/>
          <w:bCs/>
        </w:rPr>
        <w:t>Ajánlott irodalom:</w:t>
      </w:r>
    </w:p>
    <w:p w14:paraId="45753E82" w14:textId="7D48A09A" w:rsidR="004E3680" w:rsidRPr="004E3680" w:rsidRDefault="004E3680" w:rsidP="004E3680">
      <w:r w:rsidRPr="004E3680">
        <w:rPr>
          <w:lang w:val="en-US"/>
        </w:rPr>
        <w:t xml:space="preserve">Dimitry Kochenov (ed.): </w:t>
      </w:r>
      <w:r w:rsidRPr="004E3680">
        <w:rPr>
          <w:i/>
          <w:iCs/>
          <w:lang w:val="en-US"/>
        </w:rPr>
        <w:t xml:space="preserve">EU Citizenship and Federalism: The Role of Rights, </w:t>
      </w:r>
      <w:r w:rsidRPr="004E3680">
        <w:rPr>
          <w:lang w:val="en-US"/>
        </w:rPr>
        <w:t>CUP, 2017.</w:t>
      </w:r>
      <w:r w:rsidRPr="004E3680">
        <w:t> </w:t>
      </w:r>
    </w:p>
    <w:p w14:paraId="3DEBCE07" w14:textId="77777777" w:rsidR="004E3680" w:rsidRPr="004E3680" w:rsidRDefault="004E3680" w:rsidP="004E3680">
      <w:r w:rsidRPr="004E3680">
        <w:rPr>
          <w:lang w:val="en-US"/>
        </w:rPr>
        <w:t xml:space="preserve">Annette Schrauwen (ed.): </w:t>
      </w:r>
      <w:r w:rsidRPr="004E3680">
        <w:rPr>
          <w:i/>
          <w:iCs/>
          <w:lang w:val="en-US"/>
        </w:rPr>
        <w:t xml:space="preserve">EU Citizenship in the Treaty of Lisbon Era, </w:t>
      </w:r>
      <w:r w:rsidRPr="004E3680">
        <w:rPr>
          <w:lang w:val="en-US"/>
        </w:rPr>
        <w:t>Amsterdam University Press, 2015.</w:t>
      </w:r>
      <w:r w:rsidRPr="004E3680">
        <w:t> </w:t>
      </w:r>
    </w:p>
    <w:p w14:paraId="3322CA50" w14:textId="1A4BC35A" w:rsidR="001F749D" w:rsidRPr="001F749D" w:rsidRDefault="001F749D" w:rsidP="004E3680">
      <w:r w:rsidRPr="001F749D">
        <w:t> </w:t>
      </w:r>
    </w:p>
    <w:p w14:paraId="0D09B085" w14:textId="77777777" w:rsidR="00D673CB" w:rsidRPr="003B0B39" w:rsidRDefault="00D673CB" w:rsidP="00D673CB">
      <w:pPr>
        <w:rPr>
          <w:b/>
          <w:bCs/>
        </w:rPr>
      </w:pPr>
      <w:r w:rsidRPr="003B0B39">
        <w:rPr>
          <w:b/>
          <w:bCs/>
        </w:rPr>
        <w:t>A tantárgy hozzájárulása a Képzési és kimeneti követelményekben meghatározott kompetenciaelemek elsajátításához:</w:t>
      </w:r>
    </w:p>
    <w:p w14:paraId="1DE7D0FF" w14:textId="6646423B" w:rsidR="004E3680" w:rsidRPr="004E3680" w:rsidRDefault="004E3680" w:rsidP="007549C1">
      <w:pPr>
        <w:jc w:val="both"/>
      </w:pPr>
      <w:r w:rsidRPr="004E3680">
        <w:t>A tárgy segíti a hallgatókat, hogy alkotó módon megértsék az Európai Unió Bíróságának jogértelmezési módszereit. A tárgy abban is segítséget nyújt a hallgatók számára, hogy az esetlegesen a jövőben felmerülő új jogi problémákat azonosítsák, és azokra adekvát megoldásokat javasoljanak. A tárgy tematikája szükségképpen feltételezi új gyakorlati megoldások felvetését, a kialakított jogi álláspont melletti szakmai érvelést. </w:t>
      </w:r>
    </w:p>
    <w:p w14:paraId="7CFBEB23" w14:textId="61497F48" w:rsidR="00D673CB" w:rsidRPr="00D673CB" w:rsidRDefault="00D673CB" w:rsidP="004E3680">
      <w:pPr>
        <w:rPr>
          <w:b/>
          <w:bCs/>
        </w:rPr>
      </w:pPr>
      <w:r w:rsidRPr="00D673CB">
        <w:rPr>
          <w:b/>
          <w:bCs/>
        </w:rPr>
        <w:t>Tantárgy oktatója:</w:t>
      </w:r>
    </w:p>
    <w:p w14:paraId="5C7D4AD0" w14:textId="3067CF3D" w:rsidR="004E3680" w:rsidRPr="004E3680" w:rsidRDefault="004E3680" w:rsidP="004E3680">
      <w:r w:rsidRPr="004E3680">
        <w:t xml:space="preserve">Dr. </w:t>
      </w:r>
      <w:proofErr w:type="spellStart"/>
      <w:r w:rsidRPr="004E3680">
        <w:t>Gyeney</w:t>
      </w:r>
      <w:proofErr w:type="spellEnd"/>
      <w:r w:rsidRPr="004E3680">
        <w:t xml:space="preserve"> Laura </w:t>
      </w:r>
    </w:p>
    <w:p w14:paraId="2636175A" w14:textId="4DABF0B1" w:rsidR="00564B61" w:rsidRPr="00564B61" w:rsidRDefault="00564B61" w:rsidP="00564B61"/>
    <w:p w14:paraId="755D341C" w14:textId="042A937E" w:rsidR="001F749D" w:rsidRPr="001F749D" w:rsidRDefault="001F749D" w:rsidP="00564B61"/>
    <w:sectPr w:rsidR="001F749D" w:rsidRPr="001F7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A71"/>
    <w:multiLevelType w:val="multilevel"/>
    <w:tmpl w:val="9CA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16065"/>
    <w:multiLevelType w:val="multilevel"/>
    <w:tmpl w:val="B10A4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3503B"/>
    <w:multiLevelType w:val="multilevel"/>
    <w:tmpl w:val="6F661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31"/>
    <w:multiLevelType w:val="multilevel"/>
    <w:tmpl w:val="C18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101FC"/>
    <w:multiLevelType w:val="multilevel"/>
    <w:tmpl w:val="A4C6D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224E9"/>
    <w:multiLevelType w:val="multilevel"/>
    <w:tmpl w:val="81041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330D18"/>
    <w:multiLevelType w:val="multilevel"/>
    <w:tmpl w:val="EDB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1641B"/>
    <w:multiLevelType w:val="multilevel"/>
    <w:tmpl w:val="330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E1F61"/>
    <w:multiLevelType w:val="multilevel"/>
    <w:tmpl w:val="205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A5BF6"/>
    <w:multiLevelType w:val="multilevel"/>
    <w:tmpl w:val="841A6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F798D"/>
    <w:multiLevelType w:val="multilevel"/>
    <w:tmpl w:val="DB8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E1E98"/>
    <w:multiLevelType w:val="multilevel"/>
    <w:tmpl w:val="C59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E38C1"/>
    <w:multiLevelType w:val="multilevel"/>
    <w:tmpl w:val="FFC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56468"/>
    <w:multiLevelType w:val="multilevel"/>
    <w:tmpl w:val="75E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4083D"/>
    <w:multiLevelType w:val="multilevel"/>
    <w:tmpl w:val="9AEA9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F22774"/>
    <w:multiLevelType w:val="multilevel"/>
    <w:tmpl w:val="B14E8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146687"/>
    <w:multiLevelType w:val="multilevel"/>
    <w:tmpl w:val="1940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E2D45"/>
    <w:multiLevelType w:val="multilevel"/>
    <w:tmpl w:val="E132B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567174"/>
    <w:multiLevelType w:val="multilevel"/>
    <w:tmpl w:val="594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F46E6"/>
    <w:multiLevelType w:val="multilevel"/>
    <w:tmpl w:val="4936F5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317469">
    <w:abstractNumId w:val="3"/>
  </w:num>
  <w:num w:numId="2" w16cid:durableId="1220941275">
    <w:abstractNumId w:val="16"/>
  </w:num>
  <w:num w:numId="3" w16cid:durableId="1656912806">
    <w:abstractNumId w:val="7"/>
  </w:num>
  <w:num w:numId="4" w16cid:durableId="2096702254">
    <w:abstractNumId w:val="12"/>
  </w:num>
  <w:num w:numId="5" w16cid:durableId="576288488">
    <w:abstractNumId w:val="10"/>
  </w:num>
  <w:num w:numId="6" w16cid:durableId="1892036830">
    <w:abstractNumId w:val="13"/>
  </w:num>
  <w:num w:numId="7" w16cid:durableId="1647514419">
    <w:abstractNumId w:val="0"/>
  </w:num>
  <w:num w:numId="8" w16cid:durableId="781191227">
    <w:abstractNumId w:val="6"/>
  </w:num>
  <w:num w:numId="9" w16cid:durableId="960107830">
    <w:abstractNumId w:val="11"/>
  </w:num>
  <w:num w:numId="10" w16cid:durableId="1049381860">
    <w:abstractNumId w:val="18"/>
  </w:num>
  <w:num w:numId="11" w16cid:durableId="1798915148">
    <w:abstractNumId w:val="8"/>
  </w:num>
  <w:num w:numId="12" w16cid:durableId="315307678">
    <w:abstractNumId w:val="14"/>
  </w:num>
  <w:num w:numId="13" w16cid:durableId="1027177409">
    <w:abstractNumId w:val="5"/>
  </w:num>
  <w:num w:numId="14" w16cid:durableId="1151992261">
    <w:abstractNumId w:val="15"/>
  </w:num>
  <w:num w:numId="15" w16cid:durableId="725837060">
    <w:abstractNumId w:val="4"/>
  </w:num>
  <w:num w:numId="16" w16cid:durableId="1730837013">
    <w:abstractNumId w:val="2"/>
  </w:num>
  <w:num w:numId="17" w16cid:durableId="1034697080">
    <w:abstractNumId w:val="9"/>
  </w:num>
  <w:num w:numId="18" w16cid:durableId="1904026562">
    <w:abstractNumId w:val="17"/>
  </w:num>
  <w:num w:numId="19" w16cid:durableId="1446270577">
    <w:abstractNumId w:val="1"/>
  </w:num>
  <w:num w:numId="20" w16cid:durableId="18618913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9"/>
    <w:rsid w:val="00012B94"/>
    <w:rsid w:val="001F749D"/>
    <w:rsid w:val="00376789"/>
    <w:rsid w:val="003B0B39"/>
    <w:rsid w:val="004C1325"/>
    <w:rsid w:val="004E3680"/>
    <w:rsid w:val="00564B61"/>
    <w:rsid w:val="006219D1"/>
    <w:rsid w:val="007549C1"/>
    <w:rsid w:val="00A241BA"/>
    <w:rsid w:val="00C62DAD"/>
    <w:rsid w:val="00D673CB"/>
    <w:rsid w:val="00F46F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007A"/>
  <w15:chartTrackingRefBased/>
  <w15:docId w15:val="{8FE9E179-D319-414F-B962-D048649C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7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678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678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678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67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67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67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67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678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678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678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678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678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67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67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67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6789"/>
    <w:rPr>
      <w:rFonts w:eastAsiaTheme="majorEastAsia" w:cstheme="majorBidi"/>
      <w:color w:val="272727" w:themeColor="text1" w:themeTint="D8"/>
    </w:rPr>
  </w:style>
  <w:style w:type="paragraph" w:styleId="Cm">
    <w:name w:val="Title"/>
    <w:basedOn w:val="Norml"/>
    <w:next w:val="Norml"/>
    <w:link w:val="CmChar"/>
    <w:uiPriority w:val="10"/>
    <w:qFormat/>
    <w:rsid w:val="0037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67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67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67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6789"/>
    <w:pPr>
      <w:spacing w:before="160"/>
      <w:jc w:val="center"/>
    </w:pPr>
    <w:rPr>
      <w:i/>
      <w:iCs/>
      <w:color w:val="404040" w:themeColor="text1" w:themeTint="BF"/>
    </w:rPr>
  </w:style>
  <w:style w:type="character" w:customStyle="1" w:styleId="IdzetChar">
    <w:name w:val="Idézet Char"/>
    <w:basedOn w:val="Bekezdsalapbettpusa"/>
    <w:link w:val="Idzet"/>
    <w:uiPriority w:val="29"/>
    <w:rsid w:val="00376789"/>
    <w:rPr>
      <w:i/>
      <w:iCs/>
      <w:color w:val="404040" w:themeColor="text1" w:themeTint="BF"/>
    </w:rPr>
  </w:style>
  <w:style w:type="paragraph" w:styleId="Listaszerbekezds">
    <w:name w:val="List Paragraph"/>
    <w:basedOn w:val="Norml"/>
    <w:uiPriority w:val="34"/>
    <w:qFormat/>
    <w:rsid w:val="00376789"/>
    <w:pPr>
      <w:ind w:left="720"/>
      <w:contextualSpacing/>
    </w:pPr>
  </w:style>
  <w:style w:type="character" w:styleId="Erskiemels">
    <w:name w:val="Intense Emphasis"/>
    <w:basedOn w:val="Bekezdsalapbettpusa"/>
    <w:uiPriority w:val="21"/>
    <w:qFormat/>
    <w:rsid w:val="00376789"/>
    <w:rPr>
      <w:i/>
      <w:iCs/>
      <w:color w:val="0F4761" w:themeColor="accent1" w:themeShade="BF"/>
    </w:rPr>
  </w:style>
  <w:style w:type="paragraph" w:styleId="Kiemeltidzet">
    <w:name w:val="Intense Quote"/>
    <w:basedOn w:val="Norml"/>
    <w:next w:val="Norml"/>
    <w:link w:val="KiemeltidzetChar"/>
    <w:uiPriority w:val="30"/>
    <w:qFormat/>
    <w:rsid w:val="0037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6789"/>
    <w:rPr>
      <w:i/>
      <w:iCs/>
      <w:color w:val="0F4761" w:themeColor="accent1" w:themeShade="BF"/>
    </w:rPr>
  </w:style>
  <w:style w:type="character" w:styleId="Ershivatkozs">
    <w:name w:val="Intense Reference"/>
    <w:basedOn w:val="Bekezdsalapbettpusa"/>
    <w:uiPriority w:val="32"/>
    <w:qFormat/>
    <w:rsid w:val="00376789"/>
    <w:rPr>
      <w:b/>
      <w:bCs/>
      <w:smallCaps/>
      <w:color w:val="0F4761" w:themeColor="accent1" w:themeShade="BF"/>
      <w:spacing w:val="5"/>
    </w:rPr>
  </w:style>
  <w:style w:type="character" w:styleId="Hiperhivatkozs">
    <w:name w:val="Hyperlink"/>
    <w:basedOn w:val="Bekezdsalapbettpusa"/>
    <w:uiPriority w:val="99"/>
    <w:unhideWhenUsed/>
    <w:rsid w:val="001F749D"/>
    <w:rPr>
      <w:color w:val="467886" w:themeColor="hyperlink"/>
      <w:u w:val="single"/>
    </w:rPr>
  </w:style>
  <w:style w:type="character" w:styleId="Feloldatlanmegemlts">
    <w:name w:val="Unresolved Mention"/>
    <w:basedOn w:val="Bekezdsalapbettpusa"/>
    <w:uiPriority w:val="99"/>
    <w:semiHidden/>
    <w:unhideWhenUsed/>
    <w:rsid w:val="001F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470</Words>
  <Characters>3249</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Bánhidi Mónika</dc:creator>
  <cp:keywords/>
  <dc:description/>
  <cp:lastModifiedBy>Szalainé Szikszai Krisztina</cp:lastModifiedBy>
  <cp:revision>3</cp:revision>
  <dcterms:created xsi:type="dcterms:W3CDTF">2026-02-25T12:05:00Z</dcterms:created>
  <dcterms:modified xsi:type="dcterms:W3CDTF">2026-02-25T12:48:00Z</dcterms:modified>
</cp:coreProperties>
</file>