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7B3C" w14:textId="77777777" w:rsidR="0084529C" w:rsidRPr="0084529C" w:rsidRDefault="0084529C" w:rsidP="00B87A22">
      <w:pPr>
        <w:pStyle w:val="Nincstrkz"/>
        <w:jc w:val="both"/>
        <w:rPr>
          <w:b/>
          <w:bCs/>
        </w:rPr>
      </w:pPr>
      <w:proofErr w:type="spellStart"/>
      <w:r w:rsidRPr="0084529C">
        <w:rPr>
          <w:b/>
          <w:bCs/>
        </w:rPr>
        <w:t>Protecting</w:t>
      </w:r>
      <w:proofErr w:type="spellEnd"/>
      <w:r w:rsidRPr="0084529C">
        <w:rPr>
          <w:b/>
          <w:bCs/>
        </w:rPr>
        <w:t xml:space="preserve"> </w:t>
      </w:r>
      <w:proofErr w:type="spellStart"/>
      <w:r w:rsidRPr="0084529C">
        <w:rPr>
          <w:b/>
          <w:bCs/>
        </w:rPr>
        <w:t>the</w:t>
      </w:r>
      <w:proofErr w:type="spellEnd"/>
      <w:r w:rsidRPr="0084529C">
        <w:rPr>
          <w:b/>
          <w:bCs/>
        </w:rPr>
        <w:t xml:space="preserve"> </w:t>
      </w:r>
      <w:proofErr w:type="spellStart"/>
      <w:r w:rsidRPr="0084529C">
        <w:rPr>
          <w:b/>
          <w:bCs/>
        </w:rPr>
        <w:t>rights</w:t>
      </w:r>
      <w:proofErr w:type="spellEnd"/>
      <w:r w:rsidRPr="0084529C">
        <w:rPr>
          <w:b/>
          <w:bCs/>
        </w:rPr>
        <w:t xml:space="preserve"> of </w:t>
      </w:r>
      <w:proofErr w:type="spellStart"/>
      <w:r w:rsidRPr="0084529C">
        <w:rPr>
          <w:b/>
          <w:bCs/>
        </w:rPr>
        <w:t>future</w:t>
      </w:r>
      <w:proofErr w:type="spellEnd"/>
      <w:r w:rsidRPr="0084529C">
        <w:rPr>
          <w:b/>
          <w:bCs/>
        </w:rPr>
        <w:t xml:space="preserve"> </w:t>
      </w:r>
      <w:proofErr w:type="spellStart"/>
      <w:r w:rsidRPr="0084529C">
        <w:rPr>
          <w:b/>
          <w:bCs/>
        </w:rPr>
        <w:t>generations</w:t>
      </w:r>
      <w:proofErr w:type="spellEnd"/>
      <w:r w:rsidRPr="0084529C">
        <w:rPr>
          <w:b/>
          <w:bCs/>
        </w:rPr>
        <w:t xml:space="preserve"> in </w:t>
      </w:r>
      <w:proofErr w:type="spellStart"/>
      <w:r w:rsidRPr="0084529C">
        <w:rPr>
          <w:b/>
          <w:bCs/>
        </w:rPr>
        <w:t>national</w:t>
      </w:r>
      <w:proofErr w:type="spellEnd"/>
      <w:r w:rsidRPr="0084529C">
        <w:rPr>
          <w:b/>
          <w:bCs/>
        </w:rPr>
        <w:t xml:space="preserve">, </w:t>
      </w:r>
      <w:proofErr w:type="spellStart"/>
      <w:r w:rsidRPr="0084529C">
        <w:rPr>
          <w:b/>
          <w:bCs/>
        </w:rPr>
        <w:t>international</w:t>
      </w:r>
      <w:proofErr w:type="spellEnd"/>
      <w:r w:rsidRPr="0084529C">
        <w:rPr>
          <w:b/>
          <w:bCs/>
        </w:rPr>
        <w:t xml:space="preserve"> and EU </w:t>
      </w:r>
      <w:proofErr w:type="spellStart"/>
      <w:r w:rsidRPr="0084529C">
        <w:rPr>
          <w:b/>
          <w:bCs/>
        </w:rPr>
        <w:t>law</w:t>
      </w:r>
      <w:proofErr w:type="spellEnd"/>
      <w:r w:rsidRPr="0084529C">
        <w:rPr>
          <w:b/>
          <w:bCs/>
        </w:rPr>
        <w:t xml:space="preserve"> JDDO359XA0 </w:t>
      </w:r>
    </w:p>
    <w:p w14:paraId="3030C611" w14:textId="77777777" w:rsidR="005F6635" w:rsidRPr="00797F1C" w:rsidRDefault="005F6635" w:rsidP="00B87A22">
      <w:pPr>
        <w:pStyle w:val="Nincstrkz"/>
        <w:jc w:val="both"/>
      </w:pPr>
    </w:p>
    <w:p w14:paraId="4E20EB31" w14:textId="08368FA1" w:rsidR="00376789" w:rsidRPr="005F6635" w:rsidRDefault="00376789" w:rsidP="00B87A22">
      <w:pPr>
        <w:pStyle w:val="Nincstrkz"/>
        <w:jc w:val="both"/>
        <w:rPr>
          <w:b/>
          <w:bCs/>
        </w:rPr>
      </w:pPr>
      <w:r w:rsidRPr="005F6635">
        <w:rPr>
          <w:b/>
          <w:bCs/>
          <w:lang w:val="en-GB"/>
        </w:rPr>
        <w:t>Brief subject description:</w:t>
      </w:r>
      <w:r w:rsidRPr="005F6635">
        <w:rPr>
          <w:b/>
          <w:bCs/>
        </w:rPr>
        <w:t> </w:t>
      </w:r>
    </w:p>
    <w:p w14:paraId="13F45D45" w14:textId="77777777" w:rsidR="0084529C" w:rsidRPr="0084529C" w:rsidRDefault="0084529C" w:rsidP="00B87A22">
      <w:pPr>
        <w:pStyle w:val="Nincstrkz"/>
        <w:jc w:val="both"/>
      </w:pPr>
      <w:r w:rsidRPr="0084529C">
        <w:t xml:space="preserve">The </w:t>
      </w:r>
      <w:proofErr w:type="spellStart"/>
      <w:r w:rsidRPr="0084529C">
        <w:t>substantive</w:t>
      </w:r>
      <w:proofErr w:type="spellEnd"/>
      <w:r w:rsidRPr="0084529C">
        <w:t xml:space="preserve"> and </w:t>
      </w:r>
      <w:proofErr w:type="spellStart"/>
      <w:r w:rsidRPr="0084529C">
        <w:t>procedural</w:t>
      </w:r>
      <w:proofErr w:type="spellEnd"/>
      <w:r w:rsidRPr="0084529C">
        <w:t xml:space="preserve"> </w:t>
      </w:r>
      <w:proofErr w:type="spellStart"/>
      <w:r w:rsidRPr="0084529C">
        <w:t>aspects</w:t>
      </w:r>
      <w:proofErr w:type="spellEnd"/>
      <w:r w:rsidRPr="0084529C">
        <w:t xml:space="preserve"> of </w:t>
      </w:r>
      <w:proofErr w:type="spellStart"/>
      <w:r w:rsidRPr="0084529C">
        <w:t>protecting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 is </w:t>
      </w:r>
      <w:proofErr w:type="spellStart"/>
      <w:r w:rsidRPr="0084529C">
        <w:t>one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most </w:t>
      </w:r>
      <w:proofErr w:type="spellStart"/>
      <w:r w:rsidRPr="0084529C">
        <w:t>exciting</w:t>
      </w:r>
      <w:proofErr w:type="spellEnd"/>
      <w:r w:rsidRPr="0084529C">
        <w:t xml:space="preserve"> </w:t>
      </w:r>
      <w:proofErr w:type="spellStart"/>
      <w:r w:rsidRPr="0084529C">
        <w:t>areas</w:t>
      </w:r>
      <w:proofErr w:type="spellEnd"/>
      <w:r w:rsidRPr="0084529C">
        <w:t xml:space="preserve"> of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research</w:t>
      </w:r>
      <w:proofErr w:type="spellEnd"/>
      <w:r w:rsidRPr="0084529C">
        <w:t xml:space="preserve"> </w:t>
      </w:r>
      <w:proofErr w:type="spellStart"/>
      <w:r w:rsidRPr="0084529C">
        <w:t>today</w:t>
      </w:r>
      <w:proofErr w:type="spellEnd"/>
      <w:r w:rsidRPr="0084529C">
        <w:t xml:space="preserve">. The </w:t>
      </w:r>
      <w:proofErr w:type="spellStart"/>
      <w:r w:rsidRPr="0084529C">
        <w:t>Hungarian</w:t>
      </w:r>
      <w:proofErr w:type="spellEnd"/>
      <w:r w:rsidRPr="0084529C">
        <w:t xml:space="preserve"> </w:t>
      </w:r>
      <w:proofErr w:type="spellStart"/>
      <w:r w:rsidRPr="0084529C">
        <w:t>Deputy</w:t>
      </w:r>
      <w:proofErr w:type="spellEnd"/>
      <w:r w:rsidRPr="0084529C">
        <w:t xml:space="preserve"> </w:t>
      </w:r>
      <w:proofErr w:type="spellStart"/>
      <w:r w:rsidRPr="0084529C">
        <w:t>Commissioner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protection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 plays a </w:t>
      </w:r>
      <w:proofErr w:type="spellStart"/>
      <w:r w:rsidRPr="0084529C">
        <w:t>prominent</w:t>
      </w:r>
      <w:proofErr w:type="spellEnd"/>
      <w:r w:rsidRPr="0084529C">
        <w:t xml:space="preserve"> and </w:t>
      </w:r>
      <w:proofErr w:type="spellStart"/>
      <w:r w:rsidRPr="0084529C">
        <w:t>internationally</w:t>
      </w:r>
      <w:proofErr w:type="spellEnd"/>
      <w:r w:rsidRPr="0084529C">
        <w:t xml:space="preserve"> </w:t>
      </w:r>
      <w:proofErr w:type="spellStart"/>
      <w:r w:rsidRPr="0084529C">
        <w:t>recognised</w:t>
      </w:r>
      <w:proofErr w:type="spellEnd"/>
      <w:r w:rsidRPr="0084529C">
        <w:t xml:space="preserve"> </w:t>
      </w:r>
      <w:proofErr w:type="spellStart"/>
      <w:r w:rsidRPr="0084529C">
        <w:t>role</w:t>
      </w:r>
      <w:proofErr w:type="spellEnd"/>
      <w:r w:rsidRPr="0084529C">
        <w:t xml:space="preserve"> in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protection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interests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. The </w:t>
      </w:r>
      <w:proofErr w:type="spellStart"/>
      <w:r w:rsidRPr="0084529C">
        <w:t>lecturers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are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former</w:t>
      </w:r>
      <w:proofErr w:type="spellEnd"/>
      <w:r w:rsidRPr="0084529C">
        <w:t xml:space="preserve"> (2012-2016, Marcel Szabó) and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current</w:t>
      </w:r>
      <w:proofErr w:type="spellEnd"/>
      <w:r w:rsidRPr="0084529C">
        <w:t xml:space="preserve"> (2017-, Gyula </w:t>
      </w:r>
      <w:proofErr w:type="spellStart"/>
      <w:r w:rsidRPr="0084529C">
        <w:t>Bándi</w:t>
      </w:r>
      <w:proofErr w:type="spellEnd"/>
      <w:r w:rsidRPr="0084529C">
        <w:t xml:space="preserve">) </w:t>
      </w:r>
      <w:proofErr w:type="spellStart"/>
      <w:r w:rsidRPr="0084529C">
        <w:t>Deputy</w:t>
      </w:r>
      <w:proofErr w:type="spellEnd"/>
      <w:r w:rsidRPr="0084529C">
        <w:t xml:space="preserve"> </w:t>
      </w:r>
      <w:proofErr w:type="spellStart"/>
      <w:r w:rsidRPr="0084529C">
        <w:t>Commissioner</w:t>
      </w:r>
      <w:proofErr w:type="spellEnd"/>
      <w:r w:rsidRPr="0084529C">
        <w:t xml:space="preserve">, and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will</w:t>
      </w:r>
      <w:proofErr w:type="spellEnd"/>
      <w:r w:rsidRPr="0084529C">
        <w:t xml:space="preserve"> </w:t>
      </w:r>
      <w:proofErr w:type="spellStart"/>
      <w:r w:rsidRPr="0084529C">
        <w:t>provide</w:t>
      </w:r>
      <w:proofErr w:type="spellEnd"/>
      <w:r w:rsidRPr="0084529C">
        <w:t xml:space="preserve"> a </w:t>
      </w:r>
      <w:proofErr w:type="spellStart"/>
      <w:r w:rsidRPr="0084529C">
        <w:t>detailed</w:t>
      </w:r>
      <w:proofErr w:type="spellEnd"/>
      <w:r w:rsidRPr="0084529C">
        <w:t xml:space="preserve"> </w:t>
      </w:r>
      <w:proofErr w:type="spellStart"/>
      <w:r w:rsidRPr="0084529C">
        <w:t>introduction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professional</w:t>
      </w:r>
      <w:proofErr w:type="spellEnd"/>
      <w:r w:rsidRPr="0084529C">
        <w:t xml:space="preserve"> </w:t>
      </w:r>
      <w:proofErr w:type="spellStart"/>
      <w:r w:rsidRPr="0084529C">
        <w:t>activities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Deputy</w:t>
      </w:r>
      <w:proofErr w:type="spellEnd"/>
      <w:r w:rsidRPr="0084529C">
        <w:t xml:space="preserve"> </w:t>
      </w:r>
      <w:proofErr w:type="spellStart"/>
      <w:r w:rsidRPr="0084529C">
        <w:t>Commissioner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Protection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,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case</w:t>
      </w:r>
      <w:proofErr w:type="spellEnd"/>
      <w:r w:rsidRPr="0084529C">
        <w:t xml:space="preserve"> </w:t>
      </w:r>
      <w:proofErr w:type="spellStart"/>
      <w:r w:rsidRPr="0084529C">
        <w:t>law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European </w:t>
      </w:r>
      <w:proofErr w:type="spellStart"/>
      <w:r w:rsidRPr="0084529C">
        <w:t>Court</w:t>
      </w:r>
      <w:proofErr w:type="spellEnd"/>
      <w:r w:rsidRPr="0084529C">
        <w:t xml:space="preserve"> of Human </w:t>
      </w:r>
      <w:proofErr w:type="spellStart"/>
      <w:r w:rsidRPr="0084529C">
        <w:t>Rights</w:t>
      </w:r>
      <w:proofErr w:type="spellEnd"/>
      <w:r w:rsidRPr="0084529C">
        <w:t xml:space="preserve"> and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Court</w:t>
      </w:r>
      <w:proofErr w:type="spellEnd"/>
      <w:r w:rsidRPr="0084529C">
        <w:t xml:space="preserve"> of </w:t>
      </w:r>
      <w:proofErr w:type="spellStart"/>
      <w:r w:rsidRPr="0084529C">
        <w:t>Justice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European Union in </w:t>
      </w:r>
      <w:proofErr w:type="spellStart"/>
      <w:r w:rsidRPr="0084529C">
        <w:t>relation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. The </w:t>
      </w:r>
      <w:proofErr w:type="spellStart"/>
      <w:r w:rsidRPr="0084529C">
        <w:t>aim</w:t>
      </w:r>
      <w:proofErr w:type="spellEnd"/>
      <w:r w:rsidRPr="0084529C">
        <w:t xml:space="preserve"> is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highlight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students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opportunities</w:t>
      </w:r>
      <w:proofErr w:type="spellEnd"/>
      <w:r w:rsidRPr="0084529C">
        <w:t xml:space="preserve"> and </w:t>
      </w:r>
      <w:proofErr w:type="spellStart"/>
      <w:r w:rsidRPr="0084529C">
        <w:t>shortcomings</w:t>
      </w:r>
      <w:proofErr w:type="spellEnd"/>
      <w:r w:rsidRPr="0084529C">
        <w:t xml:space="preserve"> </w:t>
      </w:r>
      <w:proofErr w:type="spellStart"/>
      <w:r w:rsidRPr="0084529C">
        <w:t>that</w:t>
      </w:r>
      <w:proofErr w:type="spellEnd"/>
      <w:r w:rsidRPr="0084529C">
        <w:t xml:space="preserve"> </w:t>
      </w:r>
      <w:proofErr w:type="spellStart"/>
      <w:r w:rsidRPr="0084529C">
        <w:t>are</w:t>
      </w:r>
      <w:proofErr w:type="spellEnd"/>
      <w:r w:rsidRPr="0084529C">
        <w:t xml:space="preserve"> </w:t>
      </w:r>
      <w:proofErr w:type="spellStart"/>
      <w:r w:rsidRPr="0084529C">
        <w:t>crucial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ensuring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protection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>. </w:t>
      </w:r>
    </w:p>
    <w:p w14:paraId="4901291F" w14:textId="77777777" w:rsidR="005F6635" w:rsidRPr="00A63842" w:rsidRDefault="005F6635" w:rsidP="00B87A22">
      <w:pPr>
        <w:pStyle w:val="Nincstrkz"/>
        <w:jc w:val="both"/>
      </w:pPr>
    </w:p>
    <w:p w14:paraId="79F9C9F8" w14:textId="7A2B4B19" w:rsidR="00376789" w:rsidRPr="005F6635" w:rsidRDefault="00376789" w:rsidP="00B87A22">
      <w:pPr>
        <w:pStyle w:val="Nincstrkz"/>
        <w:jc w:val="both"/>
        <w:rPr>
          <w:b/>
          <w:bCs/>
          <w:lang w:val="en-GB"/>
        </w:rPr>
      </w:pPr>
      <w:r w:rsidRPr="005F6635">
        <w:rPr>
          <w:b/>
          <w:bCs/>
          <w:lang w:val="en-GB"/>
        </w:rPr>
        <w:t>Practical knowledge to be acquired:</w:t>
      </w:r>
    </w:p>
    <w:p w14:paraId="3AF81304" w14:textId="77777777" w:rsidR="0084529C" w:rsidRPr="0084529C" w:rsidRDefault="0084529C" w:rsidP="00B87A22">
      <w:pPr>
        <w:pStyle w:val="Nincstrkz"/>
        <w:jc w:val="both"/>
      </w:pPr>
      <w:r w:rsidRPr="0084529C">
        <w:t xml:space="preserve">The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also</w:t>
      </w:r>
      <w:proofErr w:type="spellEnd"/>
      <w:r w:rsidRPr="0084529C">
        <w:t xml:space="preserve"> </w:t>
      </w:r>
      <w:proofErr w:type="spellStart"/>
      <w:r w:rsidRPr="0084529C">
        <w:t>presents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most </w:t>
      </w:r>
      <w:proofErr w:type="spellStart"/>
      <w:r w:rsidRPr="0084529C">
        <w:t>important</w:t>
      </w:r>
      <w:proofErr w:type="spellEnd"/>
      <w:r w:rsidRPr="0084529C">
        <w:t xml:space="preserve"> </w:t>
      </w:r>
      <w:proofErr w:type="spellStart"/>
      <w:r w:rsidRPr="0084529C">
        <w:t>practical</w:t>
      </w:r>
      <w:proofErr w:type="spellEnd"/>
      <w:r w:rsidRPr="0084529C">
        <w:t xml:space="preserve"> </w:t>
      </w:r>
      <w:proofErr w:type="spellStart"/>
      <w:r w:rsidRPr="0084529C">
        <w:t>examples</w:t>
      </w:r>
      <w:proofErr w:type="spellEnd"/>
      <w:r w:rsidRPr="0084529C">
        <w:t xml:space="preserve"> and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cases</w:t>
      </w:r>
      <w:proofErr w:type="spellEnd"/>
      <w:r w:rsidRPr="0084529C">
        <w:t xml:space="preserve"> </w:t>
      </w:r>
      <w:proofErr w:type="spellStart"/>
      <w:r w:rsidRPr="0084529C">
        <w:t>related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representation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>. </w:t>
      </w:r>
    </w:p>
    <w:p w14:paraId="3B1761C1" w14:textId="77777777" w:rsidR="00797F1C" w:rsidRPr="00797F1C" w:rsidRDefault="00797F1C" w:rsidP="00B87A22">
      <w:pPr>
        <w:pStyle w:val="Nincstrkz"/>
        <w:jc w:val="both"/>
      </w:pPr>
    </w:p>
    <w:p w14:paraId="77A5FB61" w14:textId="4C9353FE" w:rsidR="00376789" w:rsidRPr="005F6635" w:rsidRDefault="00376789" w:rsidP="00B87A22">
      <w:pPr>
        <w:pStyle w:val="Nincstrkz"/>
        <w:jc w:val="both"/>
        <w:rPr>
          <w:b/>
          <w:bCs/>
        </w:rPr>
      </w:pPr>
      <w:r w:rsidRPr="005F6635">
        <w:rPr>
          <w:b/>
          <w:bCs/>
          <w:lang w:val="en-GB"/>
        </w:rPr>
        <w:t>Theoretical knowledge to be acquired:</w:t>
      </w:r>
      <w:r w:rsidRPr="005F6635">
        <w:rPr>
          <w:b/>
          <w:bCs/>
        </w:rPr>
        <w:t> </w:t>
      </w:r>
    </w:p>
    <w:p w14:paraId="0B72694F" w14:textId="77777777" w:rsidR="0084529C" w:rsidRPr="0084529C" w:rsidRDefault="0084529C" w:rsidP="00B87A22">
      <w:pPr>
        <w:pStyle w:val="Nincstrkz"/>
        <w:jc w:val="both"/>
      </w:pPr>
      <w:r w:rsidRPr="0084529C">
        <w:t xml:space="preserve">The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presents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most </w:t>
      </w:r>
      <w:proofErr w:type="spellStart"/>
      <w:r w:rsidRPr="0084529C">
        <w:t>important</w:t>
      </w:r>
      <w:proofErr w:type="spellEnd"/>
      <w:r w:rsidRPr="0084529C">
        <w:t xml:space="preserve"> </w:t>
      </w:r>
      <w:proofErr w:type="spellStart"/>
      <w:r w:rsidRPr="0084529C">
        <w:t>theoretical</w:t>
      </w:r>
      <w:proofErr w:type="spellEnd"/>
      <w:r w:rsidRPr="0084529C">
        <w:t xml:space="preserve"> and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foundations</w:t>
      </w:r>
      <w:proofErr w:type="spellEnd"/>
      <w:r w:rsidRPr="0084529C">
        <w:t xml:space="preserve"> </w:t>
      </w:r>
      <w:proofErr w:type="spellStart"/>
      <w:r w:rsidRPr="0084529C">
        <w:t>related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representing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>. </w:t>
      </w:r>
    </w:p>
    <w:p w14:paraId="595530A9" w14:textId="4C61C3FB" w:rsidR="00376789" w:rsidRPr="00376789" w:rsidRDefault="00376789" w:rsidP="00B87A22">
      <w:pPr>
        <w:pStyle w:val="Nincstrkz"/>
        <w:jc w:val="both"/>
      </w:pPr>
      <w:r w:rsidRPr="00376789">
        <w:t> </w:t>
      </w:r>
    </w:p>
    <w:p w14:paraId="3015C697" w14:textId="45EB9D06" w:rsidR="00376789" w:rsidRPr="005F6635" w:rsidRDefault="00376789" w:rsidP="00B87A22">
      <w:pPr>
        <w:pStyle w:val="Nincstrkz"/>
        <w:jc w:val="both"/>
        <w:rPr>
          <w:b/>
          <w:bCs/>
        </w:rPr>
      </w:pPr>
      <w:r w:rsidRPr="005F6635">
        <w:rPr>
          <w:b/>
          <w:bCs/>
          <w:lang w:val="en-GB"/>
        </w:rPr>
        <w:t>Evaluation criteria:</w:t>
      </w:r>
      <w:r w:rsidRPr="005F6635">
        <w:rPr>
          <w:b/>
          <w:bCs/>
        </w:rPr>
        <w:t> </w:t>
      </w:r>
    </w:p>
    <w:p w14:paraId="7BC63339" w14:textId="0BF44F3D" w:rsidR="00376789" w:rsidRDefault="0084529C" w:rsidP="00B87A22">
      <w:pPr>
        <w:pStyle w:val="Nincstrkz"/>
        <w:jc w:val="both"/>
      </w:pPr>
      <w:proofErr w:type="spellStart"/>
      <w:r w:rsidRPr="0084529C">
        <w:t>Attendance</w:t>
      </w:r>
      <w:proofErr w:type="spellEnd"/>
      <w:r w:rsidRPr="0084529C">
        <w:t xml:space="preserve"> </w:t>
      </w:r>
      <w:proofErr w:type="spellStart"/>
      <w:r w:rsidRPr="0084529C">
        <w:t>at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lectures</w:t>
      </w:r>
      <w:proofErr w:type="spellEnd"/>
      <w:r w:rsidRPr="0084529C">
        <w:t xml:space="preserve"> is </w:t>
      </w:r>
      <w:proofErr w:type="spellStart"/>
      <w:r w:rsidRPr="0084529C">
        <w:t>compulsory</w:t>
      </w:r>
      <w:proofErr w:type="spellEnd"/>
      <w:r w:rsidRPr="0084529C">
        <w:t xml:space="preserve">. </w:t>
      </w:r>
      <w:proofErr w:type="spellStart"/>
      <w:r w:rsidRPr="0084529C">
        <w:t>At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end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semester</w:t>
      </w:r>
      <w:proofErr w:type="spellEnd"/>
      <w:r w:rsidRPr="0084529C">
        <w:t xml:space="preserve">, </w:t>
      </w:r>
      <w:proofErr w:type="spellStart"/>
      <w:r w:rsidRPr="0084529C">
        <w:t>students</w:t>
      </w:r>
      <w:proofErr w:type="spellEnd"/>
      <w:r w:rsidRPr="0084529C">
        <w:t xml:space="preserve"> (</w:t>
      </w:r>
      <w:proofErr w:type="spellStart"/>
      <w:r w:rsidRPr="0084529C">
        <w:t>at</w:t>
      </w:r>
      <w:proofErr w:type="spellEnd"/>
      <w:r w:rsidRPr="0084529C">
        <w:t xml:space="preserve"> </w:t>
      </w:r>
      <w:proofErr w:type="spellStart"/>
      <w:r w:rsidRPr="0084529C">
        <w:t>their</w:t>
      </w:r>
      <w:proofErr w:type="spellEnd"/>
      <w:r w:rsidRPr="0084529C">
        <w:t xml:space="preserve"> </w:t>
      </w:r>
      <w:proofErr w:type="spellStart"/>
      <w:r w:rsidRPr="0084529C">
        <w:t>discretion</w:t>
      </w:r>
      <w:proofErr w:type="spellEnd"/>
      <w:r w:rsidRPr="0084529C">
        <w:t xml:space="preserve">) prepare a </w:t>
      </w:r>
      <w:proofErr w:type="spellStart"/>
      <w:r w:rsidRPr="0084529C">
        <w:t>study</w:t>
      </w:r>
      <w:proofErr w:type="spellEnd"/>
      <w:r w:rsidRPr="0084529C">
        <w:t xml:space="preserve"> </w:t>
      </w:r>
      <w:proofErr w:type="spellStart"/>
      <w:r w:rsidRPr="0084529C">
        <w:t>paper</w:t>
      </w:r>
      <w:proofErr w:type="spellEnd"/>
      <w:r w:rsidRPr="0084529C">
        <w:t xml:space="preserve"> (40,000 </w:t>
      </w:r>
      <w:proofErr w:type="spellStart"/>
      <w:r w:rsidRPr="0084529C">
        <w:t>words</w:t>
      </w:r>
      <w:proofErr w:type="spellEnd"/>
      <w:r w:rsidRPr="0084529C">
        <w:t xml:space="preserve">, </w:t>
      </w:r>
      <w:proofErr w:type="spellStart"/>
      <w:r w:rsidRPr="0084529C">
        <w:t>including</w:t>
      </w:r>
      <w:proofErr w:type="spellEnd"/>
      <w:r w:rsidRPr="0084529C">
        <w:t xml:space="preserve"> </w:t>
      </w:r>
      <w:proofErr w:type="spellStart"/>
      <w:r w:rsidRPr="0084529C">
        <w:t>footnotes</w:t>
      </w:r>
      <w:proofErr w:type="spellEnd"/>
      <w:r w:rsidRPr="0084529C">
        <w:t xml:space="preserve">) </w:t>
      </w:r>
      <w:proofErr w:type="spellStart"/>
      <w:r w:rsidRPr="0084529C">
        <w:t>related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their</w:t>
      </w:r>
      <w:proofErr w:type="spellEnd"/>
      <w:r w:rsidRPr="0084529C">
        <w:t xml:space="preserve"> </w:t>
      </w:r>
      <w:proofErr w:type="spellStart"/>
      <w:r w:rsidRPr="0084529C">
        <w:t>research</w:t>
      </w:r>
      <w:proofErr w:type="spellEnd"/>
      <w:r w:rsidRPr="0084529C">
        <w:t xml:space="preserve"> </w:t>
      </w:r>
      <w:proofErr w:type="spellStart"/>
      <w:r w:rsidRPr="0084529C">
        <w:t>topic</w:t>
      </w:r>
      <w:proofErr w:type="spellEnd"/>
      <w:r w:rsidRPr="0084529C">
        <w:t xml:space="preserve"> and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protection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 (in </w:t>
      </w:r>
      <w:proofErr w:type="spellStart"/>
      <w:r w:rsidRPr="0084529C">
        <w:t>which</w:t>
      </w:r>
      <w:proofErr w:type="spellEnd"/>
      <w:r w:rsidRPr="0084529C">
        <w:t xml:space="preserve"> </w:t>
      </w:r>
      <w:proofErr w:type="spellStart"/>
      <w:r w:rsidRPr="0084529C">
        <w:t>they</w:t>
      </w:r>
      <w:proofErr w:type="spellEnd"/>
      <w:r w:rsidRPr="0084529C">
        <w:t xml:space="preserve"> </w:t>
      </w:r>
      <w:proofErr w:type="spellStart"/>
      <w:r w:rsidRPr="0084529C">
        <w:t>may</w:t>
      </w:r>
      <w:proofErr w:type="spellEnd"/>
      <w:r w:rsidRPr="0084529C">
        <w:t xml:space="preserve"> </w:t>
      </w:r>
      <w:proofErr w:type="spellStart"/>
      <w:r w:rsidRPr="0084529C">
        <w:t>use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case</w:t>
      </w:r>
      <w:proofErr w:type="spellEnd"/>
      <w:r w:rsidRPr="0084529C">
        <w:t xml:space="preserve"> </w:t>
      </w:r>
      <w:proofErr w:type="spellStart"/>
      <w:r w:rsidRPr="0084529C">
        <w:t>they</w:t>
      </w:r>
      <w:proofErr w:type="spellEnd"/>
      <w:r w:rsidRPr="0084529C">
        <w:t xml:space="preserve"> </w:t>
      </w:r>
      <w:proofErr w:type="spellStart"/>
      <w:r w:rsidRPr="0084529C">
        <w:t>have</w:t>
      </w:r>
      <w:proofErr w:type="spellEnd"/>
      <w:r w:rsidRPr="0084529C">
        <w:t xml:space="preserve"> </w:t>
      </w:r>
      <w:proofErr w:type="spellStart"/>
      <w:r w:rsidRPr="0084529C">
        <w:t>presented</w:t>
      </w:r>
      <w:proofErr w:type="spellEnd"/>
      <w:r w:rsidRPr="0084529C">
        <w:t xml:space="preserve"> </w:t>
      </w:r>
      <w:proofErr w:type="spellStart"/>
      <w:r w:rsidRPr="0084529C">
        <w:t>during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semester</w:t>
      </w:r>
      <w:proofErr w:type="spellEnd"/>
      <w:r w:rsidRPr="0084529C">
        <w:t xml:space="preserve"> and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feedback</w:t>
      </w:r>
      <w:proofErr w:type="spellEnd"/>
      <w:r w:rsidRPr="0084529C">
        <w:t xml:space="preserve"> </w:t>
      </w:r>
      <w:proofErr w:type="spellStart"/>
      <w:r w:rsidRPr="0084529C">
        <w:t>they</w:t>
      </w:r>
      <w:proofErr w:type="spellEnd"/>
      <w:r w:rsidRPr="0084529C">
        <w:t xml:space="preserve"> </w:t>
      </w:r>
      <w:proofErr w:type="spellStart"/>
      <w:r w:rsidRPr="0084529C">
        <w:t>received</w:t>
      </w:r>
      <w:proofErr w:type="spellEnd"/>
      <w:r w:rsidRPr="0084529C">
        <w:t xml:space="preserve"> </w:t>
      </w:r>
      <w:proofErr w:type="spellStart"/>
      <w:r w:rsidRPr="0084529C">
        <w:t>from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instructor</w:t>
      </w:r>
      <w:proofErr w:type="spellEnd"/>
      <w:r w:rsidRPr="0084529C">
        <w:t xml:space="preserve"> and </w:t>
      </w:r>
      <w:proofErr w:type="spellStart"/>
      <w:r w:rsidRPr="0084529C">
        <w:t>other</w:t>
      </w:r>
      <w:proofErr w:type="spellEnd"/>
      <w:r w:rsidRPr="0084529C">
        <w:t xml:space="preserve"> </w:t>
      </w:r>
      <w:proofErr w:type="spellStart"/>
      <w:r w:rsidRPr="0084529C">
        <w:t>students</w:t>
      </w:r>
      <w:proofErr w:type="spellEnd"/>
      <w:r w:rsidRPr="0084529C">
        <w:t xml:space="preserve"> </w:t>
      </w:r>
      <w:proofErr w:type="spellStart"/>
      <w:r w:rsidRPr="0084529C">
        <w:t>participating</w:t>
      </w:r>
      <w:proofErr w:type="spellEnd"/>
      <w:r w:rsidRPr="0084529C">
        <w:t xml:space="preserve"> in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), </w:t>
      </w:r>
      <w:proofErr w:type="spellStart"/>
      <w:r w:rsidRPr="0084529C">
        <w:t>or</w:t>
      </w:r>
      <w:proofErr w:type="spellEnd"/>
      <w:r w:rsidRPr="0084529C">
        <w:t xml:space="preserve"> </w:t>
      </w:r>
      <w:proofErr w:type="spellStart"/>
      <w:r w:rsidRPr="0084529C">
        <w:t>they</w:t>
      </w:r>
      <w:proofErr w:type="spellEnd"/>
      <w:r w:rsidRPr="0084529C">
        <w:t xml:space="preserve"> </w:t>
      </w:r>
      <w:proofErr w:type="spellStart"/>
      <w:r w:rsidRPr="0084529C">
        <w:t>may</w:t>
      </w:r>
      <w:proofErr w:type="spellEnd"/>
      <w:r w:rsidRPr="0084529C">
        <w:t xml:space="preserve"> </w:t>
      </w:r>
      <w:proofErr w:type="spellStart"/>
      <w:r w:rsidRPr="0084529C">
        <w:t>take</w:t>
      </w:r>
      <w:proofErr w:type="spellEnd"/>
      <w:r w:rsidRPr="0084529C">
        <w:t xml:space="preserve"> an </w:t>
      </w:r>
      <w:proofErr w:type="spellStart"/>
      <w:r w:rsidRPr="0084529C">
        <w:t>oral</w:t>
      </w:r>
      <w:proofErr w:type="spellEnd"/>
      <w:r w:rsidRPr="0084529C">
        <w:t xml:space="preserve"> </w:t>
      </w:r>
      <w:proofErr w:type="spellStart"/>
      <w:r w:rsidRPr="0084529C">
        <w:t>colloquium</w:t>
      </w:r>
      <w:proofErr w:type="spellEnd"/>
      <w:r w:rsidRPr="0084529C">
        <w:t xml:space="preserve"> </w:t>
      </w:r>
      <w:proofErr w:type="spellStart"/>
      <w:r w:rsidRPr="0084529C">
        <w:t>on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material</w:t>
      </w:r>
      <w:proofErr w:type="spellEnd"/>
      <w:r w:rsidRPr="0084529C">
        <w:t>.</w:t>
      </w:r>
    </w:p>
    <w:p w14:paraId="3CF530B1" w14:textId="77777777" w:rsidR="0084529C" w:rsidRPr="00797F1C" w:rsidRDefault="0084529C" w:rsidP="00B87A22">
      <w:pPr>
        <w:pStyle w:val="Nincstrkz"/>
        <w:jc w:val="both"/>
      </w:pPr>
    </w:p>
    <w:p w14:paraId="4C2DFB5C" w14:textId="7DA8168D" w:rsidR="00376789" w:rsidRPr="005F6635" w:rsidRDefault="00376789" w:rsidP="00B87A22">
      <w:pPr>
        <w:pStyle w:val="Nincstrkz"/>
        <w:jc w:val="both"/>
        <w:rPr>
          <w:b/>
          <w:bCs/>
        </w:rPr>
      </w:pPr>
      <w:r w:rsidRPr="005F6635">
        <w:rPr>
          <w:b/>
          <w:bCs/>
          <w:lang w:val="en-GB"/>
        </w:rPr>
        <w:t>Applied teaching methods:</w:t>
      </w:r>
      <w:r w:rsidRPr="005F6635">
        <w:rPr>
          <w:b/>
          <w:bCs/>
        </w:rPr>
        <w:t> </w:t>
      </w:r>
    </w:p>
    <w:p w14:paraId="5FFD7795" w14:textId="77777777" w:rsidR="0084529C" w:rsidRPr="0084529C" w:rsidRDefault="0084529C" w:rsidP="00B87A22">
      <w:pPr>
        <w:pStyle w:val="Nincstrkz"/>
        <w:jc w:val="both"/>
      </w:pPr>
      <w:r w:rsidRPr="0084529C">
        <w:t xml:space="preserve">Part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consists</w:t>
      </w:r>
      <w:proofErr w:type="spellEnd"/>
      <w:r w:rsidRPr="0084529C">
        <w:t xml:space="preserve"> of </w:t>
      </w:r>
      <w:proofErr w:type="spellStart"/>
      <w:r w:rsidRPr="0084529C">
        <w:t>theoretical</w:t>
      </w:r>
      <w:proofErr w:type="spellEnd"/>
      <w:r w:rsidRPr="0084529C">
        <w:t xml:space="preserve"> (</w:t>
      </w:r>
      <w:proofErr w:type="spellStart"/>
      <w:r w:rsidRPr="0084529C">
        <w:t>lecture-style</w:t>
      </w:r>
      <w:proofErr w:type="spellEnd"/>
      <w:r w:rsidRPr="0084529C">
        <w:t xml:space="preserve">) </w:t>
      </w:r>
      <w:proofErr w:type="spellStart"/>
      <w:r w:rsidRPr="0084529C">
        <w:t>presentations</w:t>
      </w:r>
      <w:proofErr w:type="spellEnd"/>
      <w:r w:rsidRPr="0084529C">
        <w:t xml:space="preserve"> </w:t>
      </w:r>
      <w:proofErr w:type="spellStart"/>
      <w:r w:rsidRPr="0084529C">
        <w:t>introducing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most </w:t>
      </w:r>
      <w:proofErr w:type="spellStart"/>
      <w:r w:rsidRPr="0084529C">
        <w:t>important</w:t>
      </w:r>
      <w:proofErr w:type="spellEnd"/>
      <w:r w:rsidRPr="0084529C">
        <w:t xml:space="preserve"> </w:t>
      </w:r>
      <w:proofErr w:type="spellStart"/>
      <w:r w:rsidRPr="0084529C">
        <w:t>frameworks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representing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>. </w:t>
      </w:r>
    </w:p>
    <w:p w14:paraId="19E17D5A" w14:textId="77777777" w:rsidR="0084529C" w:rsidRPr="0084529C" w:rsidRDefault="0084529C" w:rsidP="00B87A22">
      <w:pPr>
        <w:pStyle w:val="Nincstrkz"/>
        <w:jc w:val="both"/>
      </w:pPr>
      <w:proofErr w:type="spellStart"/>
      <w:r w:rsidRPr="0084529C">
        <w:t>As</w:t>
      </w:r>
      <w:proofErr w:type="spellEnd"/>
      <w:r w:rsidRPr="0084529C">
        <w:t xml:space="preserve"> part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, </w:t>
      </w:r>
      <w:proofErr w:type="spellStart"/>
      <w:r w:rsidRPr="0084529C">
        <w:t>students</w:t>
      </w:r>
      <w:proofErr w:type="spellEnd"/>
      <w:r w:rsidRPr="0084529C">
        <w:t xml:space="preserve"> </w:t>
      </w:r>
      <w:proofErr w:type="spellStart"/>
      <w:r w:rsidRPr="0084529C">
        <w:t>also</w:t>
      </w:r>
      <w:proofErr w:type="spellEnd"/>
      <w:r w:rsidRPr="0084529C">
        <w:t xml:space="preserve"> </w:t>
      </w:r>
      <w:proofErr w:type="spellStart"/>
      <w:r w:rsidRPr="0084529C">
        <w:t>analyze</w:t>
      </w:r>
      <w:proofErr w:type="spellEnd"/>
      <w:r w:rsidRPr="0084529C">
        <w:t xml:space="preserve"> a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case</w:t>
      </w:r>
      <w:proofErr w:type="spellEnd"/>
      <w:r w:rsidRPr="0084529C">
        <w:t xml:space="preserve"> of </w:t>
      </w:r>
      <w:proofErr w:type="spellStart"/>
      <w:r w:rsidRPr="0084529C">
        <w:t>their</w:t>
      </w:r>
      <w:proofErr w:type="spellEnd"/>
      <w:r w:rsidRPr="0084529C">
        <w:t xml:space="preserve"> </w:t>
      </w:r>
      <w:proofErr w:type="spellStart"/>
      <w:r w:rsidRPr="0084529C">
        <w:t>choice</w:t>
      </w:r>
      <w:proofErr w:type="spellEnd"/>
      <w:r w:rsidRPr="0084529C">
        <w:t xml:space="preserve"> </w:t>
      </w:r>
      <w:proofErr w:type="spellStart"/>
      <w:r w:rsidRPr="0084529C">
        <w:t>from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latest </w:t>
      </w:r>
      <w:proofErr w:type="spellStart"/>
      <w:r w:rsidRPr="0084529C">
        <w:t>case</w:t>
      </w:r>
      <w:proofErr w:type="spellEnd"/>
      <w:r w:rsidRPr="0084529C">
        <w:t xml:space="preserve"> </w:t>
      </w:r>
      <w:proofErr w:type="spellStart"/>
      <w:r w:rsidRPr="0084529C">
        <w:t>law</w:t>
      </w:r>
      <w:proofErr w:type="spellEnd"/>
      <w:r w:rsidRPr="0084529C">
        <w:t xml:space="preserve"> </w:t>
      </w:r>
      <w:proofErr w:type="spellStart"/>
      <w:r w:rsidRPr="0084529C">
        <w:t>relating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 and </w:t>
      </w:r>
      <w:proofErr w:type="spellStart"/>
      <w:r w:rsidRPr="0084529C">
        <w:t>present</w:t>
      </w:r>
      <w:proofErr w:type="spellEnd"/>
      <w:r w:rsidRPr="0084529C">
        <w:t xml:space="preserve"> </w:t>
      </w:r>
      <w:proofErr w:type="spellStart"/>
      <w:r w:rsidRPr="0084529C">
        <w:t>their</w:t>
      </w:r>
      <w:proofErr w:type="spellEnd"/>
      <w:r w:rsidRPr="0084529C">
        <w:t xml:space="preserve"> </w:t>
      </w:r>
      <w:proofErr w:type="spellStart"/>
      <w:r w:rsidRPr="0084529C">
        <w:t>research</w:t>
      </w:r>
      <w:proofErr w:type="spellEnd"/>
      <w:r w:rsidRPr="0084529C">
        <w:t xml:space="preserve"> </w:t>
      </w:r>
      <w:proofErr w:type="spellStart"/>
      <w:r w:rsidRPr="0084529C">
        <w:t>findings</w:t>
      </w:r>
      <w:proofErr w:type="spellEnd"/>
      <w:r w:rsidRPr="0084529C">
        <w:t>. </w:t>
      </w:r>
    </w:p>
    <w:p w14:paraId="5974F242" w14:textId="77777777" w:rsidR="00797F1C" w:rsidRDefault="00797F1C" w:rsidP="00B87A22">
      <w:pPr>
        <w:pStyle w:val="Nincstrkz"/>
        <w:jc w:val="both"/>
      </w:pPr>
    </w:p>
    <w:p w14:paraId="61D1AFCF" w14:textId="60A29D2F" w:rsidR="001F749D" w:rsidRPr="00797F1C" w:rsidRDefault="001F749D" w:rsidP="00B87A22">
      <w:pPr>
        <w:pStyle w:val="Nincstrkz"/>
        <w:jc w:val="both"/>
        <w:rPr>
          <w:b/>
          <w:bCs/>
        </w:rPr>
      </w:pPr>
      <w:proofErr w:type="spellStart"/>
      <w:r w:rsidRPr="00797F1C">
        <w:rPr>
          <w:b/>
          <w:bCs/>
        </w:rPr>
        <w:t>Required</w:t>
      </w:r>
      <w:proofErr w:type="spellEnd"/>
      <w:r w:rsidRPr="00797F1C">
        <w:rPr>
          <w:b/>
          <w:bCs/>
        </w:rPr>
        <w:t xml:space="preserve"> </w:t>
      </w:r>
      <w:proofErr w:type="spellStart"/>
      <w:r w:rsidRPr="00797F1C">
        <w:rPr>
          <w:b/>
          <w:bCs/>
        </w:rPr>
        <w:t>literature</w:t>
      </w:r>
      <w:proofErr w:type="spellEnd"/>
      <w:r w:rsidRPr="00797F1C">
        <w:rPr>
          <w:b/>
          <w:bCs/>
        </w:rPr>
        <w:t>:</w:t>
      </w:r>
    </w:p>
    <w:p w14:paraId="7B3890C1" w14:textId="77777777" w:rsidR="0084529C" w:rsidRPr="0084529C" w:rsidRDefault="0084529C" w:rsidP="00B87A22">
      <w:pPr>
        <w:pStyle w:val="Nincstrkz"/>
        <w:numPr>
          <w:ilvl w:val="0"/>
          <w:numId w:val="27"/>
        </w:numPr>
        <w:tabs>
          <w:tab w:val="clear" w:pos="720"/>
          <w:tab w:val="left" w:pos="142"/>
        </w:tabs>
        <w:ind w:left="0" w:firstLine="0"/>
        <w:jc w:val="both"/>
      </w:pPr>
      <w:proofErr w:type="spellStart"/>
      <w:r w:rsidRPr="0084529C">
        <w:t>Bándi</w:t>
      </w:r>
      <w:proofErr w:type="spellEnd"/>
      <w:r w:rsidRPr="0084529C">
        <w:t xml:space="preserve"> Gyula: A jövő nemzedék védelmének egyes jogi eszközei. </w:t>
      </w:r>
      <w:proofErr w:type="spellStart"/>
      <w:r w:rsidRPr="0084529C">
        <w:t>Iustum</w:t>
      </w:r>
      <w:proofErr w:type="spellEnd"/>
      <w:r w:rsidRPr="0084529C">
        <w:t xml:space="preserve"> </w:t>
      </w:r>
      <w:proofErr w:type="spellStart"/>
      <w:r w:rsidRPr="0084529C">
        <w:t>Aequum</w:t>
      </w:r>
      <w:proofErr w:type="spellEnd"/>
      <w:r w:rsidRPr="0084529C">
        <w:t xml:space="preserve"> </w:t>
      </w:r>
      <w:proofErr w:type="spellStart"/>
      <w:r w:rsidRPr="0084529C">
        <w:t>Salutare</w:t>
      </w:r>
      <w:proofErr w:type="spellEnd"/>
      <w:r w:rsidRPr="0084529C">
        <w:t>, 2024/1, pp. 33-50. </w:t>
      </w:r>
    </w:p>
    <w:p w14:paraId="44162B28" w14:textId="77777777" w:rsidR="0084529C" w:rsidRPr="0084529C" w:rsidRDefault="0084529C" w:rsidP="00B87A22">
      <w:pPr>
        <w:pStyle w:val="Nincstrkz"/>
        <w:numPr>
          <w:ilvl w:val="0"/>
          <w:numId w:val="28"/>
        </w:numPr>
        <w:tabs>
          <w:tab w:val="clear" w:pos="720"/>
          <w:tab w:val="left" w:pos="142"/>
        </w:tabs>
        <w:ind w:left="0" w:firstLine="0"/>
        <w:jc w:val="both"/>
      </w:pPr>
      <w:r w:rsidRPr="0084529C">
        <w:t xml:space="preserve">Szabó Marcel: Az egészséges környezethez való jog anyagi jogi és eljárásjogi kérdései az Alkotmánybíróság újabb gyakorlatában. </w:t>
      </w:r>
      <w:proofErr w:type="spellStart"/>
      <w:r w:rsidRPr="0084529C">
        <w:t>Acta</w:t>
      </w:r>
      <w:proofErr w:type="spellEnd"/>
      <w:r w:rsidRPr="0084529C">
        <w:t xml:space="preserve"> Humana, 2022/2, pp. 77-92. </w:t>
      </w:r>
    </w:p>
    <w:p w14:paraId="21827EDE" w14:textId="77777777" w:rsidR="0084529C" w:rsidRPr="0084529C" w:rsidRDefault="0084529C" w:rsidP="00B87A22">
      <w:pPr>
        <w:pStyle w:val="Nincstrkz"/>
        <w:numPr>
          <w:ilvl w:val="0"/>
          <w:numId w:val="29"/>
        </w:numPr>
        <w:tabs>
          <w:tab w:val="clear" w:pos="720"/>
          <w:tab w:val="left" w:pos="142"/>
        </w:tabs>
        <w:ind w:left="0" w:firstLine="0"/>
        <w:jc w:val="both"/>
      </w:pPr>
      <w:r w:rsidRPr="0084529C">
        <w:t>Szemesi Sándor: Mit tanulhatunk másoktól? A jövő nemzedékek egyéni igényérvényesítési lehetőségei a magyar Alkotmánybíróság eljárásában. Alkotmánybírósági Szemle, 2024/1, pp. 32-44. </w:t>
      </w:r>
    </w:p>
    <w:p w14:paraId="2649BC41" w14:textId="77777777" w:rsidR="0084529C" w:rsidRPr="0084529C" w:rsidRDefault="0084529C" w:rsidP="00B87A22">
      <w:pPr>
        <w:pStyle w:val="Nincstrkz"/>
        <w:numPr>
          <w:ilvl w:val="0"/>
          <w:numId w:val="30"/>
        </w:numPr>
        <w:tabs>
          <w:tab w:val="clear" w:pos="720"/>
          <w:tab w:val="left" w:pos="142"/>
        </w:tabs>
        <w:ind w:left="0" w:firstLine="0"/>
        <w:jc w:val="both"/>
      </w:pPr>
      <w:proofErr w:type="spellStart"/>
      <w:r w:rsidRPr="0084529C">
        <w:t>Inigo</w:t>
      </w:r>
      <w:proofErr w:type="spellEnd"/>
      <w:r w:rsidRPr="0084529C">
        <w:t xml:space="preserve"> González-</w:t>
      </w:r>
      <w:proofErr w:type="spellStart"/>
      <w:r w:rsidRPr="0084529C">
        <w:t>Ricoy</w:t>
      </w:r>
      <w:proofErr w:type="spellEnd"/>
      <w:r w:rsidRPr="0084529C">
        <w:t xml:space="preserve"> – Axel </w:t>
      </w:r>
      <w:proofErr w:type="spellStart"/>
      <w:r w:rsidRPr="0084529C">
        <w:t>Gosseries</w:t>
      </w:r>
      <w:proofErr w:type="spellEnd"/>
      <w:r w:rsidRPr="0084529C">
        <w:t xml:space="preserve"> (</w:t>
      </w:r>
      <w:proofErr w:type="spellStart"/>
      <w:r w:rsidRPr="0084529C">
        <w:t>eds</w:t>
      </w:r>
      <w:proofErr w:type="spellEnd"/>
      <w:r w:rsidRPr="0084529C">
        <w:t xml:space="preserve">.): </w:t>
      </w:r>
      <w:proofErr w:type="spellStart"/>
      <w:r w:rsidRPr="0084529C">
        <w:t>Institutions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>. Oxford University Press, 2016. </w:t>
      </w:r>
    </w:p>
    <w:p w14:paraId="75C7C687" w14:textId="77777777" w:rsidR="0084529C" w:rsidRPr="0084529C" w:rsidRDefault="0084529C" w:rsidP="00B87A22">
      <w:pPr>
        <w:pStyle w:val="Nincstrkz"/>
        <w:numPr>
          <w:ilvl w:val="0"/>
          <w:numId w:val="31"/>
        </w:numPr>
        <w:tabs>
          <w:tab w:val="clear" w:pos="720"/>
          <w:tab w:val="left" w:pos="142"/>
        </w:tabs>
        <w:ind w:left="0" w:firstLine="0"/>
        <w:jc w:val="both"/>
      </w:pPr>
      <w:proofErr w:type="spellStart"/>
      <w:r w:rsidRPr="0084529C">
        <w:t>Bridget</w:t>
      </w:r>
      <w:proofErr w:type="spellEnd"/>
      <w:r w:rsidRPr="0084529C">
        <w:t xml:space="preserve"> Lewis: </w:t>
      </w:r>
      <w:proofErr w:type="spellStart"/>
      <w:r w:rsidRPr="0084529C">
        <w:t>Environmental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>. Cambridge University Press, 2</w:t>
      </w:r>
      <w:r w:rsidRPr="0084529C">
        <w:rPr>
          <w:lang w:val="en-US"/>
        </w:rPr>
        <w:t>0</w:t>
      </w:r>
      <w:r w:rsidRPr="0084529C">
        <w:t>25. </w:t>
      </w:r>
    </w:p>
    <w:p w14:paraId="0141CC9C" w14:textId="77777777" w:rsidR="00B87A22" w:rsidRDefault="00B87A22" w:rsidP="00B87A22">
      <w:pPr>
        <w:pStyle w:val="Nincstrkz"/>
        <w:jc w:val="both"/>
        <w:rPr>
          <w:b/>
          <w:bCs/>
        </w:rPr>
      </w:pPr>
    </w:p>
    <w:p w14:paraId="1C11216F" w14:textId="437F2F2E" w:rsidR="001F749D" w:rsidRPr="005F6635" w:rsidRDefault="001F749D" w:rsidP="00B87A22">
      <w:pPr>
        <w:pStyle w:val="Nincstrkz"/>
        <w:jc w:val="both"/>
        <w:rPr>
          <w:b/>
          <w:bCs/>
        </w:rPr>
      </w:pPr>
      <w:proofErr w:type="spellStart"/>
      <w:r w:rsidRPr="005F6635">
        <w:rPr>
          <w:b/>
          <w:bCs/>
        </w:rPr>
        <w:t>Recommended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literature</w:t>
      </w:r>
      <w:proofErr w:type="spellEnd"/>
      <w:r w:rsidRPr="005F6635">
        <w:rPr>
          <w:b/>
          <w:bCs/>
        </w:rPr>
        <w:t>:</w:t>
      </w:r>
    </w:p>
    <w:p w14:paraId="43B4A173" w14:textId="77777777" w:rsidR="0084529C" w:rsidRPr="0084529C" w:rsidRDefault="0084529C" w:rsidP="00B87A22">
      <w:pPr>
        <w:pStyle w:val="Nincstrkz"/>
        <w:numPr>
          <w:ilvl w:val="0"/>
          <w:numId w:val="32"/>
        </w:numPr>
        <w:tabs>
          <w:tab w:val="clear" w:pos="720"/>
          <w:tab w:val="num" w:pos="142"/>
        </w:tabs>
        <w:ind w:left="0" w:firstLine="0"/>
        <w:jc w:val="both"/>
      </w:pPr>
      <w:proofErr w:type="spellStart"/>
      <w:r w:rsidRPr="0084529C">
        <w:t>Bándi</w:t>
      </w:r>
      <w:proofErr w:type="spellEnd"/>
      <w:r w:rsidRPr="0084529C">
        <w:t xml:space="preserve"> Gyula: Az állam elkötelezettsége a jövő nemzedékek iránt. In: </w:t>
      </w:r>
      <w:proofErr w:type="spellStart"/>
      <w:r w:rsidRPr="0084529C">
        <w:t>Csink</w:t>
      </w:r>
      <w:proofErr w:type="spellEnd"/>
      <w:r w:rsidRPr="0084529C">
        <w:t xml:space="preserve"> Lóránt – </w:t>
      </w:r>
      <w:proofErr w:type="spellStart"/>
      <w:r w:rsidRPr="0084529C">
        <w:t>Schanda</w:t>
      </w:r>
      <w:proofErr w:type="spellEnd"/>
      <w:r w:rsidRPr="0084529C">
        <w:t xml:space="preserve"> Balázs – Varga </w:t>
      </w:r>
      <w:proofErr w:type="spellStart"/>
      <w:r w:rsidRPr="0084529C">
        <w:t>Zs</w:t>
      </w:r>
      <w:proofErr w:type="spellEnd"/>
      <w:r w:rsidRPr="0084529C">
        <w:t>. András (szerk.): A magyar közjog alapintézményei. Pázmány Press, 2022, pp. 1181-1201. </w:t>
      </w:r>
    </w:p>
    <w:p w14:paraId="03A29CBC" w14:textId="77777777" w:rsidR="0084529C" w:rsidRPr="0084529C" w:rsidRDefault="0084529C" w:rsidP="00B87A22">
      <w:pPr>
        <w:pStyle w:val="Nincstrkz"/>
        <w:numPr>
          <w:ilvl w:val="0"/>
          <w:numId w:val="33"/>
        </w:numPr>
        <w:tabs>
          <w:tab w:val="clear" w:pos="720"/>
          <w:tab w:val="num" w:pos="142"/>
        </w:tabs>
        <w:ind w:left="0" w:firstLine="0"/>
        <w:jc w:val="both"/>
      </w:pPr>
      <w:r w:rsidRPr="0084529C">
        <w:lastRenderedPageBreak/>
        <w:t xml:space="preserve">Kinga </w:t>
      </w:r>
      <w:proofErr w:type="spellStart"/>
      <w:r w:rsidRPr="0084529C">
        <w:t>Debisso</w:t>
      </w:r>
      <w:proofErr w:type="spellEnd"/>
      <w:r w:rsidRPr="0084529C">
        <w:t xml:space="preserve"> – Marcel Szabó: An </w:t>
      </w:r>
      <w:proofErr w:type="spellStart"/>
      <w:r w:rsidRPr="0084529C">
        <w:t>Institution</w:t>
      </w:r>
      <w:proofErr w:type="spellEnd"/>
      <w:r w:rsidRPr="0084529C">
        <w:t xml:space="preserve"> </w:t>
      </w:r>
      <w:proofErr w:type="spellStart"/>
      <w:r w:rsidRPr="0084529C">
        <w:t>for</w:t>
      </w:r>
      <w:proofErr w:type="spellEnd"/>
      <w:r w:rsidRPr="0084529C">
        <w:t xml:space="preserve"> a </w:t>
      </w:r>
      <w:proofErr w:type="spellStart"/>
      <w:r w:rsidRPr="0084529C">
        <w:t>Sustainable</w:t>
      </w:r>
      <w:proofErr w:type="spellEnd"/>
      <w:r w:rsidRPr="0084529C">
        <w:t xml:space="preserve"> </w:t>
      </w:r>
      <w:proofErr w:type="spellStart"/>
      <w:r w:rsidRPr="0084529C">
        <w:t>Future</w:t>
      </w:r>
      <w:proofErr w:type="spellEnd"/>
      <w:r w:rsidRPr="0084529C">
        <w:t xml:space="preserve">: The </w:t>
      </w:r>
      <w:proofErr w:type="spellStart"/>
      <w:r w:rsidRPr="0084529C">
        <w:t>Hungarian</w:t>
      </w:r>
      <w:proofErr w:type="spellEnd"/>
      <w:r w:rsidRPr="0084529C">
        <w:t xml:space="preserve"> Ombudsman </w:t>
      </w:r>
      <w:proofErr w:type="spellStart"/>
      <w:r w:rsidRPr="0084529C">
        <w:t>for</w:t>
      </w:r>
      <w:proofErr w:type="spellEnd"/>
      <w:r w:rsidRPr="0084529C">
        <w:t xml:space="preserve">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. </w:t>
      </w:r>
      <w:proofErr w:type="spellStart"/>
      <w:r w:rsidRPr="0084529C">
        <w:t>Hungarian</w:t>
      </w:r>
      <w:proofErr w:type="spellEnd"/>
      <w:r w:rsidRPr="0084529C">
        <w:t xml:space="preserve"> </w:t>
      </w:r>
      <w:proofErr w:type="spellStart"/>
      <w:r w:rsidRPr="0084529C">
        <w:t>Yearbook</w:t>
      </w:r>
      <w:proofErr w:type="spellEnd"/>
      <w:r w:rsidRPr="0084529C">
        <w:t xml:space="preserve"> of International Law and European Law, </w:t>
      </w:r>
      <w:proofErr w:type="spellStart"/>
      <w:r w:rsidRPr="0084529C">
        <w:t>Vol</w:t>
      </w:r>
      <w:proofErr w:type="spellEnd"/>
      <w:r w:rsidRPr="0084529C">
        <w:t>. 9, 2021, pp. 338-358. </w:t>
      </w:r>
    </w:p>
    <w:p w14:paraId="1063979D" w14:textId="77777777" w:rsidR="0084529C" w:rsidRPr="0084529C" w:rsidRDefault="0084529C" w:rsidP="00B87A22">
      <w:pPr>
        <w:pStyle w:val="Nincstrkz"/>
        <w:numPr>
          <w:ilvl w:val="0"/>
          <w:numId w:val="34"/>
        </w:numPr>
        <w:tabs>
          <w:tab w:val="clear" w:pos="720"/>
          <w:tab w:val="num" w:pos="142"/>
        </w:tabs>
        <w:ind w:left="0" w:firstLine="0"/>
        <w:jc w:val="both"/>
      </w:pPr>
      <w:r w:rsidRPr="0084529C">
        <w:t xml:space="preserve">Sulyok Katalin: A jövő nemzedékek </w:t>
      </w:r>
      <w:proofErr w:type="gramStart"/>
      <w:r w:rsidRPr="0084529C">
        <w:t>érdeke</w:t>
      </w:r>
      <w:proofErr w:type="gramEnd"/>
      <w:r w:rsidRPr="0084529C">
        <w:t xml:space="preserve"> mint a jelen generáció mozgásterének korlátja az Alkotmánybíróság és a Német Szövetségi Alkotmánybíróság legújabb döntéseiben. Közjogi Szemle, 2021/3, pp. 12-18. </w:t>
      </w:r>
    </w:p>
    <w:p w14:paraId="57BC282B" w14:textId="77777777" w:rsidR="0084529C" w:rsidRPr="0084529C" w:rsidRDefault="0084529C" w:rsidP="00B87A22">
      <w:pPr>
        <w:pStyle w:val="Nincstrkz"/>
        <w:numPr>
          <w:ilvl w:val="0"/>
          <w:numId w:val="35"/>
        </w:numPr>
        <w:tabs>
          <w:tab w:val="clear" w:pos="720"/>
          <w:tab w:val="num" w:pos="142"/>
        </w:tabs>
        <w:ind w:left="0" w:firstLine="0"/>
        <w:jc w:val="both"/>
      </w:pPr>
      <w:r w:rsidRPr="0084529C">
        <w:t xml:space="preserve">Marie-Claire </w:t>
      </w:r>
      <w:proofErr w:type="spellStart"/>
      <w:r w:rsidRPr="0084529C">
        <w:t>Cordonier</w:t>
      </w:r>
      <w:proofErr w:type="spellEnd"/>
      <w:r w:rsidRPr="0084529C">
        <w:t xml:space="preserve"> </w:t>
      </w:r>
      <w:proofErr w:type="spellStart"/>
      <w:r w:rsidRPr="0084529C">
        <w:t>Segger</w:t>
      </w:r>
      <w:proofErr w:type="spellEnd"/>
      <w:r w:rsidRPr="0084529C">
        <w:t xml:space="preserve"> – Marcel Szabó – Alexandra </w:t>
      </w:r>
      <w:proofErr w:type="spellStart"/>
      <w:r w:rsidRPr="0084529C">
        <w:t>Harrington</w:t>
      </w:r>
      <w:proofErr w:type="spellEnd"/>
      <w:r w:rsidRPr="0084529C">
        <w:t xml:space="preserve"> (</w:t>
      </w:r>
      <w:proofErr w:type="spellStart"/>
      <w:r w:rsidRPr="0084529C">
        <w:t>eds</w:t>
      </w:r>
      <w:proofErr w:type="spellEnd"/>
      <w:r w:rsidRPr="0084529C">
        <w:t xml:space="preserve">.): </w:t>
      </w:r>
      <w:proofErr w:type="spellStart"/>
      <w:r w:rsidRPr="0084529C">
        <w:t>Intergenerational</w:t>
      </w:r>
      <w:proofErr w:type="spellEnd"/>
      <w:r w:rsidRPr="0084529C">
        <w:t xml:space="preserve"> </w:t>
      </w:r>
      <w:proofErr w:type="spellStart"/>
      <w:r w:rsidRPr="0084529C">
        <w:t>Justice</w:t>
      </w:r>
      <w:proofErr w:type="spellEnd"/>
      <w:r w:rsidRPr="0084529C">
        <w:t xml:space="preserve"> in </w:t>
      </w:r>
      <w:proofErr w:type="spellStart"/>
      <w:r w:rsidRPr="0084529C">
        <w:t>Sustainable</w:t>
      </w:r>
      <w:proofErr w:type="spellEnd"/>
      <w:r w:rsidRPr="0084529C">
        <w:t xml:space="preserve"> </w:t>
      </w:r>
      <w:proofErr w:type="spellStart"/>
      <w:r w:rsidRPr="0084529C">
        <w:t>Development</w:t>
      </w:r>
      <w:proofErr w:type="spellEnd"/>
      <w:r w:rsidRPr="0084529C">
        <w:t xml:space="preserve"> </w:t>
      </w:r>
      <w:proofErr w:type="spellStart"/>
      <w:r w:rsidRPr="0084529C">
        <w:t>Treaty</w:t>
      </w:r>
      <w:proofErr w:type="spellEnd"/>
      <w:r w:rsidRPr="0084529C">
        <w:t xml:space="preserve"> </w:t>
      </w:r>
      <w:proofErr w:type="spellStart"/>
      <w:r w:rsidRPr="0084529C">
        <w:t>Implementation</w:t>
      </w:r>
      <w:proofErr w:type="spellEnd"/>
      <w:r w:rsidRPr="0084529C">
        <w:t>. Cambridge University Press, 2016. </w:t>
      </w:r>
    </w:p>
    <w:p w14:paraId="3322CA50" w14:textId="38F64E06" w:rsidR="001F749D" w:rsidRPr="001F749D" w:rsidRDefault="001F749D" w:rsidP="00B87A22">
      <w:pPr>
        <w:pStyle w:val="Nincstrkz"/>
        <w:jc w:val="both"/>
      </w:pPr>
      <w:r w:rsidRPr="001F749D">
        <w:t> </w:t>
      </w:r>
    </w:p>
    <w:p w14:paraId="2BB48A40" w14:textId="77777777" w:rsidR="001F749D" w:rsidRPr="005F6635" w:rsidRDefault="001F749D" w:rsidP="00B87A22">
      <w:pPr>
        <w:pStyle w:val="Nincstrkz"/>
        <w:jc w:val="both"/>
        <w:rPr>
          <w:b/>
          <w:bCs/>
        </w:rPr>
      </w:pPr>
      <w:proofErr w:type="spellStart"/>
      <w:r w:rsidRPr="005F6635">
        <w:rPr>
          <w:b/>
          <w:bCs/>
        </w:rPr>
        <w:t>Contribution</w:t>
      </w:r>
      <w:proofErr w:type="spellEnd"/>
      <w:r w:rsidRPr="005F6635">
        <w:rPr>
          <w:b/>
          <w:bCs/>
        </w:rPr>
        <w:t xml:space="preserve"> of </w:t>
      </w:r>
      <w:proofErr w:type="spellStart"/>
      <w:r w:rsidRPr="005F6635">
        <w:rPr>
          <w:b/>
          <w:bCs/>
        </w:rPr>
        <w:t>the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subject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to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the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acquisition</w:t>
      </w:r>
      <w:proofErr w:type="spellEnd"/>
      <w:r w:rsidRPr="005F6635">
        <w:rPr>
          <w:b/>
          <w:bCs/>
        </w:rPr>
        <w:t xml:space="preserve"> of </w:t>
      </w:r>
      <w:proofErr w:type="spellStart"/>
      <w:r w:rsidRPr="005F6635">
        <w:rPr>
          <w:b/>
          <w:bCs/>
        </w:rPr>
        <w:t>competence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elements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as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defined</w:t>
      </w:r>
      <w:proofErr w:type="spellEnd"/>
      <w:r w:rsidRPr="005F6635">
        <w:rPr>
          <w:b/>
          <w:bCs/>
        </w:rPr>
        <w:t xml:space="preserve"> in </w:t>
      </w:r>
      <w:proofErr w:type="spellStart"/>
      <w:r w:rsidRPr="005F6635">
        <w:rPr>
          <w:b/>
          <w:bCs/>
        </w:rPr>
        <w:t>the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Training</w:t>
      </w:r>
      <w:proofErr w:type="spellEnd"/>
      <w:r w:rsidRPr="005F6635">
        <w:rPr>
          <w:b/>
          <w:bCs/>
        </w:rPr>
        <w:t xml:space="preserve"> and </w:t>
      </w:r>
      <w:proofErr w:type="spellStart"/>
      <w:r w:rsidRPr="005F6635">
        <w:rPr>
          <w:b/>
          <w:bCs/>
        </w:rPr>
        <w:t>Outcome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Requirements</w:t>
      </w:r>
      <w:proofErr w:type="spellEnd"/>
      <w:r w:rsidRPr="005F6635">
        <w:rPr>
          <w:b/>
          <w:bCs/>
        </w:rPr>
        <w:t>:</w:t>
      </w:r>
    </w:p>
    <w:p w14:paraId="58690A5A" w14:textId="228AEB29" w:rsidR="00A63842" w:rsidRPr="00A63842" w:rsidRDefault="00A63842" w:rsidP="00B87A22">
      <w:pPr>
        <w:pStyle w:val="Nincstrkz"/>
        <w:jc w:val="both"/>
      </w:pPr>
      <w:r w:rsidRPr="005F6635">
        <w:rPr>
          <w:b/>
          <w:bCs/>
        </w:rPr>
        <w:t xml:space="preserve">The </w:t>
      </w:r>
      <w:proofErr w:type="spellStart"/>
      <w:r w:rsidRPr="005F6635">
        <w:rPr>
          <w:b/>
          <w:bCs/>
        </w:rPr>
        <w:t>course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contributes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to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the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development</w:t>
      </w:r>
      <w:proofErr w:type="spellEnd"/>
      <w:r w:rsidRPr="005F6635">
        <w:rPr>
          <w:b/>
          <w:bCs/>
        </w:rPr>
        <w:t xml:space="preserve"> of </w:t>
      </w:r>
      <w:proofErr w:type="spellStart"/>
      <w:r w:rsidRPr="005F6635">
        <w:rPr>
          <w:b/>
          <w:bCs/>
        </w:rPr>
        <w:t>doctoral-level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competences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as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follows</w:t>
      </w:r>
      <w:proofErr w:type="spellEnd"/>
      <w:r w:rsidRPr="005F6635">
        <w:rPr>
          <w:b/>
          <w:bCs/>
        </w:rPr>
        <w:t>:</w:t>
      </w:r>
      <w:r w:rsidRPr="00A63842">
        <w:t> </w:t>
      </w:r>
    </w:p>
    <w:p w14:paraId="42F66DC4" w14:textId="77777777" w:rsidR="005F6635" w:rsidRDefault="005F6635" w:rsidP="00B87A22">
      <w:pPr>
        <w:pStyle w:val="Nincstrkz"/>
        <w:jc w:val="both"/>
        <w:rPr>
          <w:lang w:val="en-US"/>
        </w:rPr>
      </w:pPr>
    </w:p>
    <w:p w14:paraId="77813534" w14:textId="77777777" w:rsidR="0084529C" w:rsidRPr="0084529C" w:rsidRDefault="0084529C" w:rsidP="00B87A22">
      <w:pPr>
        <w:pStyle w:val="Nincstrkz"/>
        <w:jc w:val="both"/>
      </w:pPr>
      <w:r w:rsidRPr="0084529C">
        <w:t xml:space="preserve">The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helps</w:t>
      </w:r>
      <w:proofErr w:type="spellEnd"/>
      <w:r w:rsidRPr="0084529C">
        <w:t xml:space="preserve"> </w:t>
      </w:r>
      <w:proofErr w:type="spellStart"/>
      <w:r w:rsidRPr="0084529C">
        <w:t>students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creatively</w:t>
      </w:r>
      <w:proofErr w:type="spellEnd"/>
      <w:r w:rsidRPr="0084529C">
        <w:t xml:space="preserve"> </w:t>
      </w:r>
      <w:proofErr w:type="spellStart"/>
      <w:r w:rsidRPr="0084529C">
        <w:t>understand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connections</w:t>
      </w:r>
      <w:proofErr w:type="spellEnd"/>
      <w:r w:rsidRPr="0084529C">
        <w:t xml:space="preserve"> </w:t>
      </w:r>
      <w:proofErr w:type="spellStart"/>
      <w:r w:rsidRPr="0084529C">
        <w:t>between</w:t>
      </w:r>
      <w:proofErr w:type="spellEnd"/>
      <w:r w:rsidRPr="0084529C">
        <w:t xml:space="preserve"> </w:t>
      </w:r>
      <w:proofErr w:type="spellStart"/>
      <w:r w:rsidRPr="0084529C">
        <w:t>certain</w:t>
      </w:r>
      <w:proofErr w:type="spellEnd"/>
      <w:r w:rsidRPr="0084529C">
        <w:t xml:space="preserve"> </w:t>
      </w:r>
      <w:proofErr w:type="spellStart"/>
      <w:r w:rsidRPr="0084529C">
        <w:t>substantive</w:t>
      </w:r>
      <w:proofErr w:type="spellEnd"/>
      <w:r w:rsidRPr="0084529C">
        <w:t xml:space="preserve"> and </w:t>
      </w:r>
      <w:proofErr w:type="spellStart"/>
      <w:r w:rsidRPr="0084529C">
        <w:t>procedural</w:t>
      </w:r>
      <w:proofErr w:type="spellEnd"/>
      <w:r w:rsidRPr="0084529C">
        <w:t xml:space="preserve">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issues</w:t>
      </w:r>
      <w:proofErr w:type="spellEnd"/>
      <w:r w:rsidRPr="0084529C">
        <w:t xml:space="preserve"> </w:t>
      </w:r>
      <w:proofErr w:type="spellStart"/>
      <w:r w:rsidRPr="0084529C">
        <w:t>related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representing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. The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also</w:t>
      </w:r>
      <w:proofErr w:type="spellEnd"/>
      <w:r w:rsidRPr="0084529C">
        <w:t xml:space="preserve"> </w:t>
      </w:r>
      <w:proofErr w:type="spellStart"/>
      <w:r w:rsidRPr="0084529C">
        <w:t>enables</w:t>
      </w:r>
      <w:proofErr w:type="spellEnd"/>
      <w:r w:rsidRPr="0084529C">
        <w:t xml:space="preserve"> </w:t>
      </w:r>
      <w:proofErr w:type="spellStart"/>
      <w:r w:rsidRPr="0084529C">
        <w:t>students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propose</w:t>
      </w:r>
      <w:proofErr w:type="spellEnd"/>
      <w:r w:rsidRPr="0084529C">
        <w:t xml:space="preserve"> </w:t>
      </w:r>
      <w:proofErr w:type="spellStart"/>
      <w:r w:rsidRPr="0084529C">
        <w:t>new</w:t>
      </w:r>
      <w:proofErr w:type="spellEnd"/>
      <w:r w:rsidRPr="0084529C">
        <w:t xml:space="preserve">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solutions</w:t>
      </w:r>
      <w:proofErr w:type="spellEnd"/>
      <w:r w:rsidRPr="0084529C">
        <w:t xml:space="preserve"> </w:t>
      </w:r>
      <w:proofErr w:type="spellStart"/>
      <w:r w:rsidRPr="0084529C">
        <w:t>that</w:t>
      </w:r>
      <w:proofErr w:type="spellEnd"/>
      <w:r w:rsidRPr="0084529C">
        <w:t xml:space="preserve"> </w:t>
      </w:r>
      <w:proofErr w:type="spellStart"/>
      <w:r w:rsidRPr="0084529C">
        <w:t>have</w:t>
      </w:r>
      <w:proofErr w:type="spellEnd"/>
      <w:r w:rsidRPr="0084529C">
        <w:t xml:space="preserve"> </w:t>
      </w:r>
      <w:proofErr w:type="spellStart"/>
      <w:r w:rsidRPr="0084529C">
        <w:t>not</w:t>
      </w:r>
      <w:proofErr w:type="spellEnd"/>
      <w:r w:rsidRPr="0084529C">
        <w:t xml:space="preserve"> (</w:t>
      </w:r>
      <w:proofErr w:type="spellStart"/>
      <w:r w:rsidRPr="0084529C">
        <w:t>yet</w:t>
      </w:r>
      <w:proofErr w:type="spellEnd"/>
      <w:r w:rsidRPr="0084529C">
        <w:t xml:space="preserve">) </w:t>
      </w:r>
      <w:proofErr w:type="spellStart"/>
      <w:r w:rsidRPr="0084529C">
        <w:t>been</w:t>
      </w:r>
      <w:proofErr w:type="spellEnd"/>
      <w:r w:rsidRPr="0084529C">
        <w:t xml:space="preserve"> </w:t>
      </w:r>
      <w:proofErr w:type="spellStart"/>
      <w:r w:rsidRPr="0084529C">
        <w:t>applied</w:t>
      </w:r>
      <w:proofErr w:type="spellEnd"/>
      <w:r w:rsidRPr="0084529C">
        <w:t xml:space="preserve"> in </w:t>
      </w:r>
      <w:proofErr w:type="spellStart"/>
      <w:r w:rsidRPr="0084529C">
        <w:t>practice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theoretical</w:t>
      </w:r>
      <w:proofErr w:type="spellEnd"/>
      <w:r w:rsidRPr="0084529C">
        <w:t xml:space="preserve"> </w:t>
      </w:r>
      <w:proofErr w:type="spellStart"/>
      <w:r w:rsidRPr="0084529C">
        <w:t>issues</w:t>
      </w:r>
      <w:proofErr w:type="spellEnd"/>
      <w:r w:rsidRPr="0084529C">
        <w:t xml:space="preserve"> </w:t>
      </w:r>
      <w:proofErr w:type="spellStart"/>
      <w:r w:rsidRPr="0084529C">
        <w:t>arising</w:t>
      </w:r>
      <w:proofErr w:type="spellEnd"/>
      <w:r w:rsidRPr="0084529C">
        <w:t xml:space="preserve"> in </w:t>
      </w:r>
      <w:proofErr w:type="spellStart"/>
      <w:r w:rsidRPr="0084529C">
        <w:t>connection</w:t>
      </w:r>
      <w:proofErr w:type="spellEnd"/>
      <w:r w:rsidRPr="0084529C">
        <w:t xml:space="preserve"> </w:t>
      </w:r>
      <w:proofErr w:type="spellStart"/>
      <w:r w:rsidRPr="0084529C">
        <w:t>with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representation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rights</w:t>
      </w:r>
      <w:proofErr w:type="spellEnd"/>
      <w:r w:rsidRPr="0084529C">
        <w:t xml:space="preserve"> of </w:t>
      </w:r>
      <w:proofErr w:type="spellStart"/>
      <w:r w:rsidRPr="0084529C">
        <w:t>future</w:t>
      </w:r>
      <w:proofErr w:type="spellEnd"/>
      <w:r w:rsidRPr="0084529C">
        <w:t xml:space="preserve"> </w:t>
      </w:r>
      <w:proofErr w:type="spellStart"/>
      <w:r w:rsidRPr="0084529C">
        <w:t>generations</w:t>
      </w:r>
      <w:proofErr w:type="spellEnd"/>
      <w:r w:rsidRPr="0084529C">
        <w:t xml:space="preserve">. The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also</w:t>
      </w:r>
      <w:proofErr w:type="spellEnd"/>
      <w:r w:rsidRPr="0084529C">
        <w:t xml:space="preserve"> </w:t>
      </w:r>
      <w:proofErr w:type="spellStart"/>
      <w:r w:rsidRPr="0084529C">
        <w:t>helps</w:t>
      </w:r>
      <w:proofErr w:type="spellEnd"/>
      <w:r w:rsidRPr="0084529C">
        <w:t xml:space="preserve"> </w:t>
      </w:r>
      <w:proofErr w:type="spellStart"/>
      <w:r w:rsidRPr="0084529C">
        <w:t>students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identify</w:t>
      </w:r>
      <w:proofErr w:type="spellEnd"/>
      <w:r w:rsidRPr="0084529C">
        <w:t xml:space="preserve"> </w:t>
      </w:r>
      <w:proofErr w:type="spellStart"/>
      <w:r w:rsidRPr="0084529C">
        <w:t>new</w:t>
      </w:r>
      <w:proofErr w:type="spellEnd"/>
      <w:r w:rsidRPr="0084529C">
        <w:t xml:space="preserve">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problems</w:t>
      </w:r>
      <w:proofErr w:type="spellEnd"/>
      <w:r w:rsidRPr="0084529C">
        <w:t xml:space="preserve"> </w:t>
      </w:r>
      <w:proofErr w:type="spellStart"/>
      <w:r w:rsidRPr="0084529C">
        <w:t>that</w:t>
      </w:r>
      <w:proofErr w:type="spellEnd"/>
      <w:r w:rsidRPr="0084529C">
        <w:t xml:space="preserve"> </w:t>
      </w:r>
      <w:proofErr w:type="spellStart"/>
      <w:r w:rsidRPr="0084529C">
        <w:t>may</w:t>
      </w:r>
      <w:proofErr w:type="spellEnd"/>
      <w:r w:rsidRPr="0084529C">
        <w:t xml:space="preserve"> </w:t>
      </w:r>
      <w:proofErr w:type="spellStart"/>
      <w:r w:rsidRPr="0084529C">
        <w:t>arise</w:t>
      </w:r>
      <w:proofErr w:type="spellEnd"/>
      <w:r w:rsidRPr="0084529C">
        <w:t xml:space="preserve"> in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future</w:t>
      </w:r>
      <w:proofErr w:type="spellEnd"/>
      <w:r w:rsidRPr="0084529C">
        <w:t xml:space="preserve"> and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propose</w:t>
      </w:r>
      <w:proofErr w:type="spellEnd"/>
      <w:r w:rsidRPr="0084529C">
        <w:t xml:space="preserve"> </w:t>
      </w:r>
      <w:proofErr w:type="spellStart"/>
      <w:r w:rsidRPr="0084529C">
        <w:t>adequate</w:t>
      </w:r>
      <w:proofErr w:type="spellEnd"/>
      <w:r w:rsidRPr="0084529C">
        <w:t xml:space="preserve"> </w:t>
      </w:r>
      <w:proofErr w:type="spellStart"/>
      <w:r w:rsidRPr="0084529C">
        <w:t>solutions</w:t>
      </w:r>
      <w:proofErr w:type="spellEnd"/>
      <w:r w:rsidRPr="0084529C">
        <w:t xml:space="preserve"> </w:t>
      </w:r>
      <w:proofErr w:type="spellStart"/>
      <w:r w:rsidRPr="0084529C">
        <w:t>to</w:t>
      </w:r>
      <w:proofErr w:type="spellEnd"/>
      <w:r w:rsidRPr="0084529C">
        <w:t xml:space="preserve"> </w:t>
      </w:r>
      <w:proofErr w:type="spellStart"/>
      <w:r w:rsidRPr="0084529C">
        <w:t>them</w:t>
      </w:r>
      <w:proofErr w:type="spellEnd"/>
      <w:r w:rsidRPr="0084529C">
        <w:t xml:space="preserve">. The </w:t>
      </w:r>
      <w:proofErr w:type="spellStart"/>
      <w:r w:rsidRPr="0084529C">
        <w:t>subject</w:t>
      </w:r>
      <w:proofErr w:type="spellEnd"/>
      <w:r w:rsidRPr="0084529C">
        <w:t xml:space="preserve"> </w:t>
      </w:r>
      <w:proofErr w:type="spellStart"/>
      <w:r w:rsidRPr="0084529C">
        <w:t>matter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course</w:t>
      </w:r>
      <w:proofErr w:type="spellEnd"/>
      <w:r w:rsidRPr="0084529C">
        <w:t xml:space="preserve"> </w:t>
      </w:r>
      <w:proofErr w:type="spellStart"/>
      <w:r w:rsidRPr="0084529C">
        <w:t>necessarily</w:t>
      </w:r>
      <w:proofErr w:type="spellEnd"/>
      <w:r w:rsidRPr="0084529C">
        <w:t xml:space="preserve"> </w:t>
      </w:r>
      <w:proofErr w:type="spellStart"/>
      <w:r w:rsidRPr="0084529C">
        <w:t>presupposes</w:t>
      </w:r>
      <w:proofErr w:type="spellEnd"/>
      <w:r w:rsidRPr="0084529C">
        <w:t xml:space="preserve">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proposal</w:t>
      </w:r>
      <w:proofErr w:type="spellEnd"/>
      <w:r w:rsidRPr="0084529C">
        <w:t xml:space="preserve"> of </w:t>
      </w:r>
      <w:proofErr w:type="spellStart"/>
      <w:r w:rsidRPr="0084529C">
        <w:t>new</w:t>
      </w:r>
      <w:proofErr w:type="spellEnd"/>
      <w:r w:rsidRPr="0084529C">
        <w:t xml:space="preserve"> </w:t>
      </w:r>
      <w:proofErr w:type="spellStart"/>
      <w:r w:rsidRPr="0084529C">
        <w:t>practical</w:t>
      </w:r>
      <w:proofErr w:type="spellEnd"/>
      <w:r w:rsidRPr="0084529C">
        <w:t xml:space="preserve"> </w:t>
      </w:r>
      <w:proofErr w:type="spellStart"/>
      <w:r w:rsidRPr="0084529C">
        <w:t>solutions</w:t>
      </w:r>
      <w:proofErr w:type="spellEnd"/>
      <w:r w:rsidRPr="0084529C">
        <w:t xml:space="preserve"> and </w:t>
      </w:r>
      <w:proofErr w:type="spellStart"/>
      <w:r w:rsidRPr="0084529C">
        <w:t>professional</w:t>
      </w:r>
      <w:proofErr w:type="spellEnd"/>
      <w:r w:rsidRPr="0084529C">
        <w:t xml:space="preserve"> </w:t>
      </w:r>
      <w:proofErr w:type="spellStart"/>
      <w:r w:rsidRPr="0084529C">
        <w:t>argumentation</w:t>
      </w:r>
      <w:proofErr w:type="spellEnd"/>
      <w:r w:rsidRPr="0084529C">
        <w:t xml:space="preserve"> in </w:t>
      </w:r>
      <w:proofErr w:type="spellStart"/>
      <w:r w:rsidRPr="0084529C">
        <w:t>support</w:t>
      </w:r>
      <w:proofErr w:type="spellEnd"/>
      <w:r w:rsidRPr="0084529C">
        <w:t xml:space="preserve"> of </w:t>
      </w:r>
      <w:proofErr w:type="spellStart"/>
      <w:r w:rsidRPr="0084529C">
        <w:t>the</w:t>
      </w:r>
      <w:proofErr w:type="spellEnd"/>
      <w:r w:rsidRPr="0084529C">
        <w:t xml:space="preserve"> </w:t>
      </w:r>
      <w:proofErr w:type="spellStart"/>
      <w:r w:rsidRPr="0084529C">
        <w:t>established</w:t>
      </w:r>
      <w:proofErr w:type="spellEnd"/>
      <w:r w:rsidRPr="0084529C">
        <w:t xml:space="preserve"> </w:t>
      </w:r>
      <w:proofErr w:type="spellStart"/>
      <w:r w:rsidRPr="0084529C">
        <w:t>legal</w:t>
      </w:r>
      <w:proofErr w:type="spellEnd"/>
      <w:r w:rsidRPr="0084529C">
        <w:t xml:space="preserve"> </w:t>
      </w:r>
      <w:proofErr w:type="spellStart"/>
      <w:r w:rsidRPr="0084529C">
        <w:t>position</w:t>
      </w:r>
      <w:proofErr w:type="spellEnd"/>
      <w:r w:rsidRPr="0084529C">
        <w:t>. </w:t>
      </w:r>
    </w:p>
    <w:p w14:paraId="681FA000" w14:textId="77777777" w:rsidR="0084529C" w:rsidRDefault="0084529C" w:rsidP="00B87A22">
      <w:pPr>
        <w:pStyle w:val="Nincstrkz"/>
        <w:jc w:val="both"/>
        <w:rPr>
          <w:b/>
          <w:bCs/>
        </w:rPr>
      </w:pPr>
    </w:p>
    <w:p w14:paraId="7380AE8B" w14:textId="7818BD35" w:rsidR="001F749D" w:rsidRPr="005F6635" w:rsidRDefault="001F749D" w:rsidP="00B87A22">
      <w:pPr>
        <w:pStyle w:val="Nincstrkz"/>
        <w:jc w:val="both"/>
        <w:rPr>
          <w:b/>
          <w:bCs/>
        </w:rPr>
      </w:pPr>
      <w:proofErr w:type="spellStart"/>
      <w:r w:rsidRPr="005F6635">
        <w:rPr>
          <w:b/>
          <w:bCs/>
        </w:rPr>
        <w:t>Lecturer</w:t>
      </w:r>
      <w:proofErr w:type="spellEnd"/>
      <w:r w:rsidRPr="005F6635">
        <w:rPr>
          <w:b/>
          <w:bCs/>
        </w:rPr>
        <w:t xml:space="preserve">(s) of </w:t>
      </w:r>
      <w:proofErr w:type="spellStart"/>
      <w:r w:rsidRPr="005F6635">
        <w:rPr>
          <w:b/>
          <w:bCs/>
        </w:rPr>
        <w:t>the</w:t>
      </w:r>
      <w:proofErr w:type="spellEnd"/>
      <w:r w:rsidRPr="005F6635">
        <w:rPr>
          <w:b/>
          <w:bCs/>
        </w:rPr>
        <w:t xml:space="preserve"> </w:t>
      </w:r>
      <w:proofErr w:type="spellStart"/>
      <w:r w:rsidRPr="005F6635">
        <w:rPr>
          <w:b/>
          <w:bCs/>
        </w:rPr>
        <w:t>subject</w:t>
      </w:r>
      <w:proofErr w:type="spellEnd"/>
      <w:r w:rsidRPr="005F6635">
        <w:rPr>
          <w:b/>
          <w:bCs/>
        </w:rPr>
        <w:t>:</w:t>
      </w:r>
    </w:p>
    <w:p w14:paraId="41A981CC" w14:textId="77777777" w:rsidR="0084529C" w:rsidRPr="0084529C" w:rsidRDefault="0084529C" w:rsidP="00B87A22">
      <w:pPr>
        <w:pStyle w:val="Nincstrkz"/>
        <w:jc w:val="both"/>
      </w:pPr>
      <w:r w:rsidRPr="0084529C">
        <w:t xml:space="preserve">Gyula </w:t>
      </w:r>
      <w:proofErr w:type="spellStart"/>
      <w:r w:rsidRPr="0084529C">
        <w:t>Bándi</w:t>
      </w:r>
      <w:proofErr w:type="spellEnd"/>
      <w:r w:rsidRPr="0084529C">
        <w:t xml:space="preserve"> – Marcel Szabó </w:t>
      </w:r>
    </w:p>
    <w:p w14:paraId="0A955D30" w14:textId="10F5D2ED" w:rsidR="00EB2722" w:rsidRPr="00EB2722" w:rsidRDefault="00EB2722" w:rsidP="00B87A22">
      <w:pPr>
        <w:pStyle w:val="Nincstrkz"/>
        <w:jc w:val="both"/>
      </w:pPr>
    </w:p>
    <w:p w14:paraId="156F16C4" w14:textId="4D4C7E48" w:rsidR="00797F1C" w:rsidRPr="00797F1C" w:rsidRDefault="00797F1C" w:rsidP="00B87A22">
      <w:pPr>
        <w:pStyle w:val="Nincstrkz"/>
        <w:jc w:val="both"/>
      </w:pPr>
    </w:p>
    <w:p w14:paraId="4829598C" w14:textId="5C11369B" w:rsidR="001F749D" w:rsidRPr="001F749D" w:rsidRDefault="001F749D" w:rsidP="00B87A22">
      <w:pPr>
        <w:pStyle w:val="Nincstrkz"/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7BD0"/>
    <w:multiLevelType w:val="multilevel"/>
    <w:tmpl w:val="500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417D4"/>
    <w:multiLevelType w:val="multilevel"/>
    <w:tmpl w:val="AE00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B759E"/>
    <w:multiLevelType w:val="multilevel"/>
    <w:tmpl w:val="1E0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41DA8"/>
    <w:multiLevelType w:val="multilevel"/>
    <w:tmpl w:val="D140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A5189"/>
    <w:multiLevelType w:val="multilevel"/>
    <w:tmpl w:val="896E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116FD"/>
    <w:multiLevelType w:val="multilevel"/>
    <w:tmpl w:val="487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532B7"/>
    <w:multiLevelType w:val="multilevel"/>
    <w:tmpl w:val="941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F6B1C"/>
    <w:multiLevelType w:val="multilevel"/>
    <w:tmpl w:val="DF8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51136"/>
    <w:multiLevelType w:val="multilevel"/>
    <w:tmpl w:val="F226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8081D"/>
    <w:multiLevelType w:val="multilevel"/>
    <w:tmpl w:val="F41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12B0F"/>
    <w:multiLevelType w:val="multilevel"/>
    <w:tmpl w:val="3BE89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C58FF"/>
    <w:multiLevelType w:val="multilevel"/>
    <w:tmpl w:val="0F1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66E00"/>
    <w:multiLevelType w:val="multilevel"/>
    <w:tmpl w:val="655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55E20"/>
    <w:multiLevelType w:val="multilevel"/>
    <w:tmpl w:val="7F7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2233B"/>
    <w:multiLevelType w:val="multilevel"/>
    <w:tmpl w:val="B29C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759A1"/>
    <w:multiLevelType w:val="multilevel"/>
    <w:tmpl w:val="86C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C4AFF"/>
    <w:multiLevelType w:val="multilevel"/>
    <w:tmpl w:val="CD58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F4772"/>
    <w:multiLevelType w:val="multilevel"/>
    <w:tmpl w:val="5B9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D24EF"/>
    <w:multiLevelType w:val="multilevel"/>
    <w:tmpl w:val="5CDA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00F8B"/>
    <w:multiLevelType w:val="multilevel"/>
    <w:tmpl w:val="074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94CF1"/>
    <w:multiLevelType w:val="multilevel"/>
    <w:tmpl w:val="1F7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61CCC"/>
    <w:multiLevelType w:val="multilevel"/>
    <w:tmpl w:val="E84A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6A3F9D"/>
    <w:multiLevelType w:val="multilevel"/>
    <w:tmpl w:val="483C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27668"/>
    <w:multiLevelType w:val="multilevel"/>
    <w:tmpl w:val="6D9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3602C"/>
    <w:multiLevelType w:val="multilevel"/>
    <w:tmpl w:val="7246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317469">
    <w:abstractNumId w:val="4"/>
  </w:num>
  <w:num w:numId="2" w16cid:durableId="1220941275">
    <w:abstractNumId w:val="30"/>
  </w:num>
  <w:num w:numId="3" w16cid:durableId="1656912806">
    <w:abstractNumId w:val="12"/>
  </w:num>
  <w:num w:numId="4" w16cid:durableId="2096702254">
    <w:abstractNumId w:val="23"/>
  </w:num>
  <w:num w:numId="5" w16cid:durableId="576288488">
    <w:abstractNumId w:val="20"/>
  </w:num>
  <w:num w:numId="6" w16cid:durableId="1892036830">
    <w:abstractNumId w:val="24"/>
  </w:num>
  <w:num w:numId="7" w16cid:durableId="1647514419">
    <w:abstractNumId w:val="0"/>
  </w:num>
  <w:num w:numId="8" w16cid:durableId="781191227">
    <w:abstractNumId w:val="10"/>
  </w:num>
  <w:num w:numId="9" w16cid:durableId="960107830">
    <w:abstractNumId w:val="22"/>
  </w:num>
  <w:num w:numId="10" w16cid:durableId="1049381860">
    <w:abstractNumId w:val="33"/>
  </w:num>
  <w:num w:numId="11" w16cid:durableId="582490324">
    <w:abstractNumId w:val="2"/>
  </w:num>
  <w:num w:numId="12" w16cid:durableId="1745568842">
    <w:abstractNumId w:val="14"/>
  </w:num>
  <w:num w:numId="13" w16cid:durableId="532034345">
    <w:abstractNumId w:val="17"/>
  </w:num>
  <w:num w:numId="14" w16cid:durableId="1523975140">
    <w:abstractNumId w:val="29"/>
  </w:num>
  <w:num w:numId="15" w16cid:durableId="613632995">
    <w:abstractNumId w:val="21"/>
  </w:num>
  <w:num w:numId="16" w16cid:durableId="1865971854">
    <w:abstractNumId w:val="1"/>
  </w:num>
  <w:num w:numId="17" w16cid:durableId="2017879406">
    <w:abstractNumId w:val="16"/>
  </w:num>
  <w:num w:numId="18" w16cid:durableId="1396515113">
    <w:abstractNumId w:val="32"/>
  </w:num>
  <w:num w:numId="19" w16cid:durableId="201019225">
    <w:abstractNumId w:val="18"/>
  </w:num>
  <w:num w:numId="20" w16cid:durableId="2050303492">
    <w:abstractNumId w:val="19"/>
  </w:num>
  <w:num w:numId="21" w16cid:durableId="29496168">
    <w:abstractNumId w:val="6"/>
  </w:num>
  <w:num w:numId="22" w16cid:durableId="1022122529">
    <w:abstractNumId w:val="9"/>
  </w:num>
  <w:num w:numId="23" w16cid:durableId="798567266">
    <w:abstractNumId w:val="25"/>
  </w:num>
  <w:num w:numId="24" w16cid:durableId="1260333208">
    <w:abstractNumId w:val="8"/>
  </w:num>
  <w:num w:numId="25" w16cid:durableId="153494512">
    <w:abstractNumId w:val="7"/>
  </w:num>
  <w:num w:numId="26" w16cid:durableId="510611021">
    <w:abstractNumId w:val="27"/>
  </w:num>
  <w:num w:numId="27" w16cid:durableId="569583849">
    <w:abstractNumId w:val="3"/>
  </w:num>
  <w:num w:numId="28" w16cid:durableId="143327294">
    <w:abstractNumId w:val="15"/>
  </w:num>
  <w:num w:numId="29" w16cid:durableId="2113738515">
    <w:abstractNumId w:val="34"/>
  </w:num>
  <w:num w:numId="30" w16cid:durableId="1183319740">
    <w:abstractNumId w:val="26"/>
  </w:num>
  <w:num w:numId="31" w16cid:durableId="1058896280">
    <w:abstractNumId w:val="5"/>
  </w:num>
  <w:num w:numId="32" w16cid:durableId="1741100842">
    <w:abstractNumId w:val="13"/>
  </w:num>
  <w:num w:numId="33" w16cid:durableId="1663243244">
    <w:abstractNumId w:val="28"/>
  </w:num>
  <w:num w:numId="34" w16cid:durableId="712385318">
    <w:abstractNumId w:val="31"/>
  </w:num>
  <w:num w:numId="35" w16cid:durableId="780342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F749D"/>
    <w:rsid w:val="00376789"/>
    <w:rsid w:val="004C1325"/>
    <w:rsid w:val="005F6635"/>
    <w:rsid w:val="006219D1"/>
    <w:rsid w:val="006E7028"/>
    <w:rsid w:val="00790FC8"/>
    <w:rsid w:val="00797F1C"/>
    <w:rsid w:val="007C10A8"/>
    <w:rsid w:val="0084529C"/>
    <w:rsid w:val="009F0033"/>
    <w:rsid w:val="00A241BA"/>
    <w:rsid w:val="00A63842"/>
    <w:rsid w:val="00AD012D"/>
    <w:rsid w:val="00B14A66"/>
    <w:rsid w:val="00B87A22"/>
    <w:rsid w:val="00C62DAD"/>
    <w:rsid w:val="00D77745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FC8"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6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2026-02-27T10:26:00Z</dcterms:created>
  <dcterms:modified xsi:type="dcterms:W3CDTF">2026-03-02T12:17:00Z</dcterms:modified>
</cp:coreProperties>
</file>