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2FAC" w14:textId="77777777" w:rsidR="00D53838" w:rsidRPr="00D53838" w:rsidRDefault="00D53838" w:rsidP="006A09C5">
      <w:pPr>
        <w:jc w:val="both"/>
        <w:rPr>
          <w:b/>
          <w:bCs/>
        </w:rPr>
      </w:pPr>
      <w:proofErr w:type="spellStart"/>
      <w:r w:rsidRPr="00D53838">
        <w:rPr>
          <w:b/>
          <w:bCs/>
        </w:rPr>
        <w:t>Deliktuális</w:t>
      </w:r>
      <w:proofErr w:type="spellEnd"/>
      <w:r w:rsidRPr="00D53838">
        <w:rPr>
          <w:b/>
          <w:bCs/>
        </w:rPr>
        <w:t xml:space="preserve"> jog JDDO361XA0 </w:t>
      </w:r>
    </w:p>
    <w:p w14:paraId="35C59CE6" w14:textId="77777777" w:rsidR="00D673CB" w:rsidRPr="003B0B39" w:rsidRDefault="00D673CB" w:rsidP="006A09C5">
      <w:pPr>
        <w:jc w:val="both"/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1BAF50BC" w14:textId="77777777" w:rsidR="00D53838" w:rsidRPr="00D53838" w:rsidRDefault="00D53838" w:rsidP="006A09C5">
      <w:pPr>
        <w:jc w:val="both"/>
      </w:pPr>
      <w:r w:rsidRPr="00D53838">
        <w:t xml:space="preserve">A </w:t>
      </w:r>
      <w:proofErr w:type="spellStart"/>
      <w:r w:rsidRPr="00D53838">
        <w:t>deliktuális</w:t>
      </w:r>
      <w:proofErr w:type="spellEnd"/>
      <w:r w:rsidRPr="00D53838">
        <w:t xml:space="preserve"> felelősségi jog kialakulásának és fejlődésének áttekintése. A </w:t>
      </w:r>
      <w:proofErr w:type="spellStart"/>
      <w:r w:rsidRPr="00D53838">
        <w:t>deliktuális</w:t>
      </w:r>
      <w:proofErr w:type="spellEnd"/>
      <w:r w:rsidRPr="00D53838">
        <w:t xml:space="preserve"> kárfelelősség intézményének és annak a polgári jog dogmatikai rendszerébe való illeszkedésének mélyreható elemzése. A legújabb kárfelelősségi technikák összehasonlító jogi bemutatása, figyelemmel a </w:t>
      </w:r>
      <w:proofErr w:type="spellStart"/>
      <w:r w:rsidRPr="00D53838">
        <w:t>deliktuális</w:t>
      </w:r>
      <w:proofErr w:type="spellEnd"/>
      <w:r w:rsidRPr="00D53838">
        <w:t xml:space="preserve"> jog érvényesülésének jogi-, gazdasági- és társadalmi </w:t>
      </w:r>
      <w:proofErr w:type="spellStart"/>
      <w:r w:rsidRPr="00D53838">
        <w:t>korlátaira</w:t>
      </w:r>
      <w:proofErr w:type="spellEnd"/>
      <w:r w:rsidRPr="00D53838">
        <w:t xml:space="preserve">. A modern technológiák (GMO, drónok, önvezető járművek, </w:t>
      </w:r>
      <w:proofErr w:type="gramStart"/>
      <w:r w:rsidRPr="00D53838">
        <w:t>AI,</w:t>
      </w:r>
      <w:proofErr w:type="gramEnd"/>
      <w:r w:rsidRPr="00D53838">
        <w:t xml:space="preserve"> stb.) által felmerülő újabb kihívások által - különösen a joggyakorlatban - felmerülő kérdések/problémák azonosítása és azok közjó/közösségi értékek mentén való megválaszolása. </w:t>
      </w:r>
    </w:p>
    <w:p w14:paraId="687B7A9E" w14:textId="31395D81" w:rsidR="00D673CB" w:rsidRPr="003B0B39" w:rsidRDefault="00D673CB" w:rsidP="006A09C5">
      <w:pPr>
        <w:jc w:val="both"/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11A8F951" w14:textId="77777777" w:rsidR="00694FC2" w:rsidRPr="00694FC2" w:rsidRDefault="00694FC2" w:rsidP="006A09C5">
      <w:pPr>
        <w:jc w:val="both"/>
      </w:pPr>
      <w:r w:rsidRPr="00694FC2">
        <w:t>Hazai- és külföldi bírósági joggyakorlat. </w:t>
      </w:r>
    </w:p>
    <w:p w14:paraId="778E292C" w14:textId="0D49693F" w:rsidR="00D673CB" w:rsidRPr="003B0B39" w:rsidRDefault="00D673CB" w:rsidP="006A09C5">
      <w:pPr>
        <w:jc w:val="both"/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39A46D34" w14:textId="77777777" w:rsidR="00D53838" w:rsidRPr="00D53838" w:rsidRDefault="00D53838" w:rsidP="006A09C5">
      <w:pPr>
        <w:jc w:val="both"/>
      </w:pPr>
      <w:r w:rsidRPr="00D53838">
        <w:t xml:space="preserve">A polgári jog és különösen a </w:t>
      </w:r>
      <w:proofErr w:type="spellStart"/>
      <w:r w:rsidRPr="00D53838">
        <w:t>deliktuális</w:t>
      </w:r>
      <w:proofErr w:type="spellEnd"/>
      <w:r w:rsidRPr="00D53838">
        <w:t xml:space="preserve"> jog, valamint a kapcsolódó ágazati szabályozások rendszerszintű ismerete, azok belső szabályozási logikájának/struktúrájának megismerése (különös hangsúllyal a magyar, a német, az angolszász és az EU szabályrendszerére). </w:t>
      </w:r>
    </w:p>
    <w:p w14:paraId="05DB11AF" w14:textId="734F20B3" w:rsidR="00D673CB" w:rsidRPr="003B0B39" w:rsidRDefault="00D673CB" w:rsidP="006A09C5">
      <w:pPr>
        <w:jc w:val="both"/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2F2A4A9D" w14:textId="77777777" w:rsidR="00D53838" w:rsidRPr="00D53838" w:rsidRDefault="00D53838" w:rsidP="006A09C5">
      <w:pPr>
        <w:jc w:val="both"/>
      </w:pPr>
      <w:r w:rsidRPr="00D53838">
        <w:t xml:space="preserve">Szóbeli beszámoló, mely során a Doktorandusz/Doktoranda saját kutatási témájára vonatkozóan ismerteti a releváns </w:t>
      </w:r>
      <w:proofErr w:type="spellStart"/>
      <w:r w:rsidRPr="00D53838">
        <w:t>deliktuális</w:t>
      </w:r>
      <w:proofErr w:type="spellEnd"/>
      <w:r w:rsidRPr="00D53838">
        <w:t xml:space="preserve"> jogi viszonyrendszerek és alakzatok érvényesülését, figyelemmel a kurzus keretében megszerzett ismeretekre, így különösen a jogtörténeti, az összehasonlító-jogi és az ágazati szempontokra. </w:t>
      </w:r>
    </w:p>
    <w:p w14:paraId="66B99562" w14:textId="7D35ADD6" w:rsidR="00D673CB" w:rsidRPr="003B0B39" w:rsidRDefault="00D673CB" w:rsidP="006A09C5">
      <w:pPr>
        <w:jc w:val="both"/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60AA8EF2" w14:textId="77777777" w:rsidR="00D53838" w:rsidRPr="00D53838" w:rsidRDefault="00D53838" w:rsidP="006A09C5">
      <w:pPr>
        <w:jc w:val="both"/>
      </w:pPr>
      <w:r w:rsidRPr="00D53838">
        <w:t>Gyakorlat orientált frontális oktatás (kérdés/problémakör felvetés), majd egyéni- és kiscsoportos munka (pro- és kontra érvelés a lehetséges megoldásokra figyelemmel) </w:t>
      </w:r>
    </w:p>
    <w:p w14:paraId="3C804C69" w14:textId="536AC26A" w:rsidR="00D673CB" w:rsidRPr="003B0B39" w:rsidRDefault="00D53838" w:rsidP="006A09C5">
      <w:pPr>
        <w:jc w:val="both"/>
        <w:rPr>
          <w:b/>
          <w:bCs/>
        </w:rPr>
      </w:pPr>
      <w:r w:rsidRPr="00D53838">
        <w:t> </w:t>
      </w:r>
      <w:r w:rsidR="00D673CB" w:rsidRPr="003B0B39">
        <w:rPr>
          <w:b/>
          <w:bCs/>
        </w:rPr>
        <w:t>Kötelező irodalom:</w:t>
      </w:r>
    </w:p>
    <w:p w14:paraId="11EBB4C4" w14:textId="77777777" w:rsidR="00D53838" w:rsidRPr="00D53838" w:rsidRDefault="00D53838" w:rsidP="006A09C5">
      <w:pPr>
        <w:spacing w:after="0" w:line="360" w:lineRule="auto"/>
        <w:jc w:val="both"/>
      </w:pPr>
      <w:proofErr w:type="spellStart"/>
      <w:r w:rsidRPr="00D53838">
        <w:t>Wellmann</w:t>
      </w:r>
      <w:proofErr w:type="spellEnd"/>
      <w:r w:rsidRPr="00D53838">
        <w:t xml:space="preserve"> (szerk.): Az új Ptk. Magyarázata. (HVG-ORAC, kommentár-sorozat) — 4. kiadás (2024) </w:t>
      </w:r>
    </w:p>
    <w:p w14:paraId="1A826B84" w14:textId="77777777" w:rsidR="00D53838" w:rsidRPr="00D53838" w:rsidRDefault="00D53838" w:rsidP="006A09C5">
      <w:pPr>
        <w:spacing w:after="0" w:line="360" w:lineRule="auto"/>
        <w:jc w:val="both"/>
      </w:pPr>
      <w:r w:rsidRPr="00D53838">
        <w:rPr>
          <w:lang w:val="de-DE"/>
        </w:rPr>
        <w:t>Grüneberg (</w:t>
      </w:r>
      <w:proofErr w:type="spellStart"/>
      <w:r w:rsidRPr="00D53838">
        <w:rPr>
          <w:lang w:val="de-DE"/>
        </w:rPr>
        <w:t>korábban</w:t>
      </w:r>
      <w:proofErr w:type="spellEnd"/>
      <w:r w:rsidRPr="00D53838">
        <w:rPr>
          <w:lang w:val="de-DE"/>
        </w:rPr>
        <w:t xml:space="preserve"> „Palandt”): Bürgerliches Gesetzbuch. (BGB-</w:t>
      </w:r>
      <w:proofErr w:type="spellStart"/>
      <w:r w:rsidRPr="00D53838">
        <w:rPr>
          <w:lang w:val="de-DE"/>
        </w:rPr>
        <w:t>kommentár</w:t>
      </w:r>
      <w:proofErr w:type="spellEnd"/>
      <w:r w:rsidRPr="00D53838">
        <w:rPr>
          <w:lang w:val="de-DE"/>
        </w:rPr>
        <w:t>, 2024) </w:t>
      </w:r>
      <w:r w:rsidRPr="00D53838">
        <w:t> </w:t>
      </w:r>
    </w:p>
    <w:p w14:paraId="18637628" w14:textId="77777777" w:rsidR="00D53838" w:rsidRPr="00D53838" w:rsidRDefault="00D53838" w:rsidP="006A09C5">
      <w:pPr>
        <w:spacing w:after="0" w:line="360" w:lineRule="auto"/>
        <w:jc w:val="both"/>
      </w:pPr>
      <w:proofErr w:type="spellStart"/>
      <w:r w:rsidRPr="00D53838">
        <w:t>Lábady</w:t>
      </w:r>
      <w:proofErr w:type="spellEnd"/>
      <w:r w:rsidRPr="00D53838">
        <w:t xml:space="preserve"> Tamás: Felelősség a szerződésen kívül okozott kárért. (In: Vékás Lajos – </w:t>
      </w:r>
      <w:proofErr w:type="spellStart"/>
      <w:r w:rsidRPr="00D53838">
        <w:t>Gárdos</w:t>
      </w:r>
      <w:proofErr w:type="spellEnd"/>
      <w:r w:rsidRPr="00D53838">
        <w:t xml:space="preserve"> Péter /szerk./: Kommentár a Polgári Törvénykönyvhöz.) </w:t>
      </w:r>
    </w:p>
    <w:p w14:paraId="3AB88FC8" w14:textId="77777777" w:rsidR="00D53838" w:rsidRPr="00D53838" w:rsidRDefault="00D53838" w:rsidP="006A09C5">
      <w:pPr>
        <w:spacing w:after="0" w:line="360" w:lineRule="auto"/>
        <w:jc w:val="both"/>
      </w:pPr>
      <w:proofErr w:type="spellStart"/>
      <w:r w:rsidRPr="00D53838">
        <w:t>Lábady</w:t>
      </w:r>
      <w:proofErr w:type="spellEnd"/>
      <w:r w:rsidRPr="00D53838">
        <w:t xml:space="preserve"> Tamás: Felelősség a szerződésen kívül okozott károkért és a biztosítási szerződés az új Polgári Törvénykönyvben. Vitaindító tézisek. (In </w:t>
      </w:r>
      <w:proofErr w:type="spellStart"/>
      <w:r w:rsidRPr="00D53838">
        <w:t>Lábady</w:t>
      </w:r>
      <w:proofErr w:type="spellEnd"/>
      <w:r w:rsidRPr="00D53838">
        <w:t xml:space="preserve"> Tamás: Megtartott szó.) </w:t>
      </w:r>
    </w:p>
    <w:p w14:paraId="3895D007" w14:textId="77777777" w:rsidR="001A7591" w:rsidRPr="001A7591" w:rsidRDefault="001A7591" w:rsidP="006A09C5">
      <w:pPr>
        <w:ind w:left="720"/>
        <w:jc w:val="both"/>
      </w:pPr>
      <w:r w:rsidRPr="001A7591">
        <w:t> </w:t>
      </w:r>
    </w:p>
    <w:p w14:paraId="00BCE67A" w14:textId="77777777" w:rsidR="00D53838" w:rsidRDefault="00D673CB" w:rsidP="006A09C5">
      <w:pPr>
        <w:jc w:val="both"/>
        <w:rPr>
          <w:b/>
          <w:bCs/>
        </w:rPr>
      </w:pPr>
      <w:r w:rsidRPr="003B0B39">
        <w:rPr>
          <w:b/>
          <w:bCs/>
        </w:rPr>
        <w:t>Ajánlott irodalom:</w:t>
      </w:r>
    </w:p>
    <w:p w14:paraId="07EC0C50" w14:textId="68402AF5" w:rsidR="00D53838" w:rsidRPr="00D53838" w:rsidRDefault="00D53838" w:rsidP="006A09C5">
      <w:pPr>
        <w:spacing w:after="0" w:line="360" w:lineRule="auto"/>
        <w:jc w:val="both"/>
        <w:rPr>
          <w:b/>
          <w:bCs/>
        </w:rPr>
      </w:pPr>
      <w:r w:rsidRPr="00D53838">
        <w:t>Eörsi Gyula: A jogi felelősség alapproblémái. A polgári jogi felelősség. </w:t>
      </w:r>
    </w:p>
    <w:p w14:paraId="05A10127" w14:textId="77777777" w:rsidR="00D53838" w:rsidRPr="00D53838" w:rsidRDefault="00D53838" w:rsidP="006A09C5">
      <w:pPr>
        <w:spacing w:after="0" w:line="360" w:lineRule="auto"/>
        <w:jc w:val="both"/>
      </w:pPr>
      <w:r w:rsidRPr="00D53838">
        <w:t>Eörsi Gyula: A polgári jogi felelősség kézikönyve. </w:t>
      </w:r>
    </w:p>
    <w:p w14:paraId="0CB5EF77" w14:textId="77777777" w:rsidR="00D53838" w:rsidRPr="00D53838" w:rsidRDefault="00D53838" w:rsidP="006A09C5">
      <w:pPr>
        <w:spacing w:after="0" w:line="360" w:lineRule="auto"/>
        <w:jc w:val="both"/>
      </w:pPr>
      <w:r w:rsidRPr="00D53838">
        <w:t>Eörsi Gyula: Összehasonlító polgári jog. </w:t>
      </w:r>
    </w:p>
    <w:p w14:paraId="3AB067D8" w14:textId="77777777" w:rsidR="00D53838" w:rsidRPr="00D53838" w:rsidRDefault="00D53838" w:rsidP="006A09C5">
      <w:pPr>
        <w:spacing w:after="0" w:line="360" w:lineRule="auto"/>
        <w:jc w:val="both"/>
      </w:pPr>
      <w:proofErr w:type="spellStart"/>
      <w:r w:rsidRPr="00D53838">
        <w:t>Lábady</w:t>
      </w:r>
      <w:proofErr w:type="spellEnd"/>
      <w:r w:rsidRPr="00D53838">
        <w:t xml:space="preserve"> Tamás: Fejezetek a felelősségbiztosítás köréből. </w:t>
      </w:r>
    </w:p>
    <w:p w14:paraId="1C8CAB7A" w14:textId="77777777" w:rsidR="00D53838" w:rsidRPr="00D53838" w:rsidRDefault="00D53838" w:rsidP="006A09C5">
      <w:pPr>
        <w:spacing w:after="0" w:line="360" w:lineRule="auto"/>
        <w:jc w:val="both"/>
      </w:pPr>
      <w:r w:rsidRPr="00D53838">
        <w:lastRenderedPageBreak/>
        <w:t xml:space="preserve">Mádl Ferenc: A </w:t>
      </w:r>
      <w:proofErr w:type="spellStart"/>
      <w:r w:rsidRPr="00D53838">
        <w:t>deliktuális</w:t>
      </w:r>
      <w:proofErr w:type="spellEnd"/>
      <w:r w:rsidRPr="00D53838">
        <w:t xml:space="preserve"> felelősség. </w:t>
      </w:r>
    </w:p>
    <w:p w14:paraId="5B9B3146" w14:textId="77777777" w:rsidR="00D53838" w:rsidRPr="00D53838" w:rsidRDefault="00D53838" w:rsidP="006A09C5">
      <w:pPr>
        <w:spacing w:after="0" w:line="360" w:lineRule="auto"/>
        <w:jc w:val="both"/>
      </w:pPr>
      <w:r w:rsidRPr="00D53838">
        <w:t>Marton Géza: A polgári jogi felelősség. </w:t>
      </w:r>
    </w:p>
    <w:p w14:paraId="6BBE2EFB" w14:textId="77777777" w:rsidR="00D53838" w:rsidRPr="00D53838" w:rsidRDefault="00D53838" w:rsidP="006A09C5">
      <w:pPr>
        <w:spacing w:after="0" w:line="360" w:lineRule="auto"/>
        <w:jc w:val="both"/>
      </w:pPr>
      <w:r w:rsidRPr="00D53838">
        <w:t>Sólyom László: A polgári jogi felelősség hanyatlása. </w:t>
      </w:r>
    </w:p>
    <w:p w14:paraId="7A1D4A3E" w14:textId="77777777" w:rsidR="00D53838" w:rsidRPr="00D53838" w:rsidRDefault="00D53838" w:rsidP="006A09C5">
      <w:pPr>
        <w:spacing w:after="0" w:line="360" w:lineRule="auto"/>
        <w:jc w:val="both"/>
      </w:pPr>
      <w:r w:rsidRPr="00D53838">
        <w:rPr>
          <w:lang w:val="de-DE"/>
        </w:rPr>
        <w:t>Münchener Kommentar zum BGB (</w:t>
      </w:r>
      <w:proofErr w:type="spellStart"/>
      <w:r w:rsidRPr="00D53838">
        <w:rPr>
          <w:lang w:val="de-DE"/>
        </w:rPr>
        <w:t>legújabb</w:t>
      </w:r>
      <w:proofErr w:type="spellEnd"/>
      <w:r w:rsidRPr="00D53838">
        <w:rPr>
          <w:lang w:val="de-DE"/>
        </w:rPr>
        <w:t xml:space="preserve"> </w:t>
      </w:r>
      <w:proofErr w:type="spellStart"/>
      <w:r w:rsidRPr="00D53838">
        <w:rPr>
          <w:lang w:val="de-DE"/>
        </w:rPr>
        <w:t>kötetek</w:t>
      </w:r>
      <w:proofErr w:type="spellEnd"/>
      <w:r w:rsidRPr="00D53838">
        <w:rPr>
          <w:lang w:val="de-DE"/>
        </w:rPr>
        <w:t xml:space="preserve"> 2021–2024)</w:t>
      </w:r>
      <w:r w:rsidRPr="00D53838">
        <w:t> </w:t>
      </w:r>
    </w:p>
    <w:p w14:paraId="50B61E7D" w14:textId="77777777" w:rsidR="00D53838" w:rsidRPr="00D53838" w:rsidRDefault="00D53838" w:rsidP="006A09C5">
      <w:pPr>
        <w:spacing w:after="0" w:line="360" w:lineRule="auto"/>
        <w:jc w:val="both"/>
      </w:pPr>
      <w:r w:rsidRPr="00D53838">
        <w:rPr>
          <w:lang w:val="de-DE"/>
        </w:rPr>
        <w:t xml:space="preserve">Ewan McKendrick: </w:t>
      </w:r>
      <w:proofErr w:type="spellStart"/>
      <w:r w:rsidRPr="00D53838">
        <w:rPr>
          <w:lang w:val="de-DE"/>
        </w:rPr>
        <w:t>Contract</w:t>
      </w:r>
      <w:proofErr w:type="spellEnd"/>
      <w:r w:rsidRPr="00D53838">
        <w:rPr>
          <w:lang w:val="de-DE"/>
        </w:rPr>
        <w:t xml:space="preserve"> Law — (Oxford; 2023–2024)</w:t>
      </w:r>
      <w:r w:rsidRPr="00D53838">
        <w:t> </w:t>
      </w:r>
    </w:p>
    <w:p w14:paraId="63B1AF7A" w14:textId="77777777" w:rsidR="00694FC2" w:rsidRDefault="00694FC2" w:rsidP="006A09C5">
      <w:pPr>
        <w:jc w:val="both"/>
        <w:rPr>
          <w:b/>
          <w:bCs/>
        </w:rPr>
      </w:pPr>
    </w:p>
    <w:p w14:paraId="0D09B085" w14:textId="6E9E4D15" w:rsidR="00D673CB" w:rsidRPr="003B0B39" w:rsidRDefault="00D673CB" w:rsidP="006A09C5">
      <w:pPr>
        <w:jc w:val="both"/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76449391" w14:textId="77777777" w:rsidR="001F7E9B" w:rsidRPr="001F7E9B" w:rsidRDefault="001F7E9B" w:rsidP="006A09C5">
      <w:pPr>
        <w:jc w:val="both"/>
      </w:pPr>
      <w:r w:rsidRPr="001F7E9B">
        <w:t>Tudás: </w:t>
      </w:r>
    </w:p>
    <w:p w14:paraId="3FDE1B5C" w14:textId="77777777" w:rsidR="001F7E9B" w:rsidRPr="001F7E9B" w:rsidRDefault="001F7E9B" w:rsidP="006A09C5">
      <w:pPr>
        <w:numPr>
          <w:ilvl w:val="0"/>
          <w:numId w:val="29"/>
        </w:numPr>
        <w:jc w:val="both"/>
      </w:pPr>
      <w:r w:rsidRPr="001F7E9B">
        <w:t xml:space="preserve">Bemutatja a polgári jog és azon belül a </w:t>
      </w:r>
      <w:proofErr w:type="spellStart"/>
      <w:r w:rsidRPr="001F7E9B">
        <w:t>deliktuális</w:t>
      </w:r>
      <w:proofErr w:type="spellEnd"/>
      <w:r w:rsidRPr="001F7E9B">
        <w:t xml:space="preserve"> jog fejlődésének/szabályozásának lehetséges útjait: összehasonlítja az egymástól eltérő jogi megoldásokat és azok előnyeit/hátrányait. </w:t>
      </w:r>
    </w:p>
    <w:p w14:paraId="46CC71A9" w14:textId="77777777" w:rsidR="001F7E9B" w:rsidRPr="001F7E9B" w:rsidRDefault="001F7E9B" w:rsidP="006A09C5">
      <w:pPr>
        <w:numPr>
          <w:ilvl w:val="0"/>
          <w:numId w:val="30"/>
        </w:numPr>
        <w:jc w:val="both"/>
      </w:pPr>
      <w:r w:rsidRPr="001F7E9B">
        <w:t xml:space="preserve">A polgári jog és azon belül a </w:t>
      </w:r>
      <w:proofErr w:type="spellStart"/>
      <w:r w:rsidRPr="001F7E9B">
        <w:t>deliktuális</w:t>
      </w:r>
      <w:proofErr w:type="spellEnd"/>
      <w:r w:rsidRPr="001F7E9B">
        <w:t xml:space="preserve"> jog önálló kutatásához szükséges kutatás-módszertani ismeretekkel, forrásokkal ismerteti meg a Hallgatókat. </w:t>
      </w:r>
    </w:p>
    <w:p w14:paraId="2C31470C" w14:textId="77777777" w:rsidR="001F7E9B" w:rsidRPr="001F7E9B" w:rsidRDefault="001F7E9B" w:rsidP="006A09C5">
      <w:pPr>
        <w:jc w:val="both"/>
      </w:pPr>
      <w:r w:rsidRPr="001F7E9B">
        <w:t>Képességek: </w:t>
      </w:r>
    </w:p>
    <w:p w14:paraId="797F6B5A" w14:textId="77777777" w:rsidR="001F7E9B" w:rsidRPr="001F7E9B" w:rsidRDefault="001F7E9B" w:rsidP="006A09C5">
      <w:pPr>
        <w:numPr>
          <w:ilvl w:val="0"/>
          <w:numId w:val="31"/>
        </w:numPr>
        <w:jc w:val="both"/>
      </w:pPr>
      <w:r w:rsidRPr="001F7E9B">
        <w:t>Alapvetően kritikus és nyitott megközelítési módok alkalmazására bátorítja a Hallgatókat a hatályos jogi szabályozással és kapcsolódó joggyakorlattal szemben. </w:t>
      </w:r>
    </w:p>
    <w:p w14:paraId="28464D4A" w14:textId="77777777" w:rsidR="001F7E9B" w:rsidRPr="001F7E9B" w:rsidRDefault="001F7E9B" w:rsidP="006A09C5">
      <w:pPr>
        <w:numPr>
          <w:ilvl w:val="0"/>
          <w:numId w:val="32"/>
        </w:numPr>
        <w:jc w:val="both"/>
      </w:pPr>
      <w:r w:rsidRPr="001F7E9B">
        <w:t xml:space="preserve">Az újabb technológiákkal (GMO, drónok, önvezető járművek, </w:t>
      </w:r>
      <w:proofErr w:type="gramStart"/>
      <w:r w:rsidRPr="001F7E9B">
        <w:t>AI,</w:t>
      </w:r>
      <w:proofErr w:type="gramEnd"/>
      <w:r w:rsidRPr="001F7E9B">
        <w:t xml:space="preserve"> stb.) összefüggésben jelentkező kihívások beazonosítására és azok megoldásához hasznos kutatási módszerek, elméleti ismeretek elsajátítása. </w:t>
      </w:r>
    </w:p>
    <w:p w14:paraId="2C0FD172" w14:textId="77777777" w:rsidR="001F7E9B" w:rsidRPr="001F7E9B" w:rsidRDefault="001F7E9B" w:rsidP="006A09C5">
      <w:pPr>
        <w:jc w:val="both"/>
      </w:pPr>
      <w:r w:rsidRPr="001F7E9B">
        <w:t>Attitűdök: </w:t>
      </w:r>
    </w:p>
    <w:p w14:paraId="75E2D9C7" w14:textId="77777777" w:rsidR="001F7E9B" w:rsidRPr="001F7E9B" w:rsidRDefault="001F7E9B" w:rsidP="006A09C5">
      <w:pPr>
        <w:numPr>
          <w:ilvl w:val="0"/>
          <w:numId w:val="33"/>
        </w:numPr>
        <w:jc w:val="both"/>
      </w:pPr>
      <w:r w:rsidRPr="001F7E9B">
        <w:t>A Hallgatók saját kutatási témájához kapcsolódva továbbfejleszti azokat a relációkat, amelyek a polgári jogi felelősség érvényesülése révén járulnak hozzá az emberi/társadalmi/gazdasági fejlődéshez. </w:t>
      </w:r>
    </w:p>
    <w:p w14:paraId="1AC99F8E" w14:textId="77777777" w:rsidR="001F7E9B" w:rsidRPr="001F7E9B" w:rsidRDefault="001F7E9B" w:rsidP="006A09C5">
      <w:pPr>
        <w:jc w:val="both"/>
      </w:pPr>
      <w:r w:rsidRPr="001F7E9B">
        <w:t>Autonómia és felelősség: </w:t>
      </w:r>
    </w:p>
    <w:p w14:paraId="43FAD298" w14:textId="77777777" w:rsidR="001F7E9B" w:rsidRPr="001F7E9B" w:rsidRDefault="001F7E9B" w:rsidP="006A09C5">
      <w:pPr>
        <w:numPr>
          <w:ilvl w:val="0"/>
          <w:numId w:val="34"/>
        </w:numPr>
        <w:jc w:val="both"/>
      </w:pPr>
      <w:r w:rsidRPr="001F7E9B">
        <w:t>Alkotó, kreatív önállósággal épít ki és kezdeményez új tudásterületeket, és kezdeményez új gyakorlati megoldásokat. </w:t>
      </w:r>
    </w:p>
    <w:p w14:paraId="086DDA0E" w14:textId="77777777" w:rsidR="001F7E9B" w:rsidRPr="001F7E9B" w:rsidRDefault="001F7E9B" w:rsidP="006A09C5">
      <w:pPr>
        <w:numPr>
          <w:ilvl w:val="0"/>
          <w:numId w:val="35"/>
        </w:numPr>
        <w:jc w:val="both"/>
      </w:pPr>
      <w:r w:rsidRPr="001F7E9B">
        <w:t>Felelősséggel vállalja szakmája elméleti és gyakorlati kérdései kapcsán új etikai kérdések felvetését és azoknak a közjó érdekében való megválaszolását. </w:t>
      </w:r>
    </w:p>
    <w:p w14:paraId="7952ED7A" w14:textId="77777777" w:rsidR="001F7E9B" w:rsidRPr="001F7E9B" w:rsidRDefault="001F7E9B" w:rsidP="006A09C5">
      <w:pPr>
        <w:jc w:val="both"/>
      </w:pPr>
      <w:r w:rsidRPr="001F7E9B">
        <w:t> </w:t>
      </w:r>
    </w:p>
    <w:p w14:paraId="73A1EB70" w14:textId="3AD91753" w:rsidR="00376789" w:rsidRDefault="00376789" w:rsidP="006A09C5">
      <w:pPr>
        <w:jc w:val="both"/>
      </w:pPr>
    </w:p>
    <w:p w14:paraId="7CFBEB23" w14:textId="77777777" w:rsidR="00D673CB" w:rsidRPr="00D673CB" w:rsidRDefault="00D673CB" w:rsidP="006A09C5">
      <w:pPr>
        <w:jc w:val="both"/>
        <w:rPr>
          <w:b/>
          <w:bCs/>
        </w:rPr>
      </w:pPr>
      <w:r w:rsidRPr="00D673CB">
        <w:rPr>
          <w:b/>
          <w:bCs/>
        </w:rPr>
        <w:t>Tantárgy oktatója:</w:t>
      </w:r>
    </w:p>
    <w:p w14:paraId="3C33CD1D" w14:textId="77777777" w:rsidR="001F7E9B" w:rsidRPr="001F7E9B" w:rsidRDefault="001F7E9B" w:rsidP="006A09C5">
      <w:pPr>
        <w:jc w:val="both"/>
      </w:pPr>
      <w:r w:rsidRPr="001F7E9B">
        <w:t xml:space="preserve">Dr. Csapó Orsolya – Dr. </w:t>
      </w:r>
      <w:proofErr w:type="spellStart"/>
      <w:r w:rsidRPr="001F7E9B">
        <w:t>Landi</w:t>
      </w:r>
      <w:proofErr w:type="spellEnd"/>
      <w:r w:rsidRPr="001F7E9B">
        <w:t xml:space="preserve"> Balázs </w:t>
      </w:r>
    </w:p>
    <w:p w14:paraId="40562814" w14:textId="77777777" w:rsidR="00170DEC" w:rsidRPr="00170DEC" w:rsidRDefault="00170DEC" w:rsidP="006A09C5">
      <w:pPr>
        <w:jc w:val="both"/>
      </w:pPr>
      <w:r w:rsidRPr="00170DEC">
        <w:t> </w:t>
      </w:r>
    </w:p>
    <w:p w14:paraId="755D341C" w14:textId="0E8F76B8" w:rsidR="001F749D" w:rsidRPr="001F749D" w:rsidRDefault="001F749D" w:rsidP="006A09C5">
      <w:pPr>
        <w:jc w:val="both"/>
      </w:pPr>
    </w:p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255E"/>
    <w:multiLevelType w:val="multilevel"/>
    <w:tmpl w:val="6C8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5F13"/>
    <w:multiLevelType w:val="multilevel"/>
    <w:tmpl w:val="2E2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B6AC3"/>
    <w:multiLevelType w:val="multilevel"/>
    <w:tmpl w:val="2F3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0D557F"/>
    <w:multiLevelType w:val="multilevel"/>
    <w:tmpl w:val="7372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44D87"/>
    <w:multiLevelType w:val="multilevel"/>
    <w:tmpl w:val="F0B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A01676"/>
    <w:multiLevelType w:val="multilevel"/>
    <w:tmpl w:val="A1E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3B22D0"/>
    <w:multiLevelType w:val="multilevel"/>
    <w:tmpl w:val="970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8"/>
  </w:num>
  <w:num w:numId="2" w16cid:durableId="1220941275">
    <w:abstractNumId w:val="30"/>
  </w:num>
  <w:num w:numId="3" w16cid:durableId="1656912806">
    <w:abstractNumId w:val="15"/>
  </w:num>
  <w:num w:numId="4" w16cid:durableId="2096702254">
    <w:abstractNumId w:val="26"/>
  </w:num>
  <w:num w:numId="5" w16cid:durableId="576288488">
    <w:abstractNumId w:val="24"/>
  </w:num>
  <w:num w:numId="6" w16cid:durableId="1892036830">
    <w:abstractNumId w:val="27"/>
  </w:num>
  <w:num w:numId="7" w16cid:durableId="1647514419">
    <w:abstractNumId w:val="0"/>
  </w:num>
  <w:num w:numId="8" w16cid:durableId="781191227">
    <w:abstractNumId w:val="14"/>
  </w:num>
  <w:num w:numId="9" w16cid:durableId="960107830">
    <w:abstractNumId w:val="25"/>
  </w:num>
  <w:num w:numId="10" w16cid:durableId="1049381860">
    <w:abstractNumId w:val="32"/>
  </w:num>
  <w:num w:numId="11" w16cid:durableId="1798915148">
    <w:abstractNumId w:val="17"/>
  </w:num>
  <w:num w:numId="12" w16cid:durableId="315307678">
    <w:abstractNumId w:val="28"/>
  </w:num>
  <w:num w:numId="13" w16cid:durableId="1027177409">
    <w:abstractNumId w:val="11"/>
  </w:num>
  <w:num w:numId="14" w16cid:durableId="1151992261">
    <w:abstractNumId w:val="29"/>
  </w:num>
  <w:num w:numId="15" w16cid:durableId="725837060">
    <w:abstractNumId w:val="9"/>
  </w:num>
  <w:num w:numId="16" w16cid:durableId="1730837013">
    <w:abstractNumId w:val="7"/>
  </w:num>
  <w:num w:numId="17" w16cid:durableId="1034697080">
    <w:abstractNumId w:val="21"/>
  </w:num>
  <w:num w:numId="18" w16cid:durableId="1904026562">
    <w:abstractNumId w:val="31"/>
  </w:num>
  <w:num w:numId="19" w16cid:durableId="1446270577">
    <w:abstractNumId w:val="3"/>
  </w:num>
  <w:num w:numId="20" w16cid:durableId="1861891320">
    <w:abstractNumId w:val="34"/>
  </w:num>
  <w:num w:numId="21" w16cid:durableId="1868592406">
    <w:abstractNumId w:val="19"/>
  </w:num>
  <w:num w:numId="22" w16cid:durableId="1797991445">
    <w:abstractNumId w:val="10"/>
  </w:num>
  <w:num w:numId="23" w16cid:durableId="1796480508">
    <w:abstractNumId w:val="20"/>
  </w:num>
  <w:num w:numId="24" w16cid:durableId="1161045465">
    <w:abstractNumId w:val="1"/>
  </w:num>
  <w:num w:numId="25" w16cid:durableId="144705036">
    <w:abstractNumId w:val="5"/>
  </w:num>
  <w:num w:numId="26" w16cid:durableId="78522246">
    <w:abstractNumId w:val="13"/>
  </w:num>
  <w:num w:numId="27" w16cid:durableId="1771268613">
    <w:abstractNumId w:val="4"/>
  </w:num>
  <w:num w:numId="28" w16cid:durableId="245968587">
    <w:abstractNumId w:val="12"/>
  </w:num>
  <w:num w:numId="29" w16cid:durableId="2094012623">
    <w:abstractNumId w:val="23"/>
  </w:num>
  <w:num w:numId="30" w16cid:durableId="1178696755">
    <w:abstractNumId w:val="2"/>
  </w:num>
  <w:num w:numId="31" w16cid:durableId="1144156443">
    <w:abstractNumId w:val="6"/>
  </w:num>
  <w:num w:numId="32" w16cid:durableId="887374566">
    <w:abstractNumId w:val="33"/>
  </w:num>
  <w:num w:numId="33" w16cid:durableId="279269192">
    <w:abstractNumId w:val="18"/>
  </w:num>
  <w:num w:numId="34" w16cid:durableId="1536238572">
    <w:abstractNumId w:val="16"/>
  </w:num>
  <w:num w:numId="35" w16cid:durableId="20558875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7591"/>
    <w:rsid w:val="001F749D"/>
    <w:rsid w:val="001F7E9B"/>
    <w:rsid w:val="00376789"/>
    <w:rsid w:val="003B0B39"/>
    <w:rsid w:val="003D4C5D"/>
    <w:rsid w:val="004C1325"/>
    <w:rsid w:val="00554549"/>
    <w:rsid w:val="006219D1"/>
    <w:rsid w:val="00694FC2"/>
    <w:rsid w:val="006A09C5"/>
    <w:rsid w:val="006F2B8A"/>
    <w:rsid w:val="008E1790"/>
    <w:rsid w:val="00A241BA"/>
    <w:rsid w:val="00A9567A"/>
    <w:rsid w:val="00B346E6"/>
    <w:rsid w:val="00BC001C"/>
    <w:rsid w:val="00C62DAD"/>
    <w:rsid w:val="00D53838"/>
    <w:rsid w:val="00D673CB"/>
    <w:rsid w:val="00D747BF"/>
    <w:rsid w:val="00E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2026-02-26T09:26:00Z</dcterms:created>
  <dcterms:modified xsi:type="dcterms:W3CDTF">2026-03-04T08:14:00Z</dcterms:modified>
</cp:coreProperties>
</file>