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DEBF" w14:textId="77777777" w:rsidR="00D673CB" w:rsidRPr="00D673CB" w:rsidRDefault="00D673CB" w:rsidP="00D673CB">
      <w:pPr>
        <w:rPr>
          <w:b/>
          <w:bCs/>
        </w:rPr>
      </w:pPr>
      <w:r w:rsidRPr="00D673CB">
        <w:rPr>
          <w:b/>
          <w:bCs/>
        </w:rPr>
        <w:t>A sérülékeny társadalmi csoportok jogi védelme a nemzeti, a nemzetközi és az uniós jogban JDDO363XA0 </w:t>
      </w:r>
    </w:p>
    <w:p w14:paraId="35C59CE6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16445541" w14:textId="7559D466" w:rsidR="00D673CB" w:rsidRPr="00D673CB" w:rsidRDefault="00D673CB" w:rsidP="00380E1C">
      <w:pPr>
        <w:jc w:val="both"/>
      </w:pPr>
      <w:r w:rsidRPr="00D673CB">
        <w:t>A társadalmilag sérülékeny csoportok jogi koncepcióját alapvetően az Emberi Jogok Európai Bírósága teremtette meg, hangsúlyozva, hogy az ilyen csoportok esetében mind a jogalkotásnak, mind a jogalkalmazásnak különös figyelmet kell fordítania ezen csoportok sajátos szükségleteire. A sérülékeny csoport fogalmát utóbb az Európai Unió jogalkotása és jogalkalmazása is átvette, és az természetesen az egyes országok (így Magyarország) jogrendszerében is jelen van. A tárgy keretében (összhangban a Katolikus Egyház társadalmi tanításával) ezen sérülékeny csoportok sajátos jogi helyzetének vizsgálatára kerül sor, különös figyelemmel a nőkre, a gyermekekre, az idősekre, a fogyatékossággal élőkre és az őshonos kisebbségekre. A tárgy célja, hogy doktori hallgatók számára segítséget nyújtson a saját vizsgált területük társadalmi csoportjainak azonosításában, a sajátosságok felismerésében, a hazai és nemzetközi vagy uniós szempontrendszer alkalmazásában. </w:t>
      </w:r>
    </w:p>
    <w:p w14:paraId="21DAB124" w14:textId="77777777" w:rsidR="00D673CB" w:rsidRPr="003B0B39" w:rsidRDefault="00D673CB" w:rsidP="00D673CB">
      <w:pPr>
        <w:rPr>
          <w:b/>
        </w:rPr>
      </w:pPr>
      <w:r w:rsidRPr="003B0B39">
        <w:rPr>
          <w:b/>
        </w:rPr>
        <w:t>Az előadások beosztása és tervezett témája:</w:t>
      </w:r>
    </w:p>
    <w:p w14:paraId="6551CACC" w14:textId="221743F9" w:rsidR="00376789" w:rsidRPr="00D673CB" w:rsidRDefault="00376789" w:rsidP="00376789">
      <w:pPr>
        <w:rPr>
          <w:b/>
          <w:bCs/>
        </w:rPr>
      </w:pPr>
      <w:r w:rsidRPr="00D673CB">
        <w:rPr>
          <w:b/>
          <w:bCs/>
        </w:rPr>
        <w:t>--</w:t>
      </w:r>
    </w:p>
    <w:p w14:paraId="687B7A9E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 xml:space="preserve">Elsajátítandó gyakorlati ismeretanyag: </w:t>
      </w:r>
    </w:p>
    <w:p w14:paraId="545760BD" w14:textId="77777777" w:rsidR="00D673CB" w:rsidRPr="00D673CB" w:rsidRDefault="00D673CB" w:rsidP="00380E1C">
      <w:pPr>
        <w:jc w:val="both"/>
      </w:pPr>
      <w:r w:rsidRPr="00D673CB">
        <w:t>A tárgy az elméleti tananyagot gyakorlati nézőpontból mutatja be: egyrészt minden témakör jogesetekkel, példákkal, nemzetközi és hazai gyakorlattal illusztráltak, másrészt a hallgatók saját kutatási területük elemzésével is aktívan részt vesznek a tananyag elsajátításában.</w:t>
      </w:r>
    </w:p>
    <w:p w14:paraId="778E292C" w14:textId="0D49693F" w:rsidR="00D673CB" w:rsidRPr="003B0B39" w:rsidRDefault="00D673CB" w:rsidP="003B0B39">
      <w:pPr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53B79BCE" w14:textId="3413B49F" w:rsidR="00D673CB" w:rsidRPr="00D673CB" w:rsidRDefault="00D673CB" w:rsidP="00D673CB">
      <w:r w:rsidRPr="00D673CB">
        <w:t>A tárgy az alábbi témaköröket öleli fel:   </w:t>
      </w:r>
    </w:p>
    <w:p w14:paraId="45E116F6" w14:textId="77777777" w:rsidR="00D673CB" w:rsidRPr="00D673CB" w:rsidRDefault="00D673CB" w:rsidP="00D673CB">
      <w:pPr>
        <w:numPr>
          <w:ilvl w:val="0"/>
          <w:numId w:val="11"/>
        </w:numPr>
      </w:pPr>
      <w:r w:rsidRPr="00D673CB">
        <w:t>A „sérülékenység” összetett jelensége és fogalma –társadalmi értelemben </w:t>
      </w:r>
    </w:p>
    <w:p w14:paraId="673AAF23" w14:textId="77777777" w:rsidR="00D673CB" w:rsidRPr="00D673CB" w:rsidRDefault="00D673CB" w:rsidP="00D673CB">
      <w:pPr>
        <w:numPr>
          <w:ilvl w:val="0"/>
          <w:numId w:val="12"/>
        </w:numPr>
      </w:pPr>
      <w:r w:rsidRPr="00D673CB">
        <w:t>A „sérülékenység” összetett jelensége és fogalma –jogi értelemben </w:t>
      </w:r>
    </w:p>
    <w:p w14:paraId="515DAE67" w14:textId="77777777" w:rsidR="00D673CB" w:rsidRPr="00D673CB" w:rsidRDefault="00D673CB" w:rsidP="00D673CB">
      <w:pPr>
        <w:numPr>
          <w:ilvl w:val="0"/>
          <w:numId w:val="13"/>
        </w:numPr>
      </w:pPr>
      <w:r w:rsidRPr="00D673CB">
        <w:t xml:space="preserve">Inkluzív oktatás olyan társadalmi csoportok </w:t>
      </w:r>
      <w:proofErr w:type="gramStart"/>
      <w:r w:rsidRPr="00D673CB">
        <w:t>tekintetében</w:t>
      </w:r>
      <w:proofErr w:type="gramEnd"/>
      <w:r w:rsidRPr="00D673CB">
        <w:t xml:space="preserve"> mint kisebbségek, SNI, bevándorló, menekültek </w:t>
      </w:r>
    </w:p>
    <w:p w14:paraId="11F87359" w14:textId="77777777" w:rsidR="00D673CB" w:rsidRPr="00D673CB" w:rsidRDefault="00D673CB" w:rsidP="00D673CB">
      <w:pPr>
        <w:numPr>
          <w:ilvl w:val="0"/>
          <w:numId w:val="14"/>
        </w:numPr>
      </w:pPr>
      <w:r w:rsidRPr="00D673CB">
        <w:t>Fogyatékosság és az Alkotmánybíróság gyakorlata </w:t>
      </w:r>
    </w:p>
    <w:p w14:paraId="036DCD37" w14:textId="77777777" w:rsidR="00D673CB" w:rsidRPr="00D673CB" w:rsidRDefault="00D673CB" w:rsidP="00D673CB">
      <w:pPr>
        <w:numPr>
          <w:ilvl w:val="0"/>
          <w:numId w:val="15"/>
        </w:numPr>
      </w:pPr>
      <w:r w:rsidRPr="00D673CB">
        <w:t>Gyermekek, mint az egyik legkülönlegesebb társadalmi csoport – nemzetközi, uniós és hazai szemszögből  </w:t>
      </w:r>
    </w:p>
    <w:p w14:paraId="26666D15" w14:textId="77777777" w:rsidR="00D673CB" w:rsidRPr="00D673CB" w:rsidRDefault="00D673CB" w:rsidP="00D673CB">
      <w:pPr>
        <w:numPr>
          <w:ilvl w:val="0"/>
          <w:numId w:val="16"/>
        </w:numPr>
      </w:pPr>
      <w:r w:rsidRPr="00D673CB">
        <w:t xml:space="preserve">Nők jogi helyzete, egyenlőség, kiszolgáltatottság, </w:t>
      </w:r>
      <w:proofErr w:type="spellStart"/>
      <w:r w:rsidRPr="00D673CB">
        <w:t>long</w:t>
      </w:r>
      <w:proofErr w:type="spellEnd"/>
      <w:r w:rsidRPr="00D673CB">
        <w:t xml:space="preserve"> </w:t>
      </w:r>
      <w:proofErr w:type="spellStart"/>
      <w:r w:rsidRPr="00D673CB">
        <w:t>term</w:t>
      </w:r>
      <w:proofErr w:type="spellEnd"/>
      <w:r w:rsidRPr="00D673CB">
        <w:t xml:space="preserve"> </w:t>
      </w:r>
      <w:proofErr w:type="spellStart"/>
      <w:r w:rsidRPr="00D673CB">
        <w:t>care</w:t>
      </w:r>
      <w:proofErr w:type="spellEnd"/>
      <w:r w:rsidRPr="00D673CB">
        <w:t> </w:t>
      </w:r>
    </w:p>
    <w:p w14:paraId="427377A6" w14:textId="77777777" w:rsidR="00D673CB" w:rsidRPr="00D673CB" w:rsidRDefault="00D673CB" w:rsidP="00D673CB">
      <w:pPr>
        <w:numPr>
          <w:ilvl w:val="0"/>
          <w:numId w:val="17"/>
        </w:numPr>
      </w:pPr>
      <w:r w:rsidRPr="00D673CB">
        <w:t>A nyelvi kisebbségek helyzete és a Nyelvi charta rendszere </w:t>
      </w:r>
    </w:p>
    <w:p w14:paraId="62C1FDE9" w14:textId="77777777" w:rsidR="00D673CB" w:rsidRPr="00D673CB" w:rsidRDefault="00D673CB" w:rsidP="00D673CB">
      <w:pPr>
        <w:numPr>
          <w:ilvl w:val="0"/>
          <w:numId w:val="18"/>
        </w:numPr>
      </w:pPr>
      <w:r w:rsidRPr="00D673CB">
        <w:t>Migráció különböző aspektusai: bevándorlók és menekültek  </w:t>
      </w:r>
    </w:p>
    <w:p w14:paraId="4736AEFB" w14:textId="77777777" w:rsidR="00D673CB" w:rsidRPr="00D673CB" w:rsidRDefault="00D673CB" w:rsidP="00D673CB">
      <w:pPr>
        <w:numPr>
          <w:ilvl w:val="0"/>
          <w:numId w:val="19"/>
        </w:numPr>
      </w:pPr>
      <w:r w:rsidRPr="00D673CB">
        <w:t>Az EU Alapjogi ügynökségének gyakorlata és tapasztalatai </w:t>
      </w:r>
    </w:p>
    <w:p w14:paraId="17E3BD23" w14:textId="77777777" w:rsidR="00D673CB" w:rsidRPr="00D673CB" w:rsidRDefault="00D673CB" w:rsidP="00D673CB">
      <w:pPr>
        <w:numPr>
          <w:ilvl w:val="0"/>
          <w:numId w:val="20"/>
        </w:numPr>
      </w:pPr>
      <w:r w:rsidRPr="00D673CB">
        <w:t>jogesetek a sérülékeny társadalmi csoportokról </w:t>
      </w:r>
    </w:p>
    <w:p w14:paraId="54E80F69" w14:textId="77777777" w:rsidR="00D673CB" w:rsidRDefault="00D673CB" w:rsidP="00D673CB"/>
    <w:p w14:paraId="595530A9" w14:textId="59E22D13" w:rsidR="00376789" w:rsidRPr="00376789" w:rsidRDefault="00376789" w:rsidP="00D673CB">
      <w:r w:rsidRPr="00376789">
        <w:t> </w:t>
      </w:r>
    </w:p>
    <w:p w14:paraId="05DB11AF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lastRenderedPageBreak/>
        <w:t>Az értékelés kritériuma:</w:t>
      </w:r>
    </w:p>
    <w:p w14:paraId="20CAC7FC" w14:textId="6EDE694F" w:rsidR="00D673CB" w:rsidRPr="00D673CB" w:rsidRDefault="00D673CB" w:rsidP="00D673CB">
      <w:r w:rsidRPr="00D673CB">
        <w:t>Az összefüggések megtalálása és adekvát következtetések levonása. A hallgató saját kutatási témájára vonatkozóan ismerteti a releváns összefüggéseket. </w:t>
      </w:r>
    </w:p>
    <w:p w14:paraId="34762160" w14:textId="77777777" w:rsidR="00376789" w:rsidRPr="00D673CB" w:rsidRDefault="00376789" w:rsidP="00376789"/>
    <w:p w14:paraId="66B99562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Az alkalmazott oktatási módszerek:</w:t>
      </w:r>
    </w:p>
    <w:p w14:paraId="154F8B59" w14:textId="45086A2F" w:rsidR="00D673CB" w:rsidRPr="00D673CB" w:rsidRDefault="00D673CB" w:rsidP="00D673CB">
      <w:r w:rsidRPr="00D673CB">
        <w:t>Az órán vizuális és auditív szemléltetőeszközökkel gazdagított hagyományos, frontális előadást alkalmazunk egyfelől. Másfelől a hallgatókat bevon</w:t>
      </w:r>
      <w:r>
        <w:t>v</w:t>
      </w:r>
      <w:r w:rsidRPr="00D673CB">
        <w:t>a vitára és interakcióra bíztatjuk őket, így a tananyag több aspektusból is megvizsgálható, a tárgy jobban elsajátítható. </w:t>
      </w:r>
    </w:p>
    <w:p w14:paraId="3C804C69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Kötelező irodalom:</w:t>
      </w:r>
    </w:p>
    <w:p w14:paraId="74972678" w14:textId="657AEC8A" w:rsidR="001F749D" w:rsidRPr="001F749D" w:rsidRDefault="001F749D" w:rsidP="001F749D">
      <w:r w:rsidRPr="001F749D">
        <w:rPr>
          <w:lang w:val="en-US"/>
        </w:rPr>
        <w:t xml:space="preserve">Ingrid Nifosi-Sutton: </w:t>
      </w:r>
      <w:r w:rsidRPr="001F749D">
        <w:rPr>
          <w:i/>
          <w:iCs/>
          <w:lang w:val="en-US"/>
        </w:rPr>
        <w:t>The Protection of Vulnerable Groups under International Human Rights Law</w:t>
      </w:r>
      <w:r w:rsidRPr="001F749D">
        <w:rPr>
          <w:lang w:val="en-US"/>
        </w:rPr>
        <w:t>. Routledge, 2017. ISBN: 9780367266837 </w:t>
      </w:r>
      <w:r w:rsidRPr="001F749D">
        <w:t> </w:t>
      </w:r>
    </w:p>
    <w:p w14:paraId="0B74BCC2" w14:textId="4A09D44D" w:rsidR="001F749D" w:rsidRPr="001F749D" w:rsidRDefault="001F749D" w:rsidP="001F749D">
      <w:proofErr w:type="spellStart"/>
      <w:r w:rsidRPr="001F749D">
        <w:t>Gyeney</w:t>
      </w:r>
      <w:proofErr w:type="spellEnd"/>
      <w:r w:rsidRPr="001F749D">
        <w:t xml:space="preserve"> Laura - Szemesi Sándor (szerk.): </w:t>
      </w:r>
      <w:r w:rsidRPr="001F749D">
        <w:rPr>
          <w:i/>
          <w:iCs/>
        </w:rPr>
        <w:t xml:space="preserve">Az őshonos kisebbségek anyanyelvi oktatáshoz való joga - elméletben és gyakorlatban. </w:t>
      </w:r>
      <w:r w:rsidRPr="001F749D">
        <w:t>Budapest, Magyarország, Kisebbségi Jogvédő Intézet (2025). ISBN: 9786158039574  </w:t>
      </w:r>
    </w:p>
    <w:p w14:paraId="1E0CAF72" w14:textId="3206CD96" w:rsidR="001F749D" w:rsidRPr="001F749D" w:rsidRDefault="001F749D" w:rsidP="001F749D">
      <w:proofErr w:type="spellStart"/>
      <w:r w:rsidRPr="001F749D">
        <w:t>Gyeney</w:t>
      </w:r>
      <w:proofErr w:type="spellEnd"/>
      <w:r w:rsidRPr="001F749D">
        <w:t xml:space="preserve"> Laura - Tárnok Balázs: Az egyenlő bánásmód elve és a diszkrimináció tilalma az Európai Unió jogában. In: Szabó Marcel </w:t>
      </w:r>
      <w:proofErr w:type="spellStart"/>
      <w:r w:rsidRPr="001F749D">
        <w:t>et</w:t>
      </w:r>
      <w:proofErr w:type="spellEnd"/>
      <w:r w:rsidRPr="001F749D">
        <w:t xml:space="preserve"> </w:t>
      </w:r>
      <w:proofErr w:type="spellStart"/>
      <w:r w:rsidRPr="001F749D">
        <w:t>al</w:t>
      </w:r>
      <w:proofErr w:type="spellEnd"/>
      <w:r w:rsidRPr="001F749D">
        <w:t xml:space="preserve">. (szerk.): </w:t>
      </w:r>
      <w:r w:rsidRPr="001F749D">
        <w:rPr>
          <w:i/>
          <w:iCs/>
        </w:rPr>
        <w:t>Az Európai Unió jogának alapjai. </w:t>
      </w:r>
      <w:r w:rsidRPr="001F749D">
        <w:t> </w:t>
      </w:r>
    </w:p>
    <w:p w14:paraId="67B35F8F" w14:textId="77777777" w:rsidR="001F749D" w:rsidRPr="001F749D" w:rsidRDefault="001F749D" w:rsidP="001F749D">
      <w:r w:rsidRPr="001F749D">
        <w:t xml:space="preserve">Budapest, </w:t>
      </w:r>
      <w:proofErr w:type="gramStart"/>
      <w:r w:rsidRPr="001F749D">
        <w:t>Magyarország :</w:t>
      </w:r>
      <w:proofErr w:type="gramEnd"/>
      <w:r w:rsidRPr="001F749D">
        <w:t xml:space="preserve"> Pázmány Press (2021) pp. 391-405 </w:t>
      </w:r>
    </w:p>
    <w:p w14:paraId="4B154B88" w14:textId="2B99455D" w:rsidR="001F749D" w:rsidRPr="001F749D" w:rsidRDefault="001F749D" w:rsidP="001F749D">
      <w:r w:rsidRPr="001F749D">
        <w:rPr>
          <w:i/>
          <w:iCs/>
        </w:rPr>
        <w:t> </w:t>
      </w:r>
      <w:r w:rsidRPr="001F749D">
        <w:t xml:space="preserve">Gerencsér Balázs Szabolcs: Együtt élő nyelvek joga: a nyelvhasználat szabályozásának négy sarkalatos területe. </w:t>
      </w:r>
      <w:proofErr w:type="spellStart"/>
      <w:r w:rsidRPr="001F749D">
        <w:rPr>
          <w:i/>
          <w:iCs/>
        </w:rPr>
        <w:t>Acta</w:t>
      </w:r>
      <w:proofErr w:type="spellEnd"/>
      <w:r w:rsidRPr="001F749D">
        <w:rPr>
          <w:i/>
          <w:iCs/>
        </w:rPr>
        <w:t xml:space="preserve"> Humana</w:t>
      </w:r>
      <w:r w:rsidRPr="001F749D">
        <w:t xml:space="preserve"> </w:t>
      </w:r>
      <w:proofErr w:type="gramStart"/>
      <w:r w:rsidRPr="001F749D">
        <w:t>10 :</w:t>
      </w:r>
      <w:proofErr w:type="gramEnd"/>
      <w:r w:rsidRPr="001F749D">
        <w:t xml:space="preserve"> 1 pp. 9-</w:t>
      </w:r>
      <w:proofErr w:type="gramStart"/>
      <w:r w:rsidRPr="001F749D">
        <w:t>18. ,</w:t>
      </w:r>
      <w:proofErr w:type="gramEnd"/>
      <w:r w:rsidRPr="001F749D">
        <w:t xml:space="preserve"> 10 p. (2022) </w:t>
      </w:r>
    </w:p>
    <w:p w14:paraId="3018F48B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Ajánlott irodalom:</w:t>
      </w:r>
    </w:p>
    <w:p w14:paraId="17BD79AC" w14:textId="79A4DEE8" w:rsidR="001F749D" w:rsidRPr="001F749D" w:rsidRDefault="001F749D" w:rsidP="001F749D">
      <w:r w:rsidRPr="001F749D">
        <w:rPr>
          <w:lang w:val="en-US"/>
        </w:rPr>
        <w:t xml:space="preserve">Agne </w:t>
      </w:r>
      <w:proofErr w:type="spellStart"/>
      <w:r w:rsidRPr="001F749D">
        <w:rPr>
          <w:lang w:val="en-US"/>
        </w:rPr>
        <w:t>Limante</w:t>
      </w:r>
      <w:proofErr w:type="spellEnd"/>
      <w:r w:rsidRPr="001F749D">
        <w:rPr>
          <w:lang w:val="en-US"/>
        </w:rPr>
        <w:t xml:space="preserve">: Protecting Vulnerable Groups in Europe: Highlights from Recent Case Law of the European Court of Human Rights, The International Journal of Human Rights, Vol. 28, Issue 4, 2023, pp. 671-688.  </w:t>
      </w:r>
      <w:hyperlink r:id="rId5" w:tgtFrame="_blank" w:history="1">
        <w:r w:rsidRPr="001F749D">
          <w:rPr>
            <w:rStyle w:val="Hiperhivatkozs"/>
            <w:lang w:val="en-US"/>
          </w:rPr>
          <w:t>https://doi.org/10.1080/13642987.2023.2297311</w:t>
        </w:r>
      </w:hyperlink>
      <w:r w:rsidRPr="001F749D">
        <w:rPr>
          <w:lang w:val="en-US"/>
        </w:rPr>
        <w:t> </w:t>
      </w:r>
      <w:r w:rsidRPr="001F749D">
        <w:t> </w:t>
      </w:r>
    </w:p>
    <w:p w14:paraId="7A82AD50" w14:textId="712B77A1" w:rsidR="001F749D" w:rsidRPr="001F749D" w:rsidRDefault="001F749D" w:rsidP="001F749D">
      <w:proofErr w:type="spellStart"/>
      <w:r w:rsidRPr="001F749D">
        <w:t>Handbook</w:t>
      </w:r>
      <w:proofErr w:type="spellEnd"/>
      <w:r w:rsidRPr="001F749D">
        <w:t xml:space="preserve"> </w:t>
      </w:r>
      <w:proofErr w:type="spellStart"/>
      <w:r w:rsidRPr="001F749D">
        <w:t>on</w:t>
      </w:r>
      <w:proofErr w:type="spellEnd"/>
      <w:r w:rsidRPr="001F749D">
        <w:t xml:space="preserve"> European Non-</w:t>
      </w:r>
      <w:proofErr w:type="spellStart"/>
      <w:r w:rsidRPr="001F749D">
        <w:t>Discrimination</w:t>
      </w:r>
      <w:proofErr w:type="spellEnd"/>
      <w:r w:rsidRPr="001F749D">
        <w:t xml:space="preserve"> Law. EU </w:t>
      </w:r>
      <w:proofErr w:type="spellStart"/>
      <w:r w:rsidRPr="001F749D">
        <w:t>Agency</w:t>
      </w:r>
      <w:proofErr w:type="spellEnd"/>
      <w:r w:rsidRPr="001F749D">
        <w:t xml:space="preserve"> </w:t>
      </w:r>
      <w:proofErr w:type="spellStart"/>
      <w:r w:rsidRPr="001F749D">
        <w:t>for</w:t>
      </w:r>
      <w:proofErr w:type="spellEnd"/>
      <w:r w:rsidRPr="001F749D">
        <w:t xml:space="preserve"> </w:t>
      </w:r>
      <w:proofErr w:type="spellStart"/>
      <w:r w:rsidRPr="001F749D">
        <w:t>Fundamental</w:t>
      </w:r>
      <w:proofErr w:type="spellEnd"/>
      <w:r w:rsidRPr="001F749D">
        <w:t xml:space="preserve"> </w:t>
      </w:r>
      <w:proofErr w:type="spellStart"/>
      <w:r w:rsidRPr="001F749D">
        <w:t>Rights</w:t>
      </w:r>
      <w:proofErr w:type="spellEnd"/>
      <w:r w:rsidRPr="001F749D">
        <w:t xml:space="preserve"> and </w:t>
      </w:r>
      <w:proofErr w:type="spellStart"/>
      <w:r w:rsidRPr="001F749D">
        <w:t>Council</w:t>
      </w:r>
      <w:proofErr w:type="spellEnd"/>
      <w:r w:rsidRPr="001F749D">
        <w:t xml:space="preserve"> of Europe, 2018. </w:t>
      </w:r>
    </w:p>
    <w:p w14:paraId="65428980" w14:textId="63F961D8" w:rsidR="001F749D" w:rsidRPr="001F749D" w:rsidRDefault="001F749D" w:rsidP="001F749D">
      <w:proofErr w:type="spellStart"/>
      <w:r w:rsidRPr="001F749D">
        <w:t>Tove</w:t>
      </w:r>
      <w:proofErr w:type="spellEnd"/>
      <w:r w:rsidRPr="001F749D">
        <w:t xml:space="preserve"> </w:t>
      </w:r>
      <w:proofErr w:type="spellStart"/>
      <w:r w:rsidRPr="001F749D">
        <w:t>Malloy</w:t>
      </w:r>
      <w:proofErr w:type="spellEnd"/>
      <w:r w:rsidRPr="001F749D">
        <w:t xml:space="preserve"> - Balázs Vizi: Research </w:t>
      </w:r>
      <w:proofErr w:type="spellStart"/>
      <w:r w:rsidRPr="001F749D">
        <w:t>Handbook</w:t>
      </w:r>
      <w:proofErr w:type="spellEnd"/>
      <w:r w:rsidRPr="001F749D">
        <w:t xml:space="preserve"> </w:t>
      </w:r>
      <w:proofErr w:type="spellStart"/>
      <w:r w:rsidRPr="001F749D">
        <w:t>on</w:t>
      </w:r>
      <w:proofErr w:type="spellEnd"/>
      <w:r w:rsidRPr="001F749D">
        <w:t xml:space="preserve"> </w:t>
      </w:r>
      <w:proofErr w:type="spellStart"/>
      <w:r w:rsidRPr="001F749D">
        <w:t>Minority</w:t>
      </w:r>
      <w:proofErr w:type="spellEnd"/>
      <w:r w:rsidRPr="001F749D">
        <w:t xml:space="preserve"> </w:t>
      </w:r>
      <w:proofErr w:type="spellStart"/>
      <w:r w:rsidRPr="001F749D">
        <w:t>Politics</w:t>
      </w:r>
      <w:proofErr w:type="spellEnd"/>
      <w:r w:rsidRPr="001F749D">
        <w:t xml:space="preserve"> in </w:t>
      </w:r>
      <w:proofErr w:type="spellStart"/>
      <w:r w:rsidRPr="001F749D">
        <w:t>the</w:t>
      </w:r>
      <w:proofErr w:type="spellEnd"/>
      <w:r w:rsidRPr="001F749D">
        <w:t xml:space="preserve"> European Union, Edward </w:t>
      </w:r>
      <w:proofErr w:type="spellStart"/>
      <w:r w:rsidRPr="001F749D">
        <w:t>Elgar</w:t>
      </w:r>
      <w:proofErr w:type="spellEnd"/>
      <w:r w:rsidRPr="001F749D">
        <w:t>, 2022. </w:t>
      </w:r>
    </w:p>
    <w:p w14:paraId="12461DA2" w14:textId="1297C8A7" w:rsidR="001F749D" w:rsidRPr="001F749D" w:rsidRDefault="001F749D" w:rsidP="001F749D">
      <w:proofErr w:type="spellStart"/>
      <w:r w:rsidRPr="001F749D">
        <w:t>Priyanka</w:t>
      </w:r>
      <w:proofErr w:type="spellEnd"/>
      <w:r w:rsidRPr="001F749D">
        <w:t xml:space="preserve"> </w:t>
      </w:r>
      <w:proofErr w:type="spellStart"/>
      <w:r w:rsidRPr="001F749D">
        <w:t>Gupta</w:t>
      </w:r>
      <w:proofErr w:type="spellEnd"/>
      <w:r w:rsidRPr="001F749D">
        <w:t xml:space="preserve"> </w:t>
      </w:r>
      <w:proofErr w:type="spellStart"/>
      <w:r w:rsidRPr="001F749D">
        <w:t>et</w:t>
      </w:r>
      <w:proofErr w:type="spellEnd"/>
      <w:r w:rsidRPr="001F749D">
        <w:t xml:space="preserve"> </w:t>
      </w:r>
      <w:proofErr w:type="spellStart"/>
      <w:r w:rsidRPr="001F749D">
        <w:t>al</w:t>
      </w:r>
      <w:proofErr w:type="spellEnd"/>
      <w:r w:rsidRPr="001F749D">
        <w:t xml:space="preserve">: </w:t>
      </w:r>
      <w:proofErr w:type="spellStart"/>
      <w:r w:rsidRPr="001F749D">
        <w:t>Legal</w:t>
      </w:r>
      <w:proofErr w:type="spellEnd"/>
      <w:r w:rsidRPr="001F749D">
        <w:t xml:space="preserve"> and Policy </w:t>
      </w:r>
      <w:proofErr w:type="spellStart"/>
      <w:r w:rsidRPr="001F749D">
        <w:t>Frameworks</w:t>
      </w:r>
      <w:proofErr w:type="spellEnd"/>
      <w:r w:rsidRPr="001F749D">
        <w:t xml:space="preserve"> </w:t>
      </w:r>
      <w:proofErr w:type="spellStart"/>
      <w:r w:rsidRPr="001F749D">
        <w:t>for</w:t>
      </w:r>
      <w:proofErr w:type="spellEnd"/>
      <w:r w:rsidRPr="001F749D">
        <w:t xml:space="preserve"> </w:t>
      </w:r>
      <w:proofErr w:type="spellStart"/>
      <w:r w:rsidRPr="001F749D">
        <w:t>Women's</w:t>
      </w:r>
      <w:proofErr w:type="spellEnd"/>
      <w:r w:rsidRPr="001F749D">
        <w:t xml:space="preserve"> </w:t>
      </w:r>
      <w:proofErr w:type="spellStart"/>
      <w:r w:rsidRPr="001F749D">
        <w:t>Empowerment</w:t>
      </w:r>
      <w:proofErr w:type="spellEnd"/>
      <w:r w:rsidRPr="001F749D">
        <w:t xml:space="preserve">: Global </w:t>
      </w:r>
      <w:proofErr w:type="spellStart"/>
      <w:r w:rsidRPr="001F749D">
        <w:t>Perspectives</w:t>
      </w:r>
      <w:proofErr w:type="spellEnd"/>
      <w:r w:rsidRPr="001F749D">
        <w:t xml:space="preserve">. Journal of </w:t>
      </w:r>
      <w:proofErr w:type="spellStart"/>
      <w:r w:rsidRPr="001F749D">
        <w:t>Informatics</w:t>
      </w:r>
      <w:proofErr w:type="spellEnd"/>
      <w:r w:rsidRPr="001F749D">
        <w:t xml:space="preserve"> Education and Research, </w:t>
      </w:r>
      <w:proofErr w:type="spellStart"/>
      <w:r w:rsidRPr="001F749D">
        <w:t>Vol</w:t>
      </w:r>
      <w:proofErr w:type="spellEnd"/>
      <w:r w:rsidRPr="001F749D">
        <w:t xml:space="preserve">. 4 No. 3 (2024) DOI: </w:t>
      </w:r>
      <w:hyperlink r:id="rId6" w:tgtFrame="_blank" w:history="1">
        <w:r w:rsidRPr="001F749D">
          <w:rPr>
            <w:rStyle w:val="Hiperhivatkozs"/>
          </w:rPr>
          <w:t>https://doi.org/10.52783/jier.v4i3.1334</w:t>
        </w:r>
      </w:hyperlink>
      <w:r w:rsidRPr="001F749D">
        <w:t>    </w:t>
      </w:r>
    </w:p>
    <w:p w14:paraId="3322CA50" w14:textId="45421120" w:rsidR="001F749D" w:rsidRPr="001F749D" w:rsidRDefault="001F749D" w:rsidP="001F749D">
      <w:r w:rsidRPr="001F749D">
        <w:rPr>
          <w:lang w:val="en-US"/>
        </w:rPr>
        <w:t xml:space="preserve">Lisa I. </w:t>
      </w:r>
      <w:proofErr w:type="spellStart"/>
      <w:r w:rsidRPr="001F749D">
        <w:rPr>
          <w:lang w:val="en-US"/>
        </w:rPr>
        <w:t>Iezzoni</w:t>
      </w:r>
      <w:proofErr w:type="spellEnd"/>
      <w:r w:rsidRPr="001F749D">
        <w:rPr>
          <w:lang w:val="en-US"/>
        </w:rPr>
        <w:t xml:space="preserve"> et al (2022): Have Almost Fifty Years </w:t>
      </w:r>
      <w:proofErr w:type="gramStart"/>
      <w:r w:rsidRPr="001F749D">
        <w:rPr>
          <w:lang w:val="en-US"/>
        </w:rPr>
        <w:t>Of</w:t>
      </w:r>
      <w:proofErr w:type="gramEnd"/>
      <w:r w:rsidRPr="001F749D">
        <w:rPr>
          <w:lang w:val="en-US"/>
        </w:rPr>
        <w:t xml:space="preserve"> Disability Civil Rights Laws Achieved Equitable Care? Health Affairs. Vol. 41, No. 10. </w:t>
      </w:r>
      <w:hyperlink r:id="rId7" w:tgtFrame="_blank" w:history="1">
        <w:r w:rsidRPr="001F749D">
          <w:rPr>
            <w:rStyle w:val="Hiperhivatkozs"/>
            <w:lang w:val="en-US"/>
          </w:rPr>
          <w:t>https://doi.org/10.1377/hlthaff.2022.00413</w:t>
        </w:r>
      </w:hyperlink>
      <w:r w:rsidRPr="001F749D">
        <w:t> </w:t>
      </w:r>
    </w:p>
    <w:p w14:paraId="0D09B085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 tantárgy hozzájárulása a Képzési és kimeneti követelményekben meghatározott kompetenciaelemek elsajátításához:</w:t>
      </w:r>
    </w:p>
    <w:p w14:paraId="185CD874" w14:textId="12363954" w:rsidR="00D673CB" w:rsidRPr="00D673CB" w:rsidRDefault="00D673CB" w:rsidP="00380E1C">
      <w:pPr>
        <w:jc w:val="both"/>
      </w:pPr>
      <w:r w:rsidRPr="00D673CB">
        <w:t>A tárgy hozzájárul a jogi és általában a társadalomtudományi gondolkodás kulturális alapjainak megértéséhez. A hallgatókat képessé teszi a társadalmi kérdések összefüggéseinek érzékelésére, egyúttal a világnézeti kérdésekben a párbeszéd kultúráját is erősíti. </w:t>
      </w:r>
    </w:p>
    <w:p w14:paraId="73A1EB70" w14:textId="3CE8891F" w:rsidR="00376789" w:rsidRDefault="00376789"/>
    <w:p w14:paraId="7CFBEB23" w14:textId="77777777" w:rsidR="00D673CB" w:rsidRPr="00D673CB" w:rsidRDefault="00D673CB" w:rsidP="00D673CB">
      <w:pPr>
        <w:rPr>
          <w:b/>
          <w:bCs/>
        </w:rPr>
      </w:pPr>
      <w:r w:rsidRPr="00D673CB">
        <w:rPr>
          <w:b/>
          <w:bCs/>
        </w:rPr>
        <w:t>Tantárgy oktatója:</w:t>
      </w:r>
    </w:p>
    <w:p w14:paraId="45076135" w14:textId="5679050E" w:rsidR="00D673CB" w:rsidRPr="00D673CB" w:rsidRDefault="00D673CB" w:rsidP="00D673CB">
      <w:r w:rsidRPr="00D673CB">
        <w:t xml:space="preserve">Dr. </w:t>
      </w:r>
      <w:proofErr w:type="spellStart"/>
      <w:r w:rsidRPr="00D673CB">
        <w:t>Gyeney</w:t>
      </w:r>
      <w:proofErr w:type="spellEnd"/>
      <w:r w:rsidRPr="00D673CB">
        <w:t xml:space="preserve"> Laura, PhD. Habil., egyetemi docens </w:t>
      </w:r>
    </w:p>
    <w:p w14:paraId="47291821" w14:textId="77777777" w:rsidR="00D673CB" w:rsidRPr="00D673CB" w:rsidRDefault="00D673CB" w:rsidP="005F44F7">
      <w:r w:rsidRPr="00D673CB">
        <w:t>Dr. Gerencsér Balázs Szabolcs, PhD. Habil., egyetemi docens </w:t>
      </w:r>
    </w:p>
    <w:p w14:paraId="755D341C" w14:textId="0E8F76B8" w:rsidR="001F749D" w:rsidRPr="001F749D" w:rsidRDefault="001F749D" w:rsidP="00D673CB"/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3"/>
  </w:num>
  <w:num w:numId="2" w16cid:durableId="1220941275">
    <w:abstractNumId w:val="16"/>
  </w:num>
  <w:num w:numId="3" w16cid:durableId="1656912806">
    <w:abstractNumId w:val="7"/>
  </w:num>
  <w:num w:numId="4" w16cid:durableId="2096702254">
    <w:abstractNumId w:val="12"/>
  </w:num>
  <w:num w:numId="5" w16cid:durableId="576288488">
    <w:abstractNumId w:val="10"/>
  </w:num>
  <w:num w:numId="6" w16cid:durableId="1892036830">
    <w:abstractNumId w:val="13"/>
  </w:num>
  <w:num w:numId="7" w16cid:durableId="1647514419">
    <w:abstractNumId w:val="0"/>
  </w:num>
  <w:num w:numId="8" w16cid:durableId="781191227">
    <w:abstractNumId w:val="6"/>
  </w:num>
  <w:num w:numId="9" w16cid:durableId="960107830">
    <w:abstractNumId w:val="11"/>
  </w:num>
  <w:num w:numId="10" w16cid:durableId="1049381860">
    <w:abstractNumId w:val="18"/>
  </w:num>
  <w:num w:numId="11" w16cid:durableId="1798915148">
    <w:abstractNumId w:val="8"/>
  </w:num>
  <w:num w:numId="12" w16cid:durableId="315307678">
    <w:abstractNumId w:val="14"/>
  </w:num>
  <w:num w:numId="13" w16cid:durableId="1027177409">
    <w:abstractNumId w:val="5"/>
  </w:num>
  <w:num w:numId="14" w16cid:durableId="1151992261">
    <w:abstractNumId w:val="15"/>
  </w:num>
  <w:num w:numId="15" w16cid:durableId="725837060">
    <w:abstractNumId w:val="4"/>
  </w:num>
  <w:num w:numId="16" w16cid:durableId="1730837013">
    <w:abstractNumId w:val="2"/>
  </w:num>
  <w:num w:numId="17" w16cid:durableId="1034697080">
    <w:abstractNumId w:val="9"/>
  </w:num>
  <w:num w:numId="18" w16cid:durableId="1904026562">
    <w:abstractNumId w:val="17"/>
  </w:num>
  <w:num w:numId="19" w16cid:durableId="1446270577">
    <w:abstractNumId w:val="1"/>
  </w:num>
  <w:num w:numId="20" w16cid:durableId="18618913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1F749D"/>
    <w:rsid w:val="00376789"/>
    <w:rsid w:val="00380E1C"/>
    <w:rsid w:val="003B0B39"/>
    <w:rsid w:val="004C1325"/>
    <w:rsid w:val="005F44F7"/>
    <w:rsid w:val="006219D1"/>
    <w:rsid w:val="008D40C7"/>
    <w:rsid w:val="00A241BA"/>
    <w:rsid w:val="00C62DAD"/>
    <w:rsid w:val="00D6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377/hlthaff.2022.004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2783/jier.v4i3.1334" TargetMode="External"/><Relationship Id="rId5" Type="http://schemas.openxmlformats.org/officeDocument/2006/relationships/hyperlink" Target="https://doi.org/10.1080/13642987.2023.22973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641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4</cp:revision>
  <dcterms:created xsi:type="dcterms:W3CDTF">2026-02-25T10:35:00Z</dcterms:created>
  <dcterms:modified xsi:type="dcterms:W3CDTF">2026-02-25T13:21:00Z</dcterms:modified>
</cp:coreProperties>
</file>