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9B0C" w14:textId="16F1FAEC" w:rsidR="00A350A8" w:rsidRPr="00A350A8" w:rsidRDefault="00EF6043" w:rsidP="00A350A8">
      <w:pPr>
        <w:rPr>
          <w:b/>
          <w:bCs/>
        </w:rPr>
      </w:pPr>
      <w:r w:rsidRPr="00EF6043">
        <w:rPr>
          <w:b/>
          <w:bCs/>
        </w:rPr>
        <w:t xml:space="preserve">Szerződések a köz- és magánjog határán (Közbeszerzések és </w:t>
      </w:r>
      <w:proofErr w:type="gramStart"/>
      <w:r w:rsidRPr="00EF6043">
        <w:rPr>
          <w:b/>
          <w:bCs/>
        </w:rPr>
        <w:t>koncessziók) </w:t>
      </w:r>
      <w:r>
        <w:rPr>
          <w:b/>
          <w:bCs/>
        </w:rPr>
        <w:t xml:space="preserve"> </w:t>
      </w:r>
      <w:r w:rsidR="00A350A8" w:rsidRPr="00A350A8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JDDO</w:t>
      </w:r>
      <w:proofErr w:type="gramEnd"/>
      <w:r w:rsidR="00A350A8" w:rsidRPr="00A350A8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36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8</w:t>
      </w:r>
      <w:r w:rsidR="00A350A8" w:rsidRPr="00A350A8">
        <w:rPr>
          <w:rFonts w:ascii="Calibri" w:eastAsia="Times New Roman" w:hAnsi="Calibri" w:cs="Calibri"/>
          <w:b/>
          <w:bCs/>
          <w:color w:val="000000"/>
          <w:kern w:val="0"/>
          <w:lang w:eastAsia="hu-HU"/>
          <w14:ligatures w14:val="none"/>
        </w:rPr>
        <w:t>XA0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6B0FF31A" w14:textId="77777777" w:rsidR="00EF6043" w:rsidRPr="00EF6043" w:rsidRDefault="00EF6043" w:rsidP="009A435E">
      <w:pPr>
        <w:jc w:val="both"/>
      </w:pPr>
      <w:r w:rsidRPr="00EF6043">
        <w:t>A szerződések jogát általában a polgári jog körébe soroljuk, amelyet a Ptk. szabályoz, habár léteznek olyan úgynevezett közszerződések is, amelyekre a Ptk. szabályai korlátozottan, mögöttesen vonatkoznak, tekintettel a szerződő felek személyére és a szerződés tárgyát, illetve annak célját megvalósító közfeladat jellegére.   </w:t>
      </w:r>
    </w:p>
    <w:p w14:paraId="5DEE2022" w14:textId="77777777" w:rsidR="00EF6043" w:rsidRPr="00EF6043" w:rsidRDefault="00EF6043" w:rsidP="009A435E">
      <w:pPr>
        <w:jc w:val="both"/>
      </w:pPr>
      <w:r w:rsidRPr="00EF6043">
        <w:t xml:space="preserve">A tantárgy keretei között azokat a szerződéstípusokat tekintjük át – különösen a közbeszerzések és koncessziók körében, amelyek esetében hallgatóink a Ptk. szabályai mellett </w:t>
      </w:r>
      <w:proofErr w:type="spellStart"/>
      <w:r w:rsidRPr="00EF6043">
        <w:rPr>
          <w:i/>
          <w:iCs/>
        </w:rPr>
        <w:t>lex</w:t>
      </w:r>
      <w:proofErr w:type="spellEnd"/>
      <w:r w:rsidRPr="00EF6043">
        <w:rPr>
          <w:i/>
          <w:iCs/>
        </w:rPr>
        <w:t xml:space="preserve"> speciális-</w:t>
      </w:r>
      <w:r w:rsidRPr="00EF6043">
        <w:t>ként a közbeszerzésekről szóló 2015. évi CXLIII. törvény alapján lefolytatott közbeszerzési eljárás eredményeként megkötött szerződések sajátos rendelkezéseivel ismerkedhetnek meg.  </w:t>
      </w:r>
    </w:p>
    <w:p w14:paraId="687B7A9E" w14:textId="31395D81" w:rsidR="00D673CB" w:rsidRPr="003B0B39" w:rsidRDefault="00D673CB" w:rsidP="009A435E">
      <w:pPr>
        <w:jc w:val="both"/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255F6D30" w14:textId="77777777" w:rsidR="00EF6043" w:rsidRPr="00EF6043" w:rsidRDefault="00EF6043" w:rsidP="009A435E">
      <w:pPr>
        <w:jc w:val="both"/>
      </w:pPr>
      <w:r w:rsidRPr="00EF6043">
        <w:t>A tantárgyhoz nem kapcsolódik külön gyakorlati óra, ezért 10 órában az elméleti ismereteken túlmenően a hallgatók kapcsolódó valós jogeseteken és más interaktív gyakorlatokon keresztül tájékozódhatnak a versenyeztetési eljárás következtében megkötött közbeszerzési és koncessziós szerződések fontosabb ismérveiről. </w:t>
      </w:r>
    </w:p>
    <w:p w14:paraId="778E292C" w14:textId="0D49693F" w:rsidR="00D673CB" w:rsidRPr="003B0B39" w:rsidRDefault="00D673CB" w:rsidP="009A435E">
      <w:pPr>
        <w:jc w:val="both"/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6014AB2B" w14:textId="77777777" w:rsidR="00EF6043" w:rsidRPr="00EF6043" w:rsidRDefault="00EF6043" w:rsidP="009A435E">
      <w:pPr>
        <w:jc w:val="both"/>
      </w:pPr>
      <w:r w:rsidRPr="00EF6043">
        <w:rPr>
          <w:b/>
          <w:bCs/>
          <w:u w:val="single"/>
        </w:rPr>
        <w:t>Az előadások beosztása és tervezett témája</w:t>
      </w:r>
      <w:r w:rsidRPr="00EF6043">
        <w:rPr>
          <w:b/>
          <w:bCs/>
        </w:rPr>
        <w:t>:</w:t>
      </w:r>
      <w:r w:rsidRPr="00EF6043">
        <w:t> </w:t>
      </w:r>
    </w:p>
    <w:p w14:paraId="13F78A62" w14:textId="77777777" w:rsidR="00EF6043" w:rsidRPr="00EF6043" w:rsidRDefault="00EF6043" w:rsidP="009A435E">
      <w:pPr>
        <w:spacing w:after="0" w:line="240" w:lineRule="auto"/>
        <w:jc w:val="both"/>
      </w:pPr>
      <w:r w:rsidRPr="00EF6043">
        <w:t>1. A közbeszerzési szerződés polgári jogi kapcsolódási pontjai és elhatárolása más polgári jogi szerződésektől. </w:t>
      </w:r>
    </w:p>
    <w:p w14:paraId="1A848B73" w14:textId="77777777" w:rsidR="00EF6043" w:rsidRPr="00EF6043" w:rsidRDefault="00EF6043" w:rsidP="009A435E">
      <w:pPr>
        <w:spacing w:after="0" w:line="240" w:lineRule="auto"/>
        <w:jc w:val="both"/>
      </w:pPr>
      <w:r w:rsidRPr="00EF6043">
        <w:t>2. A közbeszerzési és koncessziós szerződések megkötésének sajátos szabályai (elhatárolás egyéb szerződéskötési módozatoktól). </w:t>
      </w:r>
    </w:p>
    <w:p w14:paraId="69E676F1" w14:textId="77777777" w:rsidR="00EF6043" w:rsidRPr="00EF6043" w:rsidRDefault="00EF6043" w:rsidP="009A435E">
      <w:pPr>
        <w:spacing w:after="0" w:line="240" w:lineRule="auto"/>
        <w:jc w:val="both"/>
      </w:pPr>
      <w:r w:rsidRPr="00EF6043">
        <w:t>3. A szerződés megkötésének elmaradása, alkalmazandó jogkövetkezmények. Kártérítési igények érvényesítése. </w:t>
      </w:r>
    </w:p>
    <w:p w14:paraId="496DF648" w14:textId="77777777" w:rsidR="00EF6043" w:rsidRPr="00EF6043" w:rsidRDefault="00EF6043" w:rsidP="009A435E">
      <w:pPr>
        <w:spacing w:after="0" w:line="240" w:lineRule="auto"/>
        <w:jc w:val="both"/>
      </w:pPr>
      <w:r w:rsidRPr="00EF6043">
        <w:t>4. A közbeszerzési szerződés kötelező tartalma, a módosítás feltételei. </w:t>
      </w:r>
    </w:p>
    <w:p w14:paraId="1A8E163B" w14:textId="77777777" w:rsidR="00EF6043" w:rsidRPr="00EF6043" w:rsidRDefault="00EF6043" w:rsidP="009A435E">
      <w:pPr>
        <w:spacing w:after="0" w:line="240" w:lineRule="auto"/>
        <w:jc w:val="both"/>
      </w:pPr>
      <w:r w:rsidRPr="00EF6043">
        <w:t>5. A szerződések biztosítékai. </w:t>
      </w:r>
    </w:p>
    <w:p w14:paraId="57F78264" w14:textId="77777777" w:rsidR="00EF6043" w:rsidRPr="00EF6043" w:rsidRDefault="00EF6043" w:rsidP="009A435E">
      <w:pPr>
        <w:spacing w:after="0" w:line="240" w:lineRule="auto"/>
        <w:jc w:val="both"/>
      </w:pPr>
      <w:r w:rsidRPr="00EF6043">
        <w:t>6. A közbeszerzési szerződés teljesítése. </w:t>
      </w:r>
    </w:p>
    <w:p w14:paraId="77CF5A2A" w14:textId="77777777" w:rsidR="00EF6043" w:rsidRDefault="00EF6043" w:rsidP="009A435E">
      <w:pPr>
        <w:jc w:val="both"/>
        <w:rPr>
          <w:b/>
          <w:bCs/>
        </w:rPr>
      </w:pPr>
    </w:p>
    <w:p w14:paraId="05DB11AF" w14:textId="241FECE2" w:rsidR="00D673CB" w:rsidRPr="003B0B39" w:rsidRDefault="00D673CB" w:rsidP="009A435E">
      <w:pPr>
        <w:jc w:val="both"/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0994C8B6" w14:textId="77777777" w:rsidR="00EF6043" w:rsidRPr="00EF6043" w:rsidRDefault="00EF6043" w:rsidP="009A435E">
      <w:pPr>
        <w:jc w:val="both"/>
      </w:pPr>
      <w:r w:rsidRPr="00EF6043">
        <w:rPr>
          <w:b/>
          <w:bCs/>
          <w:u w:val="single"/>
        </w:rPr>
        <w:t>Követelmények</w:t>
      </w:r>
      <w:r w:rsidRPr="00EF6043">
        <w:t> </w:t>
      </w:r>
    </w:p>
    <w:p w14:paraId="2BE49BD3" w14:textId="77777777" w:rsidR="00EF6043" w:rsidRPr="00EF6043" w:rsidRDefault="00EF6043" w:rsidP="009A435E">
      <w:pPr>
        <w:jc w:val="both"/>
      </w:pPr>
      <w:r w:rsidRPr="00EF6043">
        <w:rPr>
          <w:i/>
          <w:iCs/>
        </w:rPr>
        <w:t>Az előadásokon való részvétel, amelyek gyakorlati foglalkozásokat is magukban foglalnak, legalább 75%-ban kötelező.</w:t>
      </w:r>
      <w:r w:rsidRPr="00EF6043">
        <w:t> </w:t>
      </w:r>
    </w:p>
    <w:p w14:paraId="7C3ABFD8" w14:textId="77777777" w:rsidR="00EF6043" w:rsidRPr="00EF6043" w:rsidRDefault="00EF6043" w:rsidP="009A435E">
      <w:pPr>
        <w:jc w:val="both"/>
      </w:pPr>
      <w:r w:rsidRPr="00EF6043">
        <w:rPr>
          <w:i/>
          <w:iCs/>
        </w:rPr>
        <w:t xml:space="preserve">Alapvetően jelenléti órákat tartunk, de a levelezős hallgatók számára a </w:t>
      </w:r>
      <w:proofErr w:type="spellStart"/>
      <w:r w:rsidRPr="00EF6043">
        <w:rPr>
          <w:i/>
          <w:iCs/>
        </w:rPr>
        <w:t>Teams</w:t>
      </w:r>
      <w:proofErr w:type="spellEnd"/>
      <w:r w:rsidRPr="00EF6043">
        <w:rPr>
          <w:i/>
          <w:iCs/>
        </w:rPr>
        <w:t>-en való online kapcsolódás is megengedett. </w:t>
      </w:r>
      <w:r w:rsidRPr="00EF6043">
        <w:t> </w:t>
      </w:r>
    </w:p>
    <w:p w14:paraId="223703F5" w14:textId="7CB1D0BB" w:rsidR="00EF6043" w:rsidRPr="00EF6043" w:rsidRDefault="00EF6043" w:rsidP="009A435E">
      <w:pPr>
        <w:jc w:val="both"/>
      </w:pPr>
      <w:r w:rsidRPr="00EF6043">
        <w:t> </w:t>
      </w:r>
      <w:r w:rsidRPr="00EF6043">
        <w:rPr>
          <w:i/>
          <w:iCs/>
        </w:rPr>
        <w:t xml:space="preserve">Az órákon való jelenlét önmagában nem elegendő a tárgy teljesítéséhez, mert szükséges még </w:t>
      </w:r>
      <w:proofErr w:type="gramStart"/>
      <w:r w:rsidRPr="00EF6043">
        <w:rPr>
          <w:i/>
          <w:iCs/>
        </w:rPr>
        <w:t>az aktív részvétel,</w:t>
      </w:r>
      <w:proofErr w:type="gramEnd"/>
      <w:r w:rsidRPr="00EF6043">
        <w:rPr>
          <w:i/>
          <w:iCs/>
        </w:rPr>
        <w:t xml:space="preserve"> és a félév végén teljesített írásbeli beszámoló. Az írásbeli beszámoló kiváltható az előadáson megtartott kiselőadással. A kiselőadás anyaga az oktatóval való előzetes megbeszélés alapján általában jogesetfeldolgozást jelent.</w:t>
      </w:r>
      <w:r w:rsidRPr="00EF6043">
        <w:t> </w:t>
      </w:r>
    </w:p>
    <w:p w14:paraId="6C4922A2" w14:textId="77777777" w:rsidR="00EF6043" w:rsidRDefault="00EF6043" w:rsidP="009A435E">
      <w:pPr>
        <w:jc w:val="both"/>
        <w:rPr>
          <w:b/>
          <w:bCs/>
        </w:rPr>
      </w:pPr>
    </w:p>
    <w:p w14:paraId="613F0CB1" w14:textId="77777777" w:rsidR="00EF6043" w:rsidRDefault="00EF6043" w:rsidP="009A435E">
      <w:pPr>
        <w:jc w:val="both"/>
        <w:rPr>
          <w:b/>
          <w:bCs/>
        </w:rPr>
      </w:pPr>
    </w:p>
    <w:p w14:paraId="2CDC8D27" w14:textId="77777777" w:rsidR="00EF6043" w:rsidRDefault="00EF6043" w:rsidP="009A435E">
      <w:pPr>
        <w:jc w:val="both"/>
        <w:rPr>
          <w:b/>
          <w:bCs/>
        </w:rPr>
      </w:pPr>
    </w:p>
    <w:p w14:paraId="66B99562" w14:textId="4AD6C8A7" w:rsidR="00D673CB" w:rsidRPr="003B0B39" w:rsidRDefault="00D673CB" w:rsidP="009A435E">
      <w:pPr>
        <w:jc w:val="both"/>
        <w:rPr>
          <w:b/>
          <w:bCs/>
        </w:rPr>
      </w:pPr>
      <w:r w:rsidRPr="003B0B39">
        <w:rPr>
          <w:b/>
          <w:bCs/>
        </w:rPr>
        <w:lastRenderedPageBreak/>
        <w:t>Az alkalmazott oktatási módszerek:</w:t>
      </w:r>
    </w:p>
    <w:p w14:paraId="438AF1B1" w14:textId="77777777" w:rsidR="00EF6043" w:rsidRPr="00EF6043" w:rsidRDefault="00EF6043" w:rsidP="009A435E">
      <w:pPr>
        <w:jc w:val="both"/>
      </w:pPr>
      <w:r w:rsidRPr="00EF6043">
        <w:t xml:space="preserve">Minden előadáshoz prezentáció kapcsolódik, amelyet </w:t>
      </w:r>
      <w:proofErr w:type="spellStart"/>
      <w:r w:rsidRPr="00EF6043">
        <w:t>Teams</w:t>
      </w:r>
      <w:proofErr w:type="spellEnd"/>
      <w:r w:rsidRPr="00EF6043">
        <w:t>-en megosztunk a hallgatókkal. </w:t>
      </w:r>
    </w:p>
    <w:p w14:paraId="4466F814" w14:textId="77777777" w:rsidR="00EF6043" w:rsidRPr="00EF6043" w:rsidRDefault="00EF6043" w:rsidP="009A435E">
      <w:pPr>
        <w:jc w:val="both"/>
      </w:pPr>
      <w:r w:rsidRPr="00EF6043">
        <w:t>Az előadások anyagának jobb megértését, a tananyag elsajátítását jogesetek ismertetése, interaktív gyakorlatok, online feladatok segítik. </w:t>
      </w:r>
    </w:p>
    <w:p w14:paraId="3C804C69" w14:textId="7CAE7933" w:rsidR="00D673CB" w:rsidRPr="003B0B39" w:rsidRDefault="00D673CB" w:rsidP="009A435E">
      <w:pPr>
        <w:jc w:val="both"/>
        <w:rPr>
          <w:b/>
          <w:bCs/>
        </w:rPr>
      </w:pPr>
      <w:r w:rsidRPr="003B0B39">
        <w:rPr>
          <w:b/>
          <w:bCs/>
        </w:rPr>
        <w:t>Kötelező irodalom:</w:t>
      </w:r>
    </w:p>
    <w:p w14:paraId="679C7A8F" w14:textId="77777777" w:rsidR="00EF6043" w:rsidRPr="00EF6043" w:rsidRDefault="00EF6043" w:rsidP="009A435E">
      <w:pPr>
        <w:jc w:val="both"/>
      </w:pPr>
      <w:r w:rsidRPr="00EF6043">
        <w:t>Az előadások kötelező anyagát az időszakosan a jogszabályok dinamikus változásához igazított aktualizált diasor képezi. Ezen túlmenően fontos szempont a tananyag kialakításában, hogy az adott félévben milyen érdeklődésű hallgatók látogatják a kurzust. A félév témájának súlyponti elemeit, és ezzel együtt a kötelező irodalmat – lehetőség szerint – a készülő doktori dolgozatok témájához kapcsolható szempontok szerint alakítjuk ki. </w:t>
      </w:r>
    </w:p>
    <w:p w14:paraId="3018F48B" w14:textId="178037DC" w:rsidR="00D673CB" w:rsidRPr="003B0B39" w:rsidRDefault="000C46B3" w:rsidP="009A435E">
      <w:pPr>
        <w:jc w:val="both"/>
        <w:rPr>
          <w:b/>
          <w:bCs/>
        </w:rPr>
      </w:pPr>
      <w:r w:rsidRPr="000C46B3">
        <w:t> </w:t>
      </w:r>
      <w:r w:rsidR="00D673CB" w:rsidRPr="003B0B39">
        <w:rPr>
          <w:b/>
          <w:bCs/>
        </w:rPr>
        <w:t>Ajánlott irodalom:</w:t>
      </w:r>
    </w:p>
    <w:p w14:paraId="0158D742" w14:textId="77777777" w:rsidR="00EF6043" w:rsidRPr="00EF6043" w:rsidRDefault="00EF6043" w:rsidP="009A435E">
      <w:pPr>
        <w:jc w:val="both"/>
      </w:pPr>
      <w:r w:rsidRPr="00EF6043">
        <w:t xml:space="preserve">Gyulai-Schmidt – Tátrai – Várhomoki-Molnár: </w:t>
      </w:r>
      <w:r w:rsidRPr="00EF6043">
        <w:rPr>
          <w:i/>
          <w:iCs/>
        </w:rPr>
        <w:t>Európai Uniós Közbeszerzés. Jogesetek magyarázatokkal</w:t>
      </w:r>
      <w:r w:rsidRPr="00EF6043">
        <w:t>, 2019–2023-ig  </w:t>
      </w:r>
    </w:p>
    <w:p w14:paraId="4846BD77" w14:textId="77777777" w:rsidR="00EF6043" w:rsidRPr="00EF6043" w:rsidRDefault="00EF6043" w:rsidP="009A435E">
      <w:pPr>
        <w:jc w:val="both"/>
      </w:pPr>
      <w:r w:rsidRPr="00EF6043">
        <w:t>8 füzet. </w:t>
      </w:r>
    </w:p>
    <w:p w14:paraId="5CDF6ACD" w14:textId="77777777" w:rsidR="00EF6043" w:rsidRPr="00EF6043" w:rsidRDefault="00EF6043" w:rsidP="009A435E">
      <w:pPr>
        <w:jc w:val="both"/>
      </w:pPr>
      <w:hyperlink r:id="rId6" w:tgtFrame="_blank" w:history="1">
        <w:r w:rsidRPr="00EF6043">
          <w:rPr>
            <w:rStyle w:val="Hiperhivatkozs"/>
          </w:rPr>
          <w:t>https://archive.palyazat.gov.hu//europai_unios_kozbeszerzes</w:t>
        </w:r>
      </w:hyperlink>
      <w:r w:rsidRPr="00EF6043">
        <w:t> </w:t>
      </w:r>
    </w:p>
    <w:p w14:paraId="0D09B085" w14:textId="74ADAC5B" w:rsidR="00D673CB" w:rsidRPr="003B0B39" w:rsidRDefault="00EF6043" w:rsidP="009A435E">
      <w:pPr>
        <w:jc w:val="both"/>
        <w:rPr>
          <w:b/>
          <w:bCs/>
        </w:rPr>
      </w:pPr>
      <w:r w:rsidRPr="00EF6043">
        <w:t> </w:t>
      </w:r>
      <w:r w:rsidR="00D673CB"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326D2B8E" w14:textId="0A503F83" w:rsidR="00EF6043" w:rsidRPr="00EF6043" w:rsidRDefault="00EF6043" w:rsidP="009A435E">
      <w:pPr>
        <w:jc w:val="both"/>
      </w:pPr>
      <w:r w:rsidRPr="00EF6043">
        <w:rPr>
          <w:b/>
          <w:bCs/>
        </w:rPr>
        <w:t xml:space="preserve">tudás: </w:t>
      </w:r>
      <w:r w:rsidRPr="00EF6043">
        <w:t>A hallgatók megismerkedhetnek az adott szakterület tényeinek, fogalmainak, összefüggéseinek, eljárásainak alkalmazásához szükséges módszerekkel és eszközökkel, ezáltal alkotó módon megértik az adott szak, illetve tanulmányi terület összefüggéseit. </w:t>
      </w:r>
    </w:p>
    <w:p w14:paraId="11398AAC" w14:textId="6AC27D32" w:rsidR="00EF6043" w:rsidRPr="00EF6043" w:rsidRDefault="00EF6043" w:rsidP="009A435E">
      <w:pPr>
        <w:jc w:val="both"/>
      </w:pPr>
      <w:r w:rsidRPr="00EF6043">
        <w:rPr>
          <w:b/>
          <w:bCs/>
        </w:rPr>
        <w:t xml:space="preserve">képesség: </w:t>
      </w:r>
      <w:r w:rsidRPr="00EF6043">
        <w:t>A hallgatók a fent megjelölt tudás, illetve ismeretek elsajátítása révén képesek használni, megérteni az oktatott jogterület jellemző szakirodalmát, számítástechnikai, könyvtári forrásait. Szakterületük egyes résztémáiról képesek lesznek önálló, tudományos formájú összefoglalók, elemzések készítésére. </w:t>
      </w:r>
    </w:p>
    <w:p w14:paraId="5970992B" w14:textId="6AB1DFD0" w:rsidR="00EF6043" w:rsidRPr="00EF6043" w:rsidRDefault="00EF6043" w:rsidP="009A435E">
      <w:pPr>
        <w:jc w:val="both"/>
      </w:pPr>
      <w:r w:rsidRPr="00EF6043">
        <w:rPr>
          <w:b/>
          <w:bCs/>
        </w:rPr>
        <w:t xml:space="preserve">attitűd: </w:t>
      </w:r>
      <w:r w:rsidRPr="00EF6043">
        <w:t xml:space="preserve">Az elsajátított tananyag segítségével a hallgatók nyitottabbá válnak az adott témakör </w:t>
      </w:r>
      <w:proofErr w:type="spellStart"/>
      <w:r w:rsidRPr="00EF6043">
        <w:t>elmélyültebb</w:t>
      </w:r>
      <w:proofErr w:type="spellEnd"/>
      <w:r w:rsidRPr="00EF6043">
        <w:t xml:space="preserve"> megismerésére. A téma iránti szakmai érdeklődés kialakulásával lehetővé válik a szakterület jelen pillanatban még átláthatatlan, előjelezhetetlen kutatási problémáinak azonosítása és megoldása. </w:t>
      </w:r>
    </w:p>
    <w:p w14:paraId="5046990A" w14:textId="06188D00" w:rsidR="00EF6043" w:rsidRPr="00EF6043" w:rsidRDefault="00EF6043" w:rsidP="009A435E">
      <w:pPr>
        <w:jc w:val="both"/>
      </w:pPr>
      <w:r w:rsidRPr="00EF6043">
        <w:rPr>
          <w:b/>
          <w:bCs/>
        </w:rPr>
        <w:t xml:space="preserve">autonómia és felelősség: </w:t>
      </w:r>
      <w:r w:rsidR="009A435E">
        <w:t>Eg</w:t>
      </w:r>
      <w:r w:rsidRPr="00EF6043">
        <w:t>yszerű feladathelyzetekben önállóan és felelősséggel dolgozik. </w:t>
      </w:r>
    </w:p>
    <w:p w14:paraId="3F69E52E" w14:textId="77777777" w:rsidR="00EF6043" w:rsidRPr="00EF6043" w:rsidRDefault="00EF6043" w:rsidP="009A435E">
      <w:pPr>
        <w:jc w:val="both"/>
      </w:pPr>
      <w:r w:rsidRPr="00EF6043">
        <w:t>Összetettebb feladatok esetén is elégséges az útmutatás a szoros irányítás helyett. </w:t>
      </w:r>
    </w:p>
    <w:p w14:paraId="73A1EB70" w14:textId="3AD91753" w:rsidR="00376789" w:rsidRDefault="00376789" w:rsidP="009A435E">
      <w:pPr>
        <w:jc w:val="both"/>
      </w:pPr>
    </w:p>
    <w:p w14:paraId="7CFBEB23" w14:textId="77777777" w:rsidR="00D673CB" w:rsidRPr="00D673CB" w:rsidRDefault="00D673CB" w:rsidP="009A435E">
      <w:pPr>
        <w:jc w:val="both"/>
        <w:rPr>
          <w:b/>
          <w:bCs/>
        </w:rPr>
      </w:pPr>
      <w:r w:rsidRPr="00D673CB">
        <w:rPr>
          <w:b/>
          <w:bCs/>
        </w:rPr>
        <w:t>Tantárgy oktatója:</w:t>
      </w:r>
    </w:p>
    <w:p w14:paraId="3BA2D43C" w14:textId="77777777" w:rsidR="00EF6043" w:rsidRPr="00EF6043" w:rsidRDefault="00EF6043" w:rsidP="009A435E">
      <w:pPr>
        <w:jc w:val="both"/>
      </w:pPr>
      <w:r w:rsidRPr="00EF6043">
        <w:t>Dr. habil. Gyulai-Schmidt Andrea  </w:t>
      </w:r>
    </w:p>
    <w:sectPr w:rsidR="00EF6043" w:rsidRPr="00EF6043" w:rsidSect="00EF60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E599A"/>
    <w:multiLevelType w:val="multilevel"/>
    <w:tmpl w:val="6A6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A04D1"/>
    <w:multiLevelType w:val="multilevel"/>
    <w:tmpl w:val="C52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D20F4"/>
    <w:multiLevelType w:val="multilevel"/>
    <w:tmpl w:val="D62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A128BB"/>
    <w:multiLevelType w:val="multilevel"/>
    <w:tmpl w:val="A1B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190162"/>
    <w:multiLevelType w:val="multilevel"/>
    <w:tmpl w:val="69AA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64557"/>
    <w:multiLevelType w:val="multilevel"/>
    <w:tmpl w:val="BD0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F5859"/>
    <w:multiLevelType w:val="multilevel"/>
    <w:tmpl w:val="31A6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D31973"/>
    <w:multiLevelType w:val="multilevel"/>
    <w:tmpl w:val="091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E47F3"/>
    <w:multiLevelType w:val="multilevel"/>
    <w:tmpl w:val="EE3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3D0BB8"/>
    <w:multiLevelType w:val="multilevel"/>
    <w:tmpl w:val="8B4A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B1D5D"/>
    <w:multiLevelType w:val="multilevel"/>
    <w:tmpl w:val="833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1464A"/>
    <w:multiLevelType w:val="multilevel"/>
    <w:tmpl w:val="9C66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E3277"/>
    <w:multiLevelType w:val="multilevel"/>
    <w:tmpl w:val="908A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267782"/>
    <w:multiLevelType w:val="multilevel"/>
    <w:tmpl w:val="FE02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62914"/>
    <w:multiLevelType w:val="multilevel"/>
    <w:tmpl w:val="2138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6B3008"/>
    <w:multiLevelType w:val="multilevel"/>
    <w:tmpl w:val="BEFC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10"/>
  </w:num>
  <w:num w:numId="2" w16cid:durableId="1220941275">
    <w:abstractNumId w:val="40"/>
  </w:num>
  <w:num w:numId="3" w16cid:durableId="1656912806">
    <w:abstractNumId w:val="21"/>
  </w:num>
  <w:num w:numId="4" w16cid:durableId="2096702254">
    <w:abstractNumId w:val="35"/>
  </w:num>
  <w:num w:numId="5" w16cid:durableId="576288488">
    <w:abstractNumId w:val="33"/>
  </w:num>
  <w:num w:numId="6" w16cid:durableId="1892036830">
    <w:abstractNumId w:val="36"/>
  </w:num>
  <w:num w:numId="7" w16cid:durableId="1647514419">
    <w:abstractNumId w:val="0"/>
  </w:num>
  <w:num w:numId="8" w16cid:durableId="781191227">
    <w:abstractNumId w:val="19"/>
  </w:num>
  <w:num w:numId="9" w16cid:durableId="960107830">
    <w:abstractNumId w:val="34"/>
  </w:num>
  <w:num w:numId="10" w16cid:durableId="1049381860">
    <w:abstractNumId w:val="42"/>
  </w:num>
  <w:num w:numId="11" w16cid:durableId="1798915148">
    <w:abstractNumId w:val="23"/>
  </w:num>
  <w:num w:numId="12" w16cid:durableId="315307678">
    <w:abstractNumId w:val="38"/>
  </w:num>
  <w:num w:numId="13" w16cid:durableId="1027177409">
    <w:abstractNumId w:val="13"/>
  </w:num>
  <w:num w:numId="14" w16cid:durableId="1151992261">
    <w:abstractNumId w:val="39"/>
  </w:num>
  <w:num w:numId="15" w16cid:durableId="725837060">
    <w:abstractNumId w:val="11"/>
  </w:num>
  <w:num w:numId="16" w16cid:durableId="1730837013">
    <w:abstractNumId w:val="9"/>
  </w:num>
  <w:num w:numId="17" w16cid:durableId="1034697080">
    <w:abstractNumId w:val="32"/>
  </w:num>
  <w:num w:numId="18" w16cid:durableId="1904026562">
    <w:abstractNumId w:val="41"/>
  </w:num>
  <w:num w:numId="19" w16cid:durableId="1446270577">
    <w:abstractNumId w:val="4"/>
  </w:num>
  <w:num w:numId="20" w16cid:durableId="1861891320">
    <w:abstractNumId w:val="43"/>
  </w:num>
  <w:num w:numId="21" w16cid:durableId="1868592406">
    <w:abstractNumId w:val="29"/>
  </w:num>
  <w:num w:numId="22" w16cid:durableId="1797991445">
    <w:abstractNumId w:val="12"/>
  </w:num>
  <w:num w:numId="23" w16cid:durableId="1796480508">
    <w:abstractNumId w:val="31"/>
  </w:num>
  <w:num w:numId="24" w16cid:durableId="1161045465">
    <w:abstractNumId w:val="1"/>
  </w:num>
  <w:num w:numId="25" w16cid:durableId="144705036">
    <w:abstractNumId w:val="7"/>
  </w:num>
  <w:num w:numId="26" w16cid:durableId="78522246">
    <w:abstractNumId w:val="16"/>
  </w:num>
  <w:num w:numId="27" w16cid:durableId="1771268613">
    <w:abstractNumId w:val="5"/>
  </w:num>
  <w:num w:numId="28" w16cid:durableId="245968587">
    <w:abstractNumId w:val="15"/>
  </w:num>
  <w:num w:numId="29" w16cid:durableId="1807234548">
    <w:abstractNumId w:val="8"/>
  </w:num>
  <w:num w:numId="30" w16cid:durableId="1211500391">
    <w:abstractNumId w:val="3"/>
  </w:num>
  <w:num w:numId="31" w16cid:durableId="1561941924">
    <w:abstractNumId w:val="20"/>
  </w:num>
  <w:num w:numId="32" w16cid:durableId="1179271847">
    <w:abstractNumId w:val="2"/>
  </w:num>
  <w:num w:numId="33" w16cid:durableId="490828376">
    <w:abstractNumId w:val="22"/>
  </w:num>
  <w:num w:numId="34" w16cid:durableId="2143771063">
    <w:abstractNumId w:val="17"/>
  </w:num>
  <w:num w:numId="35" w16cid:durableId="1794246874">
    <w:abstractNumId w:val="6"/>
  </w:num>
  <w:num w:numId="36" w16cid:durableId="860628597">
    <w:abstractNumId w:val="24"/>
  </w:num>
  <w:num w:numId="37" w16cid:durableId="1810588513">
    <w:abstractNumId w:val="26"/>
  </w:num>
  <w:num w:numId="38" w16cid:durableId="1635057732">
    <w:abstractNumId w:val="27"/>
  </w:num>
  <w:num w:numId="39" w16cid:durableId="662779312">
    <w:abstractNumId w:val="37"/>
  </w:num>
  <w:num w:numId="40" w16cid:durableId="310989742">
    <w:abstractNumId w:val="30"/>
  </w:num>
  <w:num w:numId="41" w16cid:durableId="400297712">
    <w:abstractNumId w:val="14"/>
  </w:num>
  <w:num w:numId="42" w16cid:durableId="1882937084">
    <w:abstractNumId w:val="25"/>
  </w:num>
  <w:num w:numId="43" w16cid:durableId="1853298289">
    <w:abstractNumId w:val="28"/>
  </w:num>
  <w:num w:numId="44" w16cid:durableId="8577390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0C46B3"/>
    <w:rsid w:val="00170DEC"/>
    <w:rsid w:val="001A7591"/>
    <w:rsid w:val="001F749D"/>
    <w:rsid w:val="00376789"/>
    <w:rsid w:val="003B0B39"/>
    <w:rsid w:val="004C1325"/>
    <w:rsid w:val="00554549"/>
    <w:rsid w:val="006219D1"/>
    <w:rsid w:val="0065687C"/>
    <w:rsid w:val="006F2B8A"/>
    <w:rsid w:val="007C10A8"/>
    <w:rsid w:val="007E59A3"/>
    <w:rsid w:val="008E448B"/>
    <w:rsid w:val="008F5584"/>
    <w:rsid w:val="009A435E"/>
    <w:rsid w:val="00A241BA"/>
    <w:rsid w:val="00A350A8"/>
    <w:rsid w:val="00A9567A"/>
    <w:rsid w:val="00B346E6"/>
    <w:rsid w:val="00BC001C"/>
    <w:rsid w:val="00C62DAD"/>
    <w:rsid w:val="00D673CB"/>
    <w:rsid w:val="00D747BF"/>
    <w:rsid w:val="00D77745"/>
    <w:rsid w:val="00EB5DBD"/>
    <w:rsid w:val="00E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22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ive.palyazat.gov.hu/europai_unios_kozbeszerz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2026-03-02T09:09:00Z</dcterms:created>
  <dcterms:modified xsi:type="dcterms:W3CDTF">2026-03-02T09:29:00Z</dcterms:modified>
</cp:coreProperties>
</file>