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A059" w14:textId="77777777" w:rsidR="00F0072A" w:rsidRPr="006E5A29" w:rsidRDefault="00CA5FC3" w:rsidP="00CA5FC3">
      <w:pPr>
        <w:rPr>
          <w:rFonts w:ascii="Verdana" w:hAnsi="Verdana"/>
          <w:b/>
        </w:rPr>
      </w:pPr>
      <w:r w:rsidRPr="006E5A29">
        <w:rPr>
          <w:rFonts w:ascii="Verdana" w:hAnsi="Verdana"/>
          <w:b/>
        </w:rPr>
        <w:t xml:space="preserve">JOMT431XA0 European </w:t>
      </w:r>
      <w:proofErr w:type="spellStart"/>
      <w:r w:rsidRPr="006E5A29">
        <w:rPr>
          <w:rFonts w:ascii="Verdana" w:hAnsi="Verdana"/>
          <w:b/>
        </w:rPr>
        <w:t>Labour</w:t>
      </w:r>
      <w:proofErr w:type="spellEnd"/>
      <w:r w:rsidRPr="006E5A29">
        <w:rPr>
          <w:rFonts w:ascii="Verdana" w:hAnsi="Verdana"/>
          <w:b/>
        </w:rPr>
        <w:t xml:space="preserve"> Law - </w:t>
      </w:r>
      <w:proofErr w:type="spellStart"/>
      <w:r w:rsidRPr="006E5A29">
        <w:rPr>
          <w:rFonts w:ascii="Verdana" w:hAnsi="Verdana"/>
          <w:b/>
        </w:rPr>
        <w:t>Challenges</w:t>
      </w:r>
      <w:proofErr w:type="spellEnd"/>
      <w:r w:rsidRPr="006E5A29">
        <w:rPr>
          <w:rFonts w:ascii="Verdana" w:hAnsi="Verdana"/>
          <w:b/>
        </w:rPr>
        <w:t xml:space="preserve"> and </w:t>
      </w:r>
      <w:proofErr w:type="spellStart"/>
      <w:r w:rsidRPr="006E5A29">
        <w:rPr>
          <w:rFonts w:ascii="Verdana" w:hAnsi="Verdana"/>
          <w:b/>
        </w:rPr>
        <w:t>Opportunities</w:t>
      </w:r>
      <w:proofErr w:type="spellEnd"/>
    </w:p>
    <w:tbl>
      <w:tblPr>
        <w:tblW w:w="7047" w:type="dxa"/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242"/>
      </w:tblGrid>
      <w:tr w:rsidR="00CA5FC3" w:rsidRPr="00CA5FC3" w14:paraId="2A353111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4D11429C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proofErr w:type="gram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Code:</w:t>
            </w:r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JOMT</w:t>
            </w:r>
            <w:proofErr w:type="gram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431XA0</w:t>
            </w:r>
          </w:p>
        </w:tc>
      </w:tr>
      <w:tr w:rsidR="00CA5FC3" w:rsidRPr="00CA5FC3" w14:paraId="2D7577C3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55A81D36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proofErr w:type="spellStart"/>
            <w:proofErr w:type="gram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Name:</w:t>
            </w:r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European</w:t>
            </w:r>
            <w:proofErr w:type="spellEnd"/>
            <w:proofErr w:type="gram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Labour</w:t>
            </w:r>
            <w:proofErr w:type="spell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Law - </w:t>
            </w:r>
            <w:proofErr w:type="spellStart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Challenges</w:t>
            </w:r>
            <w:proofErr w:type="spell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Opportunities</w:t>
            </w:r>
            <w:proofErr w:type="spellEnd"/>
          </w:p>
        </w:tc>
      </w:tr>
      <w:tr w:rsidR="00CA5FC3" w:rsidRPr="00CA5FC3" w14:paraId="66DE2FAC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0E8030D6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Original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subject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name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:</w:t>
            </w:r>
          </w:p>
        </w:tc>
      </w:tr>
      <w:tr w:rsidR="00CA5FC3" w:rsidRPr="00CA5FC3" w14:paraId="140411F0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74D7C095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Credit:</w:t>
            </w:r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6</w:t>
            </w:r>
          </w:p>
        </w:tc>
      </w:tr>
      <w:tr w:rsidR="00CA5FC3" w:rsidRPr="00CA5FC3" w14:paraId="1BABE7FC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7B30D6C3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Requirement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proofErr w:type="gram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type:</w:t>
            </w:r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Report</w:t>
            </w:r>
            <w:proofErr w:type="spellEnd"/>
            <w:proofErr w:type="gram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 xml:space="preserve"> (</w:t>
            </w:r>
            <w:proofErr w:type="spellStart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three-scale</w:t>
            </w:r>
            <w:proofErr w:type="spellEnd"/>
            <w:r w:rsidRPr="00CA5FC3">
              <w:rPr>
                <w:rFonts w:ascii="Verdana" w:eastAsia="Times New Roman" w:hAnsi="Verdana" w:cs="Times New Roman"/>
                <w:b/>
                <w:bCs/>
                <w:color w:val="4A4A4A"/>
                <w:sz w:val="17"/>
                <w:szCs w:val="17"/>
                <w:lang w:eastAsia="hu-HU"/>
              </w:rPr>
              <w:t>)</w:t>
            </w:r>
          </w:p>
        </w:tc>
      </w:tr>
      <w:tr w:rsidR="00CA5FC3" w:rsidRPr="00CA5FC3" w14:paraId="782E3F3A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2CEF6CD0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Responsible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proofErr w:type="gram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lecturer:Dr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.</w:t>
            </w:r>
            <w:proofErr w:type="gram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Kártyás Gábor</w:t>
            </w:r>
          </w:p>
        </w:tc>
      </w:tr>
      <w:tr w:rsidR="00CA5FC3" w:rsidRPr="00CA5FC3" w14:paraId="294DF2FE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213C81D8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Organizational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unit:</w:t>
            </w:r>
            <w:hyperlink r:id="rId4" w:tooltip="JÁK Munkajogi Tanszék" w:history="1">
              <w:r w:rsidRPr="00CA5FC3">
                <w:rPr>
                  <w:rStyle w:val="Hiperhivatkozs"/>
                  <w:rFonts w:ascii="Verdana" w:eastAsia="Times New Roman" w:hAnsi="Verdana" w:cs="Times New Roman"/>
                  <w:sz w:val="17"/>
                  <w:szCs w:val="17"/>
                  <w:bdr w:val="none" w:sz="0" w:space="0" w:color="auto" w:frame="1"/>
                  <w:lang w:eastAsia="hu-HU"/>
                </w:rPr>
                <w:t>JÁK</w:t>
              </w:r>
              <w:proofErr w:type="spellEnd"/>
              <w:r w:rsidRPr="00CA5FC3">
                <w:rPr>
                  <w:rStyle w:val="Hiperhivatkozs"/>
                  <w:rFonts w:ascii="Verdana" w:eastAsia="Times New Roman" w:hAnsi="Verdana" w:cs="Times New Roman"/>
                  <w:sz w:val="17"/>
                  <w:szCs w:val="17"/>
                  <w:bdr w:val="none" w:sz="0" w:space="0" w:color="auto" w:frame="1"/>
                  <w:lang w:eastAsia="hu-HU"/>
                </w:rPr>
                <w:t xml:space="preserve"> Munkajogi Tanszék</w:t>
              </w:r>
            </w:hyperlink>
          </w:p>
        </w:tc>
      </w:tr>
      <w:tr w:rsidR="00CA5FC3" w:rsidRPr="00CA5FC3" w14:paraId="10D628FB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2E6FC49B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Classes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per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weekPractical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: 2</w:t>
            </w:r>
          </w:p>
        </w:tc>
      </w:tr>
      <w:tr w:rsidR="00CA5FC3" w:rsidRPr="00CA5FC3" w14:paraId="7609FFFE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02EEE148" w14:textId="77777777" w:rsid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Classes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 xml:space="preserve"> per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termPractical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: 2</w:t>
            </w:r>
          </w:p>
          <w:p w14:paraId="21452E32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</w:p>
        </w:tc>
      </w:tr>
      <w:tr w:rsidR="00CA5FC3" w:rsidRPr="00CA5FC3" w14:paraId="78DE324A" w14:textId="77777777" w:rsidTr="00CA5FC3">
        <w:trPr>
          <w:trHeight w:val="300"/>
        </w:trPr>
        <w:tc>
          <w:tcPr>
            <w:tcW w:w="0" w:type="auto"/>
            <w:shd w:val="clear" w:color="auto" w:fill="FFFFFF"/>
            <w:hideMark/>
          </w:tcPr>
          <w:p w14:paraId="78AE9D38" w14:textId="77777777" w:rsidR="00CA5FC3" w:rsidRPr="00EE4C9E" w:rsidRDefault="00CA5FC3" w:rsidP="00EE4C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b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Description</w:t>
            </w:r>
            <w:proofErr w:type="spellEnd"/>
            <w:r w:rsidRPr="00CA5FC3">
              <w:rPr>
                <w:rFonts w:ascii="Verdana" w:eastAsia="Times New Roman" w:hAnsi="Verdana" w:cs="Times New Roman"/>
                <w:b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:</w:t>
            </w:r>
          </w:p>
          <w:p w14:paraId="5DD2678D" w14:textId="77777777" w:rsidR="00CA5FC3" w:rsidRPr="00CA5FC3" w:rsidRDefault="00CA5FC3" w:rsidP="00EE4C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</w:pPr>
          </w:p>
          <w:p w14:paraId="6BDB6FF3" w14:textId="77777777" w:rsidR="00CA5FC3" w:rsidRPr="00EE4C9E" w:rsidRDefault="00CA5FC3" w:rsidP="00EE4C9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</w:pPr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The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aim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course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is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introduce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students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concept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European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labour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law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give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overview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about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past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future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this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field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show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enforcement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methods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prevailing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area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.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Students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will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both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get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knowledge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theoretical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practical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issues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including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most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recent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developments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their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impact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for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future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. The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course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will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focus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on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following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areas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in European Union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labour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law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: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equality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law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regulation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atypical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forms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work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labour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law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directives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on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business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restructurings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working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time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other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working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conditions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, posting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workers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. The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course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will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also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cover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issues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collective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rights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social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dialogue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European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level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.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Separate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sessions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will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be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devoted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introduce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students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into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EU Charter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Fundamental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Rights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and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its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future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role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effective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protection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of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labour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rights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in </w:t>
            </w:r>
            <w:proofErr w:type="spellStart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>the</w:t>
            </w:r>
            <w:proofErr w:type="spellEnd"/>
            <w:r w:rsidRPr="00CA5FC3">
              <w:rPr>
                <w:rFonts w:ascii="Verdana" w:eastAsia="Times New Roman" w:hAnsi="Verdana" w:cs="Times New Roman"/>
                <w:color w:val="4A4A4A"/>
                <w:sz w:val="20"/>
                <w:szCs w:val="20"/>
                <w:bdr w:val="none" w:sz="0" w:space="0" w:color="auto" w:frame="1"/>
                <w:lang w:eastAsia="hu-HU"/>
              </w:rPr>
              <w:t xml:space="preserve"> EU.</w:t>
            </w:r>
          </w:p>
          <w:p w14:paraId="5C62B469" w14:textId="77777777" w:rsid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</w:p>
          <w:p w14:paraId="51B01927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</w:p>
          <w:p w14:paraId="6BC1D46B" w14:textId="77777777" w:rsid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proofErr w:type="spellStart"/>
            <w:r w:rsidRPr="00CA5FC3">
              <w:rPr>
                <w:rFonts w:ascii="Verdana" w:eastAsia="Times New Roman" w:hAnsi="Verdana" w:cs="Times New Roman"/>
                <w:b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Syllabus</w:t>
            </w:r>
            <w:proofErr w:type="spellEnd"/>
            <w:r w:rsidRPr="00CA5FC3">
              <w:rPr>
                <w:rFonts w:ascii="Verdana" w:eastAsia="Times New Roman" w:hAnsi="Verdana" w:cs="Times New Roman"/>
                <w:b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:</w:t>
            </w:r>
          </w:p>
          <w:p w14:paraId="05FEF241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</w:p>
          <w:tbl>
            <w:tblPr>
              <w:tblW w:w="8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7597"/>
            </w:tblGrid>
            <w:tr w:rsidR="00CA5FC3" w:rsidRPr="00CA5FC3" w14:paraId="32969646" w14:textId="77777777" w:rsidTr="00EE4C9E">
              <w:tc>
                <w:tcPr>
                  <w:tcW w:w="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051F3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1.</w:t>
                  </w:r>
                </w:p>
              </w:tc>
              <w:tc>
                <w:tcPr>
                  <w:tcW w:w="75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74A2CE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Introduction to European </w:t>
                  </w:r>
                  <w:proofErr w:type="spellStart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Labour</w:t>
                  </w:r>
                  <w:proofErr w:type="spellEnd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 Law 1.</w:t>
                  </w:r>
                </w:p>
              </w:tc>
            </w:tr>
            <w:tr w:rsidR="00CA5FC3" w:rsidRPr="00CA5FC3" w14:paraId="149B4AB7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FC250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2.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E4A75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Introduction to European </w:t>
                  </w:r>
                  <w:proofErr w:type="spellStart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Labour</w:t>
                  </w:r>
                  <w:proofErr w:type="spellEnd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 Law 2.</w:t>
                  </w:r>
                </w:p>
              </w:tc>
            </w:tr>
            <w:tr w:rsidR="00CA5FC3" w:rsidRPr="00CA5FC3" w14:paraId="1778F28F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E0AA6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3.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3B56AC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Restructuring of enterprises: collective dismissals and insolvency</w:t>
                  </w:r>
                </w:p>
              </w:tc>
            </w:tr>
            <w:tr w:rsidR="00CA5FC3" w:rsidRPr="00CA5FC3" w14:paraId="44666BDC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FE04FC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4.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11F164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Restructuring of enterprises: transfer of undertakings</w:t>
                  </w:r>
                </w:p>
              </w:tc>
            </w:tr>
            <w:tr w:rsidR="00CA5FC3" w:rsidRPr="00CA5FC3" w14:paraId="68AC1AF5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44AB4B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5.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6C23F3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Equality law</w:t>
                  </w:r>
                </w:p>
              </w:tc>
            </w:tr>
            <w:tr w:rsidR="00CA5FC3" w:rsidRPr="00CA5FC3" w14:paraId="1923B95D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93289C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6.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9A8F7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Working conditions: information at the beginning of the emp. relationship, parental leave</w:t>
                  </w:r>
                </w:p>
              </w:tc>
            </w:tr>
            <w:tr w:rsidR="00CA5FC3" w:rsidRPr="00CA5FC3" w14:paraId="56692BF8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AF005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7.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69685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The working time directive</w:t>
                  </w:r>
                </w:p>
              </w:tc>
            </w:tr>
            <w:tr w:rsidR="00CA5FC3" w:rsidRPr="00CA5FC3" w14:paraId="3754CB73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89B68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8.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FE9987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Posting of workers</w:t>
                  </w:r>
                </w:p>
              </w:tc>
            </w:tr>
            <w:tr w:rsidR="00CA5FC3" w:rsidRPr="00CA5FC3" w14:paraId="60A5E1BE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0DDAE9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9.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93F834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Atypical employment</w:t>
                  </w:r>
                </w:p>
              </w:tc>
            </w:tr>
            <w:tr w:rsidR="00CA5FC3" w:rsidRPr="00CA5FC3" w14:paraId="5286314F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223CB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10.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B4008E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Aspects of collective </w:t>
                  </w:r>
                  <w:proofErr w:type="spellStart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labour</w:t>
                  </w:r>
                  <w:proofErr w:type="spellEnd"/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 xml:space="preserve"> law</w:t>
                  </w:r>
                </w:p>
              </w:tc>
            </w:tr>
            <w:tr w:rsidR="00CA5FC3" w:rsidRPr="00CA5FC3" w14:paraId="20F275B8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1E88DB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11.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4F548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EU Charter of Fundamental Rights</w:t>
                  </w:r>
                </w:p>
              </w:tc>
            </w:tr>
            <w:tr w:rsidR="00CA5FC3" w:rsidRPr="00CA5FC3" w14:paraId="7C1D7AD9" w14:textId="77777777" w:rsidTr="00EE4C9E">
              <w:tc>
                <w:tcPr>
                  <w:tcW w:w="6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AD96B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12.</w:t>
                  </w:r>
                </w:p>
              </w:tc>
              <w:tc>
                <w:tcPr>
                  <w:tcW w:w="7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3973B" w14:textId="77777777" w:rsidR="00CA5FC3" w:rsidRPr="00CA5FC3" w:rsidRDefault="00CA5FC3" w:rsidP="00CA5FC3">
                  <w:pPr>
                    <w:spacing w:after="0" w:line="248" w:lineRule="atLeast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hu-HU"/>
                    </w:rPr>
                  </w:pPr>
                  <w:r w:rsidRPr="00CA5FC3">
                    <w:rPr>
                      <w:rFonts w:ascii="Verdana" w:eastAsia="Times New Roman" w:hAnsi="Verdana" w:cs="Calibri"/>
                      <w:sz w:val="24"/>
                      <w:szCs w:val="24"/>
                      <w:lang w:val="en-US" w:eastAsia="hu-HU"/>
                    </w:rPr>
                    <w:t>Summary</w:t>
                  </w:r>
                </w:p>
              </w:tc>
            </w:tr>
          </w:tbl>
          <w:p w14:paraId="11FED92C" w14:textId="77777777" w:rsidR="00CA5FC3" w:rsidRPr="00CA5FC3" w:rsidRDefault="00CA5FC3" w:rsidP="00CA5FC3">
            <w:pPr>
              <w:spacing w:after="0" w:line="240" w:lineRule="auto"/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</w:pPr>
            <w:r w:rsidRPr="00CA5FC3">
              <w:rPr>
                <w:rFonts w:ascii="Verdana" w:eastAsia="Times New Roman" w:hAnsi="Verdana" w:cs="Times New Roman"/>
                <w:color w:val="4A4A4A"/>
                <w:sz w:val="17"/>
                <w:szCs w:val="17"/>
                <w:bdr w:val="none" w:sz="0" w:space="0" w:color="auto" w:frame="1"/>
                <w:lang w:eastAsia="hu-HU"/>
              </w:rPr>
              <w:t>  </w:t>
            </w:r>
          </w:p>
        </w:tc>
      </w:tr>
    </w:tbl>
    <w:p w14:paraId="7F3C41C2" w14:textId="77777777" w:rsidR="00CA5FC3" w:rsidRPr="00CA5FC3" w:rsidRDefault="00CA5FC3" w:rsidP="00CA5FC3"/>
    <w:sectPr w:rsidR="00CA5FC3" w:rsidRPr="00CA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2A"/>
    <w:rsid w:val="003801D9"/>
    <w:rsid w:val="006E5A29"/>
    <w:rsid w:val="008F5176"/>
    <w:rsid w:val="009453B6"/>
    <w:rsid w:val="00953334"/>
    <w:rsid w:val="00CA5FC3"/>
    <w:rsid w:val="00ED6A9D"/>
    <w:rsid w:val="00EE4C9E"/>
    <w:rsid w:val="00F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47DF"/>
  <w15:chartTrackingRefBased/>
  <w15:docId w15:val="{F8CFB99E-7614-40B9-8589-6967B492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ablerowname">
    <w:name w:val="tablerowname"/>
    <w:basedOn w:val="Bekezdsalapbettpusa"/>
    <w:rsid w:val="00F0072A"/>
  </w:style>
  <w:style w:type="character" w:customStyle="1" w:styleId="tablerowdata">
    <w:name w:val="tablerowdata"/>
    <w:basedOn w:val="Bekezdsalapbettpusa"/>
    <w:rsid w:val="00F0072A"/>
  </w:style>
  <w:style w:type="character" w:styleId="Hiperhivatkozs">
    <w:name w:val="Hyperlink"/>
    <w:basedOn w:val="Bekezdsalapbettpusa"/>
    <w:uiPriority w:val="99"/>
    <w:unhideWhenUsed/>
    <w:rsid w:val="00F0072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0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upFunction$h_addsubjects$upModal$upmodal_subjectdata$ctl02$Subject_data_for_schedule$upParent$tab$ctl01$upSubjectData$dtbBaseData2$ctl15',''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 Zsuzsanna Éva</dc:creator>
  <cp:keywords/>
  <dc:description/>
  <cp:lastModifiedBy>Pollák Zsuzsanna Éva</cp:lastModifiedBy>
  <cp:revision>2</cp:revision>
  <dcterms:created xsi:type="dcterms:W3CDTF">2026-04-29T11:52:00Z</dcterms:created>
  <dcterms:modified xsi:type="dcterms:W3CDTF">2026-04-29T11:52:00Z</dcterms:modified>
</cp:coreProperties>
</file>