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2"/>
      </w:tblGrid>
      <w:tr w:rsidR="00212317" w:rsidRPr="00212317" w14:paraId="397AEB8C" w14:textId="77777777" w:rsidTr="00212317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47C70796" w14:textId="4004E71C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18"/>
                <w:szCs w:val="18"/>
                <w:lang w:eastAsia="hu-HU"/>
              </w:rPr>
            </w:pPr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JOMT443XA0</w:t>
            </w:r>
            <w:r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Regulating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Work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the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‘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Gig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Economy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’: European v US</w:t>
            </w:r>
            <w:r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4A4A4A"/>
                <w:sz w:val="17"/>
                <w:szCs w:val="17"/>
                <w:shd w:val="clear" w:color="auto" w:fill="FFFFFF"/>
              </w:rPr>
              <w:t>perspectives</w:t>
            </w:r>
            <w:proofErr w:type="spellEnd"/>
          </w:p>
        </w:tc>
      </w:tr>
      <w:tr w:rsidR="00212317" w:rsidRPr="00212317" w14:paraId="2E7013CB" w14:textId="77777777" w:rsidTr="00212317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0E120AAD" w14:textId="76708789" w:rsid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</w:pPr>
            <w:proofErr w:type="spellStart"/>
            <w:proofErr w:type="gram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Name:</w:t>
            </w:r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Regulating</w:t>
            </w:r>
            <w:proofErr w:type="spellEnd"/>
            <w:proofErr w:type="gram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Work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the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‘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Gig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Economy</w:t>
            </w:r>
            <w:proofErr w:type="spellEnd"/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’: European v US</w:t>
            </w:r>
            <w:r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4A4A4A"/>
                <w:sz w:val="17"/>
                <w:szCs w:val="17"/>
                <w:shd w:val="clear" w:color="auto" w:fill="FFFFFF"/>
              </w:rPr>
              <w:t>perspectives</w:t>
            </w:r>
            <w:proofErr w:type="spellEnd"/>
          </w:p>
          <w:p w14:paraId="3BAB1C79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18"/>
                <w:szCs w:val="18"/>
                <w:lang w:eastAsia="hu-HU"/>
              </w:rPr>
            </w:pPr>
          </w:p>
        </w:tc>
      </w:tr>
      <w:tr w:rsidR="00212317" w:rsidRPr="00212317" w14:paraId="34C48E56" w14:textId="77777777" w:rsidTr="00212317">
        <w:trPr>
          <w:trHeight w:val="300"/>
        </w:trPr>
        <w:tc>
          <w:tcPr>
            <w:tcW w:w="0" w:type="auto"/>
            <w:shd w:val="clear" w:color="auto" w:fill="FFFFFF"/>
          </w:tcPr>
          <w:tbl>
            <w:tblPr>
              <w:tblW w:w="707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2"/>
            </w:tblGrid>
            <w:tr w:rsidR="00212317" w:rsidRPr="00212317" w14:paraId="70047618" w14:textId="77777777" w:rsidTr="00212317">
              <w:trPr>
                <w:trHeight w:val="300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88C78D5" w14:textId="77777777" w:rsidR="00212317" w:rsidRPr="00212317" w:rsidRDefault="00212317" w:rsidP="002123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222222"/>
                      <w:kern w:val="0"/>
                      <w:sz w:val="18"/>
                      <w:szCs w:val="18"/>
                      <w:lang w:eastAsia="hu-HU"/>
                    </w:rPr>
                  </w:pPr>
                  <w:r w:rsidRPr="00212317">
                    <w:rPr>
                      <w:rFonts w:ascii="Verdana" w:eastAsia="Times New Roman" w:hAnsi="Verdana" w:cs="Times New Roman"/>
                      <w:color w:val="4A4A4A"/>
                      <w:kern w:val="0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Credit:</w:t>
                  </w:r>
                  <w:r w:rsidRPr="00212317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kern w:val="0"/>
                      <w:sz w:val="17"/>
                      <w:szCs w:val="17"/>
                      <w:lang w:eastAsia="hu-HU"/>
                    </w:rPr>
                    <w:t>6</w:t>
                  </w:r>
                </w:p>
              </w:tc>
            </w:tr>
            <w:tr w:rsidR="00212317" w:rsidRPr="00212317" w14:paraId="2D9FE1EB" w14:textId="77777777" w:rsidTr="00212317">
              <w:trPr>
                <w:trHeight w:val="300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6336B14" w14:textId="77777777" w:rsidR="00212317" w:rsidRPr="00212317" w:rsidRDefault="00212317" w:rsidP="0021231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222222"/>
                      <w:kern w:val="0"/>
                      <w:sz w:val="18"/>
                      <w:szCs w:val="18"/>
                      <w:lang w:eastAsia="hu-HU"/>
                    </w:rPr>
                  </w:pPr>
                  <w:proofErr w:type="spellStart"/>
                  <w:r w:rsidRPr="00212317">
                    <w:rPr>
                      <w:rFonts w:ascii="Verdana" w:eastAsia="Times New Roman" w:hAnsi="Verdana" w:cs="Times New Roman"/>
                      <w:color w:val="4A4A4A"/>
                      <w:kern w:val="0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Requirement</w:t>
                  </w:r>
                  <w:proofErr w:type="spellEnd"/>
                  <w:r w:rsidRPr="00212317">
                    <w:rPr>
                      <w:rFonts w:ascii="Verdana" w:eastAsia="Times New Roman" w:hAnsi="Verdana" w:cs="Times New Roman"/>
                      <w:color w:val="4A4A4A"/>
                      <w:kern w:val="0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 xml:space="preserve"> </w:t>
                  </w:r>
                  <w:proofErr w:type="spellStart"/>
                  <w:proofErr w:type="gramStart"/>
                  <w:r w:rsidRPr="00212317">
                    <w:rPr>
                      <w:rFonts w:ascii="Verdana" w:eastAsia="Times New Roman" w:hAnsi="Verdana" w:cs="Times New Roman"/>
                      <w:color w:val="4A4A4A"/>
                      <w:kern w:val="0"/>
                      <w:sz w:val="17"/>
                      <w:szCs w:val="17"/>
                      <w:bdr w:val="none" w:sz="0" w:space="0" w:color="auto" w:frame="1"/>
                      <w:lang w:eastAsia="hu-HU"/>
                    </w:rPr>
                    <w:t>type:</w:t>
                  </w:r>
                  <w:r w:rsidRPr="00212317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kern w:val="0"/>
                      <w:sz w:val="17"/>
                      <w:szCs w:val="17"/>
                      <w:lang w:eastAsia="hu-HU"/>
                    </w:rPr>
                    <w:t>Report</w:t>
                  </w:r>
                  <w:proofErr w:type="spellEnd"/>
                  <w:proofErr w:type="gramEnd"/>
                  <w:r w:rsidRPr="00212317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kern w:val="0"/>
                      <w:sz w:val="17"/>
                      <w:szCs w:val="17"/>
                      <w:lang w:eastAsia="hu-HU"/>
                    </w:rPr>
                    <w:t xml:space="preserve"> (</w:t>
                  </w:r>
                  <w:proofErr w:type="spellStart"/>
                  <w:r w:rsidRPr="00212317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kern w:val="0"/>
                      <w:sz w:val="17"/>
                      <w:szCs w:val="17"/>
                      <w:lang w:eastAsia="hu-HU"/>
                    </w:rPr>
                    <w:t>three-scale</w:t>
                  </w:r>
                  <w:proofErr w:type="spellEnd"/>
                  <w:r w:rsidRPr="00212317">
                    <w:rPr>
                      <w:rFonts w:ascii="Verdana" w:eastAsia="Times New Roman" w:hAnsi="Verdana" w:cs="Times New Roman"/>
                      <w:b/>
                      <w:bCs/>
                      <w:color w:val="4A4A4A"/>
                      <w:kern w:val="0"/>
                      <w:sz w:val="17"/>
                      <w:szCs w:val="17"/>
                      <w:lang w:eastAsia="hu-HU"/>
                    </w:rPr>
                    <w:t>)</w:t>
                  </w:r>
                </w:p>
              </w:tc>
            </w:tr>
          </w:tbl>
          <w:p w14:paraId="7260CB46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Responsible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proofErr w:type="gram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lecturer:Dr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.</w:t>
            </w:r>
            <w:proofErr w:type="gram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Szilágyiné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 xml:space="preserve"> dr. Hős Nikolett</w:t>
            </w:r>
          </w:p>
          <w:p w14:paraId="06633BF6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Organizational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proofErr w:type="gram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unit:JÁK</w:t>
            </w:r>
            <w:proofErr w:type="spellEnd"/>
            <w:proofErr w:type="gram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 xml:space="preserve"> Munkajogi Tanszék</w:t>
            </w:r>
          </w:p>
          <w:p w14:paraId="3C917F11" w14:textId="01876391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Classes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 xml:space="preserve"> per </w:t>
            </w: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week</w:t>
            </w:r>
            <w:proofErr w:type="spellEnd"/>
            <w:r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 xml:space="preserve">: </w:t>
            </w: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Practical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bdr w:val="none" w:sz="0" w:space="0" w:color="auto" w:frame="1"/>
                <w:lang w:eastAsia="hu-HU"/>
              </w:rPr>
              <w:t>: 2</w:t>
            </w:r>
          </w:p>
        </w:tc>
      </w:tr>
    </w:tbl>
    <w:p w14:paraId="2E64E2DF" w14:textId="77777777" w:rsidR="0083233E" w:rsidRDefault="0083233E"/>
    <w:tbl>
      <w:tblPr>
        <w:tblW w:w="1429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6778"/>
      </w:tblGrid>
      <w:tr w:rsidR="00212317" w:rsidRPr="00212317" w14:paraId="610542A5" w14:textId="77777777" w:rsidTr="00212317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hideMark/>
          </w:tcPr>
          <w:p w14:paraId="06753C77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</w:pP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Final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requirement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:</w:t>
            </w:r>
          </w:p>
        </w:tc>
        <w:tc>
          <w:tcPr>
            <w:tcW w:w="6778" w:type="dxa"/>
            <w:shd w:val="clear" w:color="auto" w:fill="auto"/>
            <w:hideMark/>
          </w:tcPr>
          <w:p w14:paraId="5A9D5651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</w:pPr>
          </w:p>
        </w:tc>
      </w:tr>
      <w:tr w:rsidR="00212317" w:rsidRPr="00212317" w14:paraId="285A2AF5" w14:textId="77777777" w:rsidTr="00212317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hideMark/>
          </w:tcPr>
          <w:p w14:paraId="21DA949A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</w:pP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Preliminary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requirement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:</w:t>
            </w:r>
          </w:p>
        </w:tc>
        <w:tc>
          <w:tcPr>
            <w:tcW w:w="6778" w:type="dxa"/>
            <w:shd w:val="clear" w:color="auto" w:fill="auto"/>
            <w:hideMark/>
          </w:tcPr>
          <w:p w14:paraId="5983978F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</w:pPr>
          </w:p>
        </w:tc>
      </w:tr>
      <w:tr w:rsidR="00212317" w:rsidRPr="00212317" w14:paraId="1719DFA6" w14:textId="77777777" w:rsidTr="00212317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hideMark/>
          </w:tcPr>
          <w:p w14:paraId="262EC2F6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</w:pPr>
            <w:proofErr w:type="spellStart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Description</w:t>
            </w:r>
            <w:proofErr w:type="spellEnd"/>
            <w:r w:rsidRPr="00212317">
              <w:rPr>
                <w:rFonts w:ascii="Verdana" w:eastAsia="Times New Roman" w:hAnsi="Verdana" w:cs="Times New Roman"/>
                <w:color w:val="4A4A4A"/>
                <w:kern w:val="0"/>
                <w:sz w:val="17"/>
                <w:szCs w:val="17"/>
                <w:lang w:eastAsia="hu-HU"/>
              </w:rPr>
              <w:t>:</w:t>
            </w:r>
          </w:p>
        </w:tc>
        <w:tc>
          <w:tcPr>
            <w:tcW w:w="6778" w:type="dxa"/>
            <w:vAlign w:val="center"/>
            <w:hideMark/>
          </w:tcPr>
          <w:p w14:paraId="6AFA158E" w14:textId="77777777" w:rsidR="00212317" w:rsidRPr="00212317" w:rsidRDefault="00212317" w:rsidP="00212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212317" w:rsidRPr="00212317" w14:paraId="1A57BCEE" w14:textId="77777777" w:rsidTr="00212317">
        <w:trPr>
          <w:gridAfter w:val="1"/>
          <w:wAfter w:w="6778" w:type="dxa"/>
        </w:trPr>
        <w:tc>
          <w:tcPr>
            <w:tcW w:w="7513" w:type="dxa"/>
            <w:shd w:val="clear" w:color="auto" w:fill="auto"/>
            <w:hideMark/>
          </w:tcPr>
          <w:p w14:paraId="56A5AEE8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Regulating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’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Gig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Economy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’: European v US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perspectives</w:t>
            </w:r>
            <w:proofErr w:type="spellEnd"/>
          </w:p>
          <w:p w14:paraId="2D33DEB0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Aim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:</w:t>
            </w:r>
          </w:p>
          <w:p w14:paraId="39F2C8B3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aim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is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address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challenges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that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regulation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so-called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’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gig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economy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’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for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various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legal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actors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(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legislators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courts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social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actors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hiring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entities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etc.)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raises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over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world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First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will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analyze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selected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classification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app-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based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such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Uber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drivers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Deliveroo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riders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etc. in European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countries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gram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and in</w:t>
            </w:r>
            <w:proofErr w:type="gram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some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US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states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comparative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analysis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will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allow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us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identify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common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legal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questions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concerning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so-called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platform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mediated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various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jurisdictions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>at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>national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>level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Second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will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compare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this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with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approach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most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powerful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regulator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>transnational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i/>
                <w:iCs/>
                <w:color w:val="4A4A4A"/>
                <w:kern w:val="0"/>
                <w:lang w:eastAsia="hu-HU"/>
              </w:rPr>
              <w:t>level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i.e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Students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will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learn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about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recent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Justice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European Union (CJEU)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concept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converging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towards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a ’European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Employment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Status’.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analyzing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proposed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rules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classification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directive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European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Commission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platform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will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see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that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regulation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’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gig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economy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’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raises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unchartered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territory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for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Member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States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well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.</w:t>
            </w:r>
          </w:p>
          <w:p w14:paraId="320A4ECC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 </w:t>
            </w:r>
          </w:p>
          <w:p w14:paraId="507DC4CC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Outline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:</w:t>
            </w:r>
          </w:p>
          <w:p w14:paraId="03F3940A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1.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Introduction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US and European Labor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Employment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Law  </w:t>
            </w:r>
          </w:p>
          <w:p w14:paraId="3282F383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2. General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features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’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gig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economy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’ </w:t>
            </w:r>
          </w:p>
          <w:p w14:paraId="64C4C50D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3.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Introduction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 Law: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basic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institutional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structure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EU, decision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making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 </w:t>
            </w:r>
          </w:p>
          <w:p w14:paraId="6BC8631B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4.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Introduction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 Law: an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analysis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basic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concepts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direct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effect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supremacy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bases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problem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questions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  </w:t>
            </w:r>
          </w:p>
          <w:p w14:paraId="018EE56B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5.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Introduction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Employment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Law: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historic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evolution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role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CJEU </w:t>
            </w:r>
          </w:p>
          <w:p w14:paraId="6203EED8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6. 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concept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under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  </w:t>
            </w:r>
          </w:p>
          <w:p w14:paraId="4BEEBE6B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7. 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concept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under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r w:rsidRPr="00212317">
              <w:rPr>
                <w:rFonts w:ascii="Arial" w:eastAsia="Times New Roman" w:hAnsi="Arial" w:cs="Arial"/>
                <w:b/>
                <w:bCs/>
                <w:color w:val="4A4A4A"/>
                <w:kern w:val="0"/>
                <w:lang w:eastAsia="hu-HU"/>
              </w:rPr>
              <w:t xml:space="preserve">    </w:t>
            </w:r>
          </w:p>
          <w:p w14:paraId="210BEE08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8.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Moot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discussion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a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hypothetical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related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gig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economy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</w:p>
          <w:p w14:paraId="61B7769B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9.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Classifying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platform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mediated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US: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analyses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selected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Uber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drivers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Deliveroo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riders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  </w:t>
            </w:r>
          </w:p>
          <w:p w14:paraId="564E0002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10.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Classifying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platform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mediated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Europe: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analysis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selected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Uber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drivers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Deliveroo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riders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  </w:t>
            </w:r>
          </w:p>
          <w:p w14:paraId="0963358E" w14:textId="77777777" w:rsidR="00212317" w:rsidRPr="00212317" w:rsidRDefault="00212317" w:rsidP="00212317">
            <w:pPr>
              <w:spacing w:after="20" w:line="240" w:lineRule="auto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lastRenderedPageBreak/>
              <w:t xml:space="preserve">11. 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regulatory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challenge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: an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analysis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proposed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directive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platform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    </w:t>
            </w:r>
          </w:p>
          <w:p w14:paraId="3E0A407C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12.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Concluding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Discussion</w:t>
            </w:r>
            <w:proofErr w:type="spellEnd"/>
          </w:p>
          <w:p w14:paraId="2A589BDB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 </w:t>
            </w:r>
          </w:p>
          <w:p w14:paraId="245FECFD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Testing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evaluation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:</w:t>
            </w:r>
          </w:p>
          <w:p w14:paraId="0F1363E1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Active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participation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class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exercises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attendance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(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max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2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occasions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absent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)</w:t>
            </w:r>
          </w:p>
          <w:p w14:paraId="75EB6A87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 </w:t>
            </w:r>
          </w:p>
          <w:p w14:paraId="6362BB4C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materials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:</w:t>
            </w:r>
          </w:p>
          <w:p w14:paraId="5DB82EFF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Compulsory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reading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</w:t>
            </w:r>
          </w:p>
          <w:p w14:paraId="7DEFC50C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Students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are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expected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read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through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indicated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before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each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class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Teams. </w:t>
            </w:r>
          </w:p>
          <w:p w14:paraId="72676A72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Access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relevant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pieces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EU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here: </w:t>
            </w:r>
            <w:hyperlink r:id="rId5" w:history="1">
              <w:r w:rsidRPr="00212317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hu-HU"/>
                </w:rPr>
                <w:t>https://eur-lex.europa.eu</w:t>
              </w:r>
            </w:hyperlink>
          </w:p>
          <w:p w14:paraId="046B98D2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Access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judgments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Court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Justice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European Union: </w:t>
            </w:r>
            <w:hyperlink r:id="rId6" w:history="1">
              <w:r w:rsidRPr="00212317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hu-HU"/>
                </w:rPr>
                <w:t>www.curia.europa.eu</w:t>
              </w:r>
            </w:hyperlink>
          </w:p>
          <w:p w14:paraId="2ED25814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Access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UK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here: </w:t>
            </w:r>
            <w:hyperlink r:id="rId7" w:history="1">
              <w:r w:rsidRPr="00212317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hu-HU"/>
                </w:rPr>
                <w:t>Uber BV and others (Appellants) v Aslam and others (Respondents) - The Supreme Court</w:t>
              </w:r>
            </w:hyperlink>
          </w:p>
          <w:p w14:paraId="5689BC0C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Relevant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US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case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will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be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uploaded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before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class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Teams. </w:t>
            </w:r>
          </w:p>
          <w:p w14:paraId="7D000ED1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 </w:t>
            </w:r>
          </w:p>
          <w:p w14:paraId="06456ECD" w14:textId="77777777" w:rsidR="00212317" w:rsidRPr="00212317" w:rsidRDefault="00212317" w:rsidP="0021231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Recommended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>reading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u w:val="single"/>
                <w:lang w:eastAsia="hu-HU"/>
              </w:rPr>
              <w:t xml:space="preserve"> </w:t>
            </w:r>
          </w:p>
          <w:p w14:paraId="30B86027" w14:textId="77777777" w:rsidR="00212317" w:rsidRPr="00212317" w:rsidRDefault="00212317" w:rsidP="00212317">
            <w:pPr>
              <w:numPr>
                <w:ilvl w:val="0"/>
                <w:numId w:val="1"/>
              </w:numPr>
              <w:spacing w:before="60" w:after="60" w:line="253" w:lineRule="atLeast"/>
              <w:ind w:left="1080"/>
              <w:jc w:val="both"/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Guy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Davidov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Mark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Freedland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&amp; Nicola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Kountouris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: 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Subjects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Labor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law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: “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Employees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”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Other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2015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accessible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at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ssrn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: 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Subjects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Labor Law: '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Employees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'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Other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Workers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Guy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Davidov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Mark R.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Freedland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Nicola </w:t>
            </w:r>
            <w:proofErr w:type="spellStart"/>
            <w:proofErr w:type="gram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Countouris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:</w:t>
            </w:r>
            <w:proofErr w:type="gram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: SSRN</w:t>
            </w:r>
          </w:p>
          <w:p w14:paraId="2C4D7C0E" w14:textId="77777777" w:rsidR="00212317" w:rsidRPr="00212317" w:rsidRDefault="00212317" w:rsidP="00212317">
            <w:pPr>
              <w:numPr>
                <w:ilvl w:val="0"/>
                <w:numId w:val="1"/>
              </w:numPr>
              <w:spacing w:before="60" w:after="60" w:line="253" w:lineRule="atLeast"/>
              <w:ind w:left="1080"/>
              <w:jc w:val="both"/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De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Stefano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V.: "The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Rise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'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Just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-in-Time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Workforce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':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On-Demand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Crowdwork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, and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Labour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Protection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in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the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'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Gig-Economy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'" *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Comp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Lab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L. &amp;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Pol'y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J.* 37 (2016)</w:t>
            </w:r>
          </w:p>
          <w:p w14:paraId="339CEE4B" w14:textId="77777777" w:rsidR="00212317" w:rsidRPr="00212317" w:rsidRDefault="00212317" w:rsidP="00212317">
            <w:pPr>
              <w:numPr>
                <w:ilvl w:val="0"/>
                <w:numId w:val="1"/>
              </w:numPr>
              <w:spacing w:before="60" w:after="60" w:line="253" w:lineRule="atLeast"/>
              <w:ind w:left="1080"/>
              <w:jc w:val="both"/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Cherry, M. A.: "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Beyond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Misclassification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: The Digital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Transformation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of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Work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" *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Comp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Lab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. L. &amp;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Pol'y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J.* 37 (2016)</w:t>
            </w:r>
          </w:p>
          <w:p w14:paraId="266E787B" w14:textId="77777777" w:rsidR="00212317" w:rsidRPr="00212317" w:rsidRDefault="00212317" w:rsidP="00212317">
            <w:pPr>
              <w:numPr>
                <w:ilvl w:val="0"/>
                <w:numId w:val="1"/>
              </w:numPr>
              <w:spacing w:before="60" w:after="60" w:line="253" w:lineRule="atLeast"/>
              <w:ind w:left="1080"/>
              <w:jc w:val="both"/>
              <w:rPr>
                <w:rFonts w:ascii="Times New Roman" w:eastAsia="Times New Roman" w:hAnsi="Times New Roman" w:cs="Times New Roman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Catherine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Barnard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: EU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Employment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Law.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Fourth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Edition. Oxford University Press, 2012 </w:t>
            </w:r>
            <w:proofErr w:type="spellStart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pages</w:t>
            </w:r>
            <w:proofErr w:type="spellEnd"/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 xml:space="preserve"> 3-88. </w:t>
            </w:r>
          </w:p>
          <w:p w14:paraId="7710DA3A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 </w:t>
            </w:r>
          </w:p>
          <w:p w14:paraId="5C90D137" w14:textId="77777777" w:rsidR="00212317" w:rsidRPr="00212317" w:rsidRDefault="00212317" w:rsidP="00212317">
            <w:pPr>
              <w:spacing w:after="195" w:line="253" w:lineRule="atLeast"/>
              <w:jc w:val="both"/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</w:pPr>
            <w:r w:rsidRPr="00212317">
              <w:rPr>
                <w:rFonts w:ascii="Calibri" w:eastAsia="Times New Roman" w:hAnsi="Calibri" w:cs="Calibri"/>
                <w:b/>
                <w:bCs/>
                <w:color w:val="4A4A4A"/>
                <w:kern w:val="0"/>
                <w:lang w:eastAsia="hu-HU"/>
              </w:rPr>
              <w:t> </w:t>
            </w:r>
          </w:p>
          <w:p w14:paraId="3AB7056B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</w:pPr>
            <w:r w:rsidRPr="00212317">
              <w:rPr>
                <w:rFonts w:ascii="Verdana" w:eastAsia="Times New Roman" w:hAnsi="Verdana" w:cs="Times New Roman"/>
                <w:b/>
                <w:bCs/>
                <w:color w:val="4A4A4A"/>
                <w:kern w:val="0"/>
                <w:sz w:val="17"/>
                <w:szCs w:val="17"/>
                <w:lang w:eastAsia="hu-HU"/>
              </w:rPr>
              <w:t> </w:t>
            </w:r>
          </w:p>
        </w:tc>
      </w:tr>
    </w:tbl>
    <w:p w14:paraId="32F7AEE2" w14:textId="77777777" w:rsidR="00212317" w:rsidRPr="00212317" w:rsidRDefault="00212317" w:rsidP="00212317">
      <w:pPr>
        <w:spacing w:after="0" w:line="240" w:lineRule="auto"/>
        <w:rPr>
          <w:rFonts w:ascii="Verdana" w:eastAsia="Times New Roman" w:hAnsi="Verdana" w:cs="Times New Roman"/>
          <w:vanish/>
          <w:color w:val="222222"/>
          <w:kern w:val="0"/>
          <w:sz w:val="18"/>
          <w:szCs w:val="18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212317" w:rsidRPr="00212317" w14:paraId="1AF67719" w14:textId="77777777" w:rsidTr="00212317">
        <w:tc>
          <w:tcPr>
            <w:tcW w:w="0" w:type="auto"/>
            <w:vAlign w:val="center"/>
            <w:hideMark/>
          </w:tcPr>
          <w:p w14:paraId="62FCE552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18"/>
                <w:szCs w:val="18"/>
                <w:lang w:eastAsia="hu-HU"/>
              </w:rPr>
            </w:pPr>
          </w:p>
        </w:tc>
      </w:tr>
    </w:tbl>
    <w:p w14:paraId="7C43BAAB" w14:textId="77777777" w:rsidR="00212317" w:rsidRPr="00212317" w:rsidRDefault="00212317" w:rsidP="00212317">
      <w:pPr>
        <w:spacing w:after="0" w:line="240" w:lineRule="auto"/>
        <w:rPr>
          <w:rFonts w:ascii="Verdana" w:eastAsia="Times New Roman" w:hAnsi="Verdana" w:cs="Times New Roman"/>
          <w:vanish/>
          <w:color w:val="222222"/>
          <w:kern w:val="0"/>
          <w:sz w:val="18"/>
          <w:szCs w:val="18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212317" w:rsidRPr="00212317" w14:paraId="08EDC819" w14:textId="77777777" w:rsidTr="00212317">
        <w:tc>
          <w:tcPr>
            <w:tcW w:w="0" w:type="auto"/>
            <w:vAlign w:val="center"/>
            <w:hideMark/>
          </w:tcPr>
          <w:p w14:paraId="4D5D21FD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18"/>
                <w:szCs w:val="18"/>
                <w:lang w:eastAsia="hu-HU"/>
              </w:rPr>
            </w:pPr>
          </w:p>
        </w:tc>
      </w:tr>
    </w:tbl>
    <w:p w14:paraId="25220AC0" w14:textId="77777777" w:rsidR="00212317" w:rsidRPr="00212317" w:rsidRDefault="00212317" w:rsidP="00212317">
      <w:pPr>
        <w:spacing w:after="0" w:line="240" w:lineRule="auto"/>
        <w:rPr>
          <w:rFonts w:ascii="Verdana" w:eastAsia="Times New Roman" w:hAnsi="Verdana" w:cs="Times New Roman"/>
          <w:vanish/>
          <w:color w:val="222222"/>
          <w:kern w:val="0"/>
          <w:sz w:val="18"/>
          <w:szCs w:val="18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212317" w:rsidRPr="00212317" w14:paraId="62DEB338" w14:textId="77777777" w:rsidTr="00212317">
        <w:tc>
          <w:tcPr>
            <w:tcW w:w="0" w:type="auto"/>
            <w:vAlign w:val="center"/>
            <w:hideMark/>
          </w:tcPr>
          <w:p w14:paraId="26032CE9" w14:textId="77777777" w:rsidR="00212317" w:rsidRPr="00212317" w:rsidRDefault="00212317" w:rsidP="0021231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18"/>
                <w:szCs w:val="18"/>
                <w:lang w:eastAsia="hu-HU"/>
              </w:rPr>
            </w:pPr>
          </w:p>
        </w:tc>
      </w:tr>
    </w:tbl>
    <w:p w14:paraId="156690B3" w14:textId="77777777" w:rsidR="00212317" w:rsidRDefault="00212317"/>
    <w:sectPr w:rsidR="00212317" w:rsidSect="0021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34D64"/>
    <w:multiLevelType w:val="multilevel"/>
    <w:tmpl w:val="6E1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59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17"/>
    <w:rsid w:val="00212317"/>
    <w:rsid w:val="008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3E0E"/>
  <w15:chartTrackingRefBased/>
  <w15:docId w15:val="{00604297-20AE-472C-8443-D020110B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ablerowdata">
    <w:name w:val="tablerowdata"/>
    <w:basedOn w:val="Bekezdsalapbettpusa"/>
    <w:rsid w:val="00212317"/>
  </w:style>
  <w:style w:type="character" w:customStyle="1" w:styleId="tablerowname">
    <w:name w:val="tablerowname"/>
    <w:basedOn w:val="Bekezdsalapbettpusa"/>
    <w:rsid w:val="00212317"/>
  </w:style>
  <w:style w:type="character" w:styleId="Hiperhivatkozs">
    <w:name w:val="Hyperlink"/>
    <w:basedOn w:val="Bekezdsalapbettpusa"/>
    <w:uiPriority w:val="99"/>
    <w:semiHidden/>
    <w:unhideWhenUsed/>
    <w:rsid w:val="00212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premecourt.uk/cases/uksc-2019-002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ria.europa.eu/" TargetMode="External"/><Relationship Id="rId5" Type="http://schemas.openxmlformats.org/officeDocument/2006/relationships/hyperlink" Target="https://eur-lex.europa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3437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 Zsuzsanna Éva</dc:creator>
  <cp:keywords/>
  <dc:description/>
  <cp:lastModifiedBy>Pollák Zsuzsanna Éva</cp:lastModifiedBy>
  <cp:revision>1</cp:revision>
  <dcterms:created xsi:type="dcterms:W3CDTF">2024-01-18T11:09:00Z</dcterms:created>
  <dcterms:modified xsi:type="dcterms:W3CDTF">2024-01-18T11:12:00Z</dcterms:modified>
</cp:coreProperties>
</file>