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22286" w:rsidRPr="00722286" w14:paraId="44D8A732" w14:textId="77777777" w:rsidTr="00722286">
        <w:tc>
          <w:tcPr>
            <w:tcW w:w="2500" w:type="pct"/>
            <w:hideMark/>
          </w:tcPr>
          <w:tbl>
            <w:tblPr>
              <w:tblW w:w="49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5"/>
            </w:tblGrid>
            <w:tr w:rsidR="00722286" w:rsidRPr="00722286" w14:paraId="7A04C34D" w14:textId="77777777">
              <w:trPr>
                <w:trHeight w:val="300"/>
              </w:trPr>
              <w:tc>
                <w:tcPr>
                  <w:tcW w:w="0" w:type="auto"/>
                  <w:hideMark/>
                </w:tcPr>
                <w:p w14:paraId="4D7E1BFE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proofErr w:type="gram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Code:</w:t>
                  </w:r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JOPJ</w:t>
                  </w:r>
                  <w:proofErr w:type="gramEnd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495XA0</w:t>
                  </w:r>
                </w:p>
              </w:tc>
            </w:tr>
            <w:tr w:rsidR="00722286" w:rsidRPr="00722286" w14:paraId="633F8EEC" w14:textId="77777777">
              <w:trPr>
                <w:trHeight w:val="300"/>
              </w:trPr>
              <w:tc>
                <w:tcPr>
                  <w:tcW w:w="0" w:type="auto"/>
                  <w:hideMark/>
                </w:tcPr>
                <w:p w14:paraId="23C54D9F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proofErr w:type="spellStart"/>
                  <w:proofErr w:type="gram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Name:</w:t>
                  </w:r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Family</w:t>
                  </w:r>
                  <w:proofErr w:type="spellEnd"/>
                  <w:proofErr w:type="gramEnd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 xml:space="preserve"> and </w:t>
                  </w:r>
                  <w:proofErr w:type="spellStart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Fundamental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 xml:space="preserve"> </w:t>
                  </w:r>
                  <w:proofErr w:type="spellStart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Rights</w:t>
                  </w:r>
                  <w:proofErr w:type="spellEnd"/>
                </w:p>
              </w:tc>
            </w:tr>
            <w:tr w:rsidR="00722286" w:rsidRPr="00722286" w14:paraId="70C95856" w14:textId="77777777">
              <w:trPr>
                <w:trHeight w:val="300"/>
              </w:trPr>
              <w:tc>
                <w:tcPr>
                  <w:tcW w:w="0" w:type="auto"/>
                  <w:hideMark/>
                </w:tcPr>
                <w:p w14:paraId="185ADC7D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Original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 xml:space="preserve"> </w:t>
                  </w: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subject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 xml:space="preserve"> </w:t>
                  </w: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name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:</w:t>
                  </w:r>
                </w:p>
              </w:tc>
            </w:tr>
            <w:tr w:rsidR="00722286" w:rsidRPr="00722286" w14:paraId="25096FD3" w14:textId="77777777">
              <w:trPr>
                <w:trHeight w:val="300"/>
              </w:trPr>
              <w:tc>
                <w:tcPr>
                  <w:tcW w:w="0" w:type="auto"/>
                  <w:hideMark/>
                </w:tcPr>
                <w:p w14:paraId="774ECC88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Credit:</w:t>
                  </w:r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6</w:t>
                  </w:r>
                </w:p>
              </w:tc>
            </w:tr>
            <w:tr w:rsidR="00722286" w:rsidRPr="00722286" w14:paraId="6CCF1C58" w14:textId="77777777">
              <w:trPr>
                <w:trHeight w:val="300"/>
              </w:trPr>
              <w:tc>
                <w:tcPr>
                  <w:tcW w:w="0" w:type="auto"/>
                  <w:hideMark/>
                </w:tcPr>
                <w:p w14:paraId="7613B336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Requirement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 xml:space="preserve"> </w:t>
                  </w:r>
                  <w:proofErr w:type="spellStart"/>
                  <w:proofErr w:type="gram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type:</w:t>
                  </w:r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Report</w:t>
                  </w:r>
                  <w:proofErr w:type="spellEnd"/>
                  <w:proofErr w:type="gramEnd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 xml:space="preserve"> (</w:t>
                  </w:r>
                  <w:proofErr w:type="spellStart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three-scale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)</w:t>
                  </w:r>
                </w:p>
              </w:tc>
            </w:tr>
            <w:tr w:rsidR="00722286" w:rsidRPr="00722286" w14:paraId="0FD4E32F" w14:textId="77777777">
              <w:trPr>
                <w:trHeight w:val="300"/>
              </w:trPr>
              <w:tc>
                <w:tcPr>
                  <w:tcW w:w="0" w:type="auto"/>
                  <w:hideMark/>
                </w:tcPr>
                <w:p w14:paraId="607F5460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 xml:space="preserve">Internet </w:t>
                  </w:r>
                  <w:proofErr w:type="spellStart"/>
                  <w:proofErr w:type="gram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address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::</w:t>
                  </w:r>
                  <w:proofErr w:type="gramEnd"/>
                </w:p>
              </w:tc>
            </w:tr>
          </w:tbl>
          <w:p w14:paraId="751C42A9" w14:textId="77777777" w:rsidR="00722286" w:rsidRPr="00722286" w:rsidRDefault="00722286" w:rsidP="007222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hu-HU"/>
              </w:rPr>
            </w:pPr>
          </w:p>
        </w:tc>
        <w:tc>
          <w:tcPr>
            <w:tcW w:w="2500" w:type="pct"/>
            <w:hideMark/>
          </w:tcPr>
          <w:tbl>
            <w:tblPr>
              <w:tblW w:w="4900" w:type="pct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5"/>
            </w:tblGrid>
            <w:tr w:rsidR="00722286" w:rsidRPr="00722286" w14:paraId="33D91486" w14:textId="77777777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58363D43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14:paraId="29F522B6" w14:textId="77777777" w:rsidR="00722286" w:rsidRPr="00722286" w:rsidRDefault="00722286" w:rsidP="0072228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sz w:val="17"/>
                <w:szCs w:val="17"/>
                <w:lang w:eastAsia="hu-HU"/>
              </w:rPr>
            </w:pPr>
          </w:p>
          <w:tbl>
            <w:tblPr>
              <w:tblW w:w="4900" w:type="pct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5"/>
            </w:tblGrid>
            <w:tr w:rsidR="00722286" w:rsidRPr="00722286" w14:paraId="33D7215F" w14:textId="77777777">
              <w:trPr>
                <w:trHeight w:val="300"/>
                <w:jc w:val="right"/>
              </w:trPr>
              <w:tc>
                <w:tcPr>
                  <w:tcW w:w="0" w:type="auto"/>
                  <w:hideMark/>
                </w:tcPr>
                <w:p w14:paraId="3C416547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Notes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:</w:t>
                  </w:r>
                </w:p>
              </w:tc>
            </w:tr>
            <w:tr w:rsidR="00722286" w:rsidRPr="00722286" w14:paraId="1D648D6D" w14:textId="77777777">
              <w:trPr>
                <w:trHeight w:val="300"/>
                <w:jc w:val="right"/>
              </w:trPr>
              <w:tc>
                <w:tcPr>
                  <w:tcW w:w="0" w:type="auto"/>
                  <w:hideMark/>
                </w:tcPr>
                <w:p w14:paraId="5F28056A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Responsible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 xml:space="preserve"> </w:t>
                  </w:r>
                  <w:proofErr w:type="spellStart"/>
                  <w:proofErr w:type="gram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lecturer:</w:t>
                  </w:r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Dr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.</w:t>
                  </w:r>
                  <w:proofErr w:type="gramEnd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 xml:space="preserve"> Molnár Sarolta Judit</w:t>
                  </w:r>
                </w:p>
              </w:tc>
            </w:tr>
            <w:tr w:rsidR="00722286" w:rsidRPr="00722286" w14:paraId="46CFA6A5" w14:textId="77777777">
              <w:trPr>
                <w:trHeight w:val="300"/>
                <w:jc w:val="right"/>
              </w:trPr>
              <w:tc>
                <w:tcPr>
                  <w:tcW w:w="0" w:type="auto"/>
                  <w:hideMark/>
                </w:tcPr>
                <w:p w14:paraId="359240E0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Organizational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 xml:space="preserve"> </w:t>
                  </w: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unit:</w:t>
                  </w:r>
                  <w:hyperlink r:id="rId6" w:tooltip="JÁK Polgári Jogi Tanszék" w:history="1">
                    <w:r w:rsidRPr="00722286">
                      <w:rPr>
                        <w:rFonts w:ascii="Verdana" w:eastAsia="Times New Roman" w:hAnsi="Verdana" w:cs="Times New Roman"/>
                        <w:color w:val="036EB6"/>
                        <w:sz w:val="17"/>
                        <w:szCs w:val="17"/>
                        <w:lang w:eastAsia="hu-HU"/>
                      </w:rPr>
                      <w:t>JÁK</w:t>
                    </w:r>
                    <w:proofErr w:type="spellEnd"/>
                    <w:r w:rsidRPr="00722286">
                      <w:rPr>
                        <w:rFonts w:ascii="Verdana" w:eastAsia="Times New Roman" w:hAnsi="Verdana" w:cs="Times New Roman"/>
                        <w:color w:val="036EB6"/>
                        <w:sz w:val="17"/>
                        <w:szCs w:val="17"/>
                        <w:lang w:eastAsia="hu-HU"/>
                      </w:rPr>
                      <w:t xml:space="preserve"> Polgári Jogi Tanszék</w:t>
                    </w:r>
                  </w:hyperlink>
                </w:p>
              </w:tc>
            </w:tr>
            <w:tr w:rsidR="00722286" w:rsidRPr="00722286" w14:paraId="4A8B5ABA" w14:textId="77777777">
              <w:trPr>
                <w:trHeight w:val="300"/>
                <w:jc w:val="right"/>
              </w:trPr>
              <w:tc>
                <w:tcPr>
                  <w:tcW w:w="0" w:type="auto"/>
                  <w:hideMark/>
                </w:tcPr>
                <w:p w14:paraId="2738D68B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Classes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 xml:space="preserve"> per </w:t>
                  </w: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week</w:t>
                  </w:r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Practical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: 2</w:t>
                  </w:r>
                </w:p>
              </w:tc>
            </w:tr>
            <w:tr w:rsidR="00722286" w:rsidRPr="00722286" w14:paraId="13CEE618" w14:textId="77777777">
              <w:trPr>
                <w:trHeight w:val="300"/>
                <w:jc w:val="right"/>
              </w:trPr>
              <w:tc>
                <w:tcPr>
                  <w:tcW w:w="0" w:type="auto"/>
                  <w:hideMark/>
                </w:tcPr>
                <w:p w14:paraId="5F246F4E" w14:textId="77777777" w:rsidR="00722286" w:rsidRPr="00722286" w:rsidRDefault="00722286" w:rsidP="007222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hu-HU"/>
                    </w:rPr>
                  </w:pP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Classes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 xml:space="preserve"> per </w:t>
                  </w:r>
                  <w:proofErr w:type="spellStart"/>
                  <w:r w:rsidRPr="00722286">
                    <w:rPr>
                      <w:rFonts w:ascii="Verdana" w:eastAsia="Times New Roman" w:hAnsi="Verdana" w:cs="Times New Roman"/>
                      <w:color w:val="4A4A4A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term</w:t>
                  </w:r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Practical</w:t>
                  </w:r>
                  <w:proofErr w:type="spellEnd"/>
                  <w:r w:rsidRPr="00722286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sz w:val="17"/>
                      <w:szCs w:val="17"/>
                      <w:lang w:eastAsia="hu-HU"/>
                    </w:rPr>
                    <w:t>: 2</w:t>
                  </w:r>
                </w:p>
              </w:tc>
            </w:tr>
          </w:tbl>
          <w:p w14:paraId="035DE9A2" w14:textId="77777777" w:rsidR="00722286" w:rsidRPr="00722286" w:rsidRDefault="00722286" w:rsidP="0072228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hu-HU"/>
              </w:rPr>
            </w:pPr>
          </w:p>
        </w:tc>
      </w:tr>
    </w:tbl>
    <w:p w14:paraId="4692FD9C" w14:textId="77777777" w:rsidR="00722286" w:rsidRPr="00722286" w:rsidRDefault="00722286" w:rsidP="00722286">
      <w:pPr>
        <w:spacing w:after="0" w:line="240" w:lineRule="auto"/>
        <w:rPr>
          <w:rFonts w:ascii="Verdana" w:eastAsia="Times New Roman" w:hAnsi="Verdana" w:cs="Times New Roman"/>
          <w:vanish/>
          <w:sz w:val="17"/>
          <w:szCs w:val="17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722286" w:rsidRPr="00722286" w14:paraId="29C18406" w14:textId="77777777" w:rsidTr="00722286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25" w:type="dxa"/>
              <w:bottom w:w="45" w:type="dxa"/>
              <w:right w:w="75" w:type="dxa"/>
            </w:tcMar>
            <w:hideMark/>
          </w:tcPr>
          <w:p w14:paraId="1018185A" w14:textId="77777777" w:rsidR="00722286" w:rsidRPr="00722286" w:rsidRDefault="00722286" w:rsidP="00722286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  <w:t>Final</w:t>
            </w:r>
            <w:proofErr w:type="spellEnd"/>
            <w:r w:rsidRPr="00722286"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722286"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  <w:t>requirement</w:t>
            </w:r>
            <w:proofErr w:type="spellEnd"/>
            <w:r w:rsidRPr="00722286"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  <w:t>:</w:t>
            </w:r>
          </w:p>
        </w:tc>
        <w:tc>
          <w:tcPr>
            <w:tcW w:w="0" w:type="auto"/>
            <w:hideMark/>
          </w:tcPr>
          <w:p w14:paraId="076ADD89" w14:textId="77777777" w:rsidR="00722286" w:rsidRPr="00722286" w:rsidRDefault="00722286" w:rsidP="00722286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</w:pPr>
          </w:p>
        </w:tc>
      </w:tr>
      <w:tr w:rsidR="00722286" w:rsidRPr="00722286" w14:paraId="404E185F" w14:textId="77777777" w:rsidTr="00722286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25" w:type="dxa"/>
              <w:bottom w:w="45" w:type="dxa"/>
              <w:right w:w="75" w:type="dxa"/>
            </w:tcMar>
            <w:hideMark/>
          </w:tcPr>
          <w:p w14:paraId="7FF296F1" w14:textId="77777777" w:rsidR="00722286" w:rsidRPr="00722286" w:rsidRDefault="00722286" w:rsidP="00722286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  <w:t>Preliminary</w:t>
            </w:r>
            <w:proofErr w:type="spellEnd"/>
            <w:r w:rsidRPr="00722286"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722286"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  <w:t>requirement</w:t>
            </w:r>
            <w:proofErr w:type="spellEnd"/>
            <w:r w:rsidRPr="00722286"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  <w:t>:</w:t>
            </w:r>
          </w:p>
        </w:tc>
        <w:tc>
          <w:tcPr>
            <w:tcW w:w="0" w:type="auto"/>
            <w:hideMark/>
          </w:tcPr>
          <w:p w14:paraId="1895A7AB" w14:textId="77777777" w:rsidR="00722286" w:rsidRPr="00722286" w:rsidRDefault="00722286" w:rsidP="00722286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</w:pPr>
          </w:p>
        </w:tc>
      </w:tr>
      <w:tr w:rsidR="00722286" w:rsidRPr="00722286" w14:paraId="79418256" w14:textId="77777777" w:rsidTr="00722286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25" w:type="dxa"/>
              <w:bottom w:w="45" w:type="dxa"/>
              <w:right w:w="75" w:type="dxa"/>
            </w:tcMar>
            <w:hideMark/>
          </w:tcPr>
          <w:p w14:paraId="0F09D8C5" w14:textId="77777777" w:rsidR="00722286" w:rsidRPr="00722286" w:rsidRDefault="00722286" w:rsidP="00722286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  <w:t>Description</w:t>
            </w:r>
            <w:proofErr w:type="spellEnd"/>
            <w:r w:rsidRPr="00722286">
              <w:rPr>
                <w:rFonts w:ascii="Verdana" w:eastAsia="Times New Roman" w:hAnsi="Verdana" w:cs="Times New Roman"/>
                <w:color w:val="4A4A4A"/>
                <w:sz w:val="17"/>
                <w:szCs w:val="17"/>
                <w:lang w:eastAsia="hu-H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7CDB265" w14:textId="77777777" w:rsidR="00722286" w:rsidRPr="00722286" w:rsidRDefault="00722286" w:rsidP="0072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22286" w:rsidRPr="00722286" w14:paraId="75498908" w14:textId="77777777" w:rsidTr="00722286">
        <w:tc>
          <w:tcPr>
            <w:tcW w:w="0" w:type="auto"/>
            <w:gridSpan w:val="2"/>
            <w:hideMark/>
          </w:tcPr>
          <w:p w14:paraId="61321F8A" w14:textId="77777777" w:rsidR="00722286" w:rsidRPr="00722286" w:rsidRDefault="00722286" w:rsidP="00722286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color w:val="4A4A4A"/>
                <w:sz w:val="24"/>
                <w:szCs w:val="24"/>
                <w:u w:val="single"/>
                <w:lang w:eastAsia="hu-HU"/>
              </w:rPr>
              <w:t>Family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color w:val="4A4A4A"/>
                <w:sz w:val="24"/>
                <w:szCs w:val="24"/>
                <w:u w:val="single"/>
                <w:lang w:eastAsia="hu-HU"/>
              </w:rPr>
              <w:t xml:space="preserve">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color w:val="4A4A4A"/>
                <w:sz w:val="24"/>
                <w:szCs w:val="24"/>
                <w:u w:val="single"/>
                <w:lang w:eastAsia="hu-HU"/>
              </w:rPr>
              <w:t>Fundamental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color w:val="4A4A4A"/>
                <w:sz w:val="24"/>
                <w:szCs w:val="24"/>
                <w:u w:val="single"/>
                <w:lang w:eastAsia="hu-HU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color w:val="4A4A4A"/>
                <w:sz w:val="24"/>
                <w:szCs w:val="24"/>
                <w:u w:val="single"/>
                <w:lang w:eastAsia="hu-HU"/>
              </w:rPr>
              <w:t>Rights</w:t>
            </w:r>
            <w:proofErr w:type="spellEnd"/>
          </w:p>
          <w:p w14:paraId="5AF0EC8A" w14:textId="77777777" w:rsidR="00722286" w:rsidRPr="00722286" w:rsidRDefault="00722286" w:rsidP="00722286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color w:val="4A4A4A"/>
                <w:sz w:val="24"/>
                <w:szCs w:val="24"/>
                <w:lang w:val="en-GB" w:eastAsia="hu-HU"/>
              </w:rPr>
              <w:t>Aim of the course:</w:t>
            </w:r>
          </w:p>
          <w:p w14:paraId="67AF4A30" w14:textId="77777777" w:rsidR="00722286" w:rsidRPr="00722286" w:rsidRDefault="00722286" w:rsidP="00722286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Introducing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students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basic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international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and human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rights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law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concepts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rules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organizations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including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European human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rights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regimes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. The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course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examines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both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horizontal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vertical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family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relationships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light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fundamental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rights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. The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topics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include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partnering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parenting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major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changes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these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fields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recent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years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Students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will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acquainted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with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legal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reasoning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case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law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of European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Court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of Human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Rights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comparison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with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US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Supreme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Court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This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is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especially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important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family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life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situations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are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very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similar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still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legal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approaches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may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differ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. The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widening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legal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perspective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highly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beneficial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legal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thinking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students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 xml:space="preserve"> </w:t>
            </w:r>
          </w:p>
          <w:p w14:paraId="4ABE0E65" w14:textId="77777777" w:rsidR="00722286" w:rsidRPr="00722286" w:rsidRDefault="00722286" w:rsidP="00722286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color w:val="4A4A4A"/>
                <w:sz w:val="24"/>
                <w:szCs w:val="24"/>
                <w:lang w:val="en-GB" w:eastAsia="hu-HU"/>
              </w:rPr>
              <w:t>Outline of the course:</w:t>
            </w:r>
          </w:p>
          <w:p w14:paraId="783B154D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Topic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1.     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Introduction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Perspectives</w:t>
            </w:r>
            <w:proofErr w:type="spellEnd"/>
          </w:p>
          <w:p w14:paraId="0DAD184C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A.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Law of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Persons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Family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Law</w:t>
            </w:r>
          </w:p>
          <w:p w14:paraId="4489CFAF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B.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Comparative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and International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Family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Law</w:t>
            </w:r>
          </w:p>
          <w:p w14:paraId="75F14FA0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C.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Cases</w:t>
            </w:r>
            <w:proofErr w:type="spellEnd"/>
          </w:p>
          <w:p w14:paraId="4588B246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1.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Griswold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v. Connecticut, 381 U.S. 479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(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1965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) 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  </w:t>
            </w:r>
          </w:p>
          <w:p w14:paraId="282BF8BB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2.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Eisenstadt v.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Baird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, 405 U.S. 438 (1972)   </w:t>
            </w:r>
          </w:p>
          <w:p w14:paraId="39F1D47B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3.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Haas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Switzerland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(2011) (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extract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) </w:t>
            </w:r>
          </w:p>
          <w:p w14:paraId="0D715584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4.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Ahrens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Germany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(2012)   </w:t>
            </w:r>
          </w:p>
          <w:p w14:paraId="4FEA72D5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5.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Munoz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Diaz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/Spain (2009)   </w:t>
            </w:r>
          </w:p>
          <w:p w14:paraId="704432F6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6.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Stubing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Germany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(2012)   </w:t>
            </w:r>
          </w:p>
          <w:p w14:paraId="0364028E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Topic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2.     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Horizontal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Family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law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: Partnering</w:t>
            </w:r>
          </w:p>
          <w:p w14:paraId="2EC2A661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A.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Demographic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evolutions</w:t>
            </w:r>
            <w:proofErr w:type="spellEnd"/>
          </w:p>
          <w:p w14:paraId="7C7591D4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B.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Four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forms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of partnering</w:t>
            </w:r>
          </w:p>
          <w:p w14:paraId="456873DE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D.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Content</w:t>
            </w:r>
            <w:proofErr w:type="spellEnd"/>
          </w:p>
          <w:p w14:paraId="5331DD3F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E.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Dissolution</w:t>
            </w:r>
            <w:proofErr w:type="spellEnd"/>
          </w:p>
          <w:p w14:paraId="3B018C4F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F.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Cases</w:t>
            </w:r>
            <w:proofErr w:type="spellEnd"/>
          </w:p>
          <w:p w14:paraId="4570850C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lastRenderedPageBreak/>
              <w:t>1.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Munoz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Diaz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/Spain (2007)  </w:t>
            </w:r>
          </w:p>
          <w:p w14:paraId="08ACE8BE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2.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Şerife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Yigit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Turkey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, Grand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Chamber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Judgment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(2010)   </w:t>
            </w:r>
          </w:p>
          <w:p w14:paraId="6C696A28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3.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Johnston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Others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Ireland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(1986)   </w:t>
            </w:r>
          </w:p>
          <w:p w14:paraId="231A7605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4.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Mata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Estevez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/Spain (2001)   </w:t>
            </w:r>
          </w:p>
          <w:p w14:paraId="492E7076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5.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Karner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Austria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(2003) 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  </w:t>
            </w:r>
          </w:p>
          <w:p w14:paraId="159D461F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6.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Burden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United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Kingdom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(2008) </w:t>
            </w:r>
          </w:p>
          <w:p w14:paraId="4D97D247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7.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Schalk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&amp;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Kopf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Austria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(2010)   </w:t>
            </w:r>
          </w:p>
          <w:p w14:paraId="546ABE6A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8.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Stubing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Germany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(2012)   </w:t>
            </w:r>
          </w:p>
          <w:p w14:paraId="1E17D36F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9.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United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States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v. Windsor, 570 U.S. ___ (2013) </w:t>
            </w:r>
          </w:p>
          <w:p w14:paraId="13170485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10.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Obergefell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v.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Hodges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, 576 U.S. ___ (2015) </w:t>
            </w:r>
          </w:p>
          <w:p w14:paraId="751528D2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Topic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3.     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Vertical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Family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law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Parenting</w:t>
            </w:r>
            <w:proofErr w:type="spellEnd"/>
          </w:p>
          <w:p w14:paraId="47CBFD92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A.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Who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are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parents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? </w:t>
            </w:r>
          </w:p>
          <w:p w14:paraId="77CB987C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B.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How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to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link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child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to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‘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right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’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parent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legally? </w:t>
            </w:r>
          </w:p>
          <w:p w14:paraId="58A5D411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C.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Contact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rights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vis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-a-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vis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children</w:t>
            </w:r>
            <w:proofErr w:type="spellEnd"/>
          </w:p>
          <w:p w14:paraId="6CC5764D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D.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The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rights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the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child</w:t>
            </w:r>
            <w:proofErr w:type="spellEnd"/>
          </w:p>
          <w:p w14:paraId="6E5857EA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E.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Focus</w:t>
            </w:r>
            <w:proofErr w:type="spellEnd"/>
          </w:p>
          <w:p w14:paraId="4E31943C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F.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Cases</w:t>
            </w:r>
            <w:proofErr w:type="spellEnd"/>
          </w:p>
          <w:p w14:paraId="5F108EBF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1.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Michael H. v.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Gerald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D., 491 U.S. 110 (1989)   </w:t>
            </w:r>
          </w:p>
          <w:p w14:paraId="19412422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2.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Ahrens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Germany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(2012)   </w:t>
            </w:r>
          </w:p>
          <w:p w14:paraId="7313F1A8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3.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X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others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Austria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(2013)   </w:t>
            </w:r>
          </w:p>
          <w:p w14:paraId="5F2ABAE8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4.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Troxel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v.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Granville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, 530 U.S. 57 (2000)   </w:t>
            </w:r>
          </w:p>
          <w:p w14:paraId="0551404F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5.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Odievre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/France (2003)   </w:t>
            </w:r>
          </w:p>
          <w:p w14:paraId="191CCB00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pacing w:val="-1"/>
                <w:sz w:val="20"/>
                <w:szCs w:val="20"/>
                <w:lang w:eastAsia="en-GB"/>
              </w:rPr>
              <w:t>6.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Paradiso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Campanelli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Italy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(2017)   </w:t>
            </w:r>
          </w:p>
          <w:p w14:paraId="00A4909A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Topic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4.      The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Person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his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Prenatal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status</w:t>
            </w:r>
          </w:p>
          <w:p w14:paraId="444C1001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A.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Introduction</w:t>
            </w:r>
            <w:proofErr w:type="spellEnd"/>
          </w:p>
          <w:p w14:paraId="350EC8B6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B.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Prenatal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 Life</w:t>
            </w:r>
          </w:p>
          <w:p w14:paraId="1336C4F6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pacing w:val="-1"/>
                <w:sz w:val="20"/>
                <w:szCs w:val="20"/>
                <w:lang w:eastAsia="en-GB"/>
              </w:rPr>
              <w:t>C.</w:t>
            </w:r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en-GB"/>
              </w:rPr>
              <w:t>Cases</w:t>
            </w:r>
            <w:proofErr w:type="spellEnd"/>
          </w:p>
          <w:p w14:paraId="372ED8DA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1.     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Evans/UK (Grand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Chamber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Judgment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) (2007)   </w:t>
            </w:r>
          </w:p>
          <w:p w14:paraId="1B41E19D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2.     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Odievre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/France (2003)  </w:t>
            </w:r>
          </w:p>
          <w:p w14:paraId="49790346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lastRenderedPageBreak/>
              <w:t xml:space="preserve">3.     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., S.H. 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others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Austria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(Grand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Chamber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Judgment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)(</w:t>
            </w:r>
            <w:proofErr w:type="gram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2011)  </w:t>
            </w:r>
          </w:p>
          <w:p w14:paraId="427F79F5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4.     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Roe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v.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Wade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, 410 U.S. 113 (1973)   </w:t>
            </w:r>
          </w:p>
          <w:p w14:paraId="2F768A91" w14:textId="77777777" w:rsidR="00722286" w:rsidRPr="00722286" w:rsidRDefault="00722286" w:rsidP="00722286">
            <w:pPr>
              <w:spacing w:before="240" w:after="24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5.     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E.Ct.H.R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., A, B and C/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>Ireland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0"/>
                <w:szCs w:val="20"/>
                <w:lang w:eastAsia="en-GB"/>
              </w:rPr>
              <w:t xml:space="preserve"> (2010</w:t>
            </w:r>
          </w:p>
          <w:p w14:paraId="71AE98FE" w14:textId="77777777" w:rsidR="00722286" w:rsidRPr="00722286" w:rsidRDefault="00722286" w:rsidP="00722286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>Aim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>course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>: 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Introducing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students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basic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international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and human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rights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law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concepts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rules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organizations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including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European human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rights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regimes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. The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course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examines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both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horizontal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vertical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family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relationships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light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fundamental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rights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. The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topics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include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partnering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parenting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major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changes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these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fields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recent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years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Students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acquainted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with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legal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reasoning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case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law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of European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Court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of Human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Rights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comparison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with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US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Supreme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Court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This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is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especially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important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as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family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life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situations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are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very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similar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still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legal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approaches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may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differ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. The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widening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legal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perspective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can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highly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beneficial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for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legal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thinking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students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17"/>
                <w:szCs w:val="17"/>
                <w:lang w:eastAsia="en-GB"/>
              </w:rPr>
              <w:t>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 xml:space="preserve"> </w:t>
            </w:r>
          </w:p>
          <w:p w14:paraId="52302A94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>Course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>contents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 xml:space="preserve">: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Topic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1.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9"/>
                <w:szCs w:val="19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Introduction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Perspectives</w:t>
            </w:r>
            <w:proofErr w:type="spellEnd"/>
          </w:p>
          <w:p w14:paraId="1CDE5598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A.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Law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Persons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Family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Law</w:t>
            </w:r>
          </w:p>
          <w:p w14:paraId="18867C4B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B.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Comparative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and International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Family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Law</w:t>
            </w:r>
          </w:p>
          <w:p w14:paraId="7A5AF513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C.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Cases</w:t>
            </w:r>
            <w:proofErr w:type="spellEnd"/>
          </w:p>
          <w:p w14:paraId="0E78E413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1.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Griswold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v. Connecticut, 381 U.S. 479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(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1965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) 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  </w:t>
            </w:r>
          </w:p>
          <w:p w14:paraId="4ED25E48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2.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Eisenstadt v.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Baird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, 405 U.S. 438 (1972)   </w:t>
            </w:r>
          </w:p>
          <w:p w14:paraId="7777BE87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3.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Haas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Switzerland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(2011) (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extract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) </w:t>
            </w:r>
          </w:p>
          <w:p w14:paraId="47D54118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4.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Ahrens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Germany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(2012)   </w:t>
            </w:r>
          </w:p>
          <w:p w14:paraId="5B2F1FE4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5.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Munoz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Diaz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/Spain (2009)   </w:t>
            </w:r>
          </w:p>
          <w:p w14:paraId="39E7566E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6.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Stubing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Germany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(2012)   </w:t>
            </w:r>
          </w:p>
          <w:p w14:paraId="7AEB8350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Topic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2.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9"/>
                <w:szCs w:val="19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Horizontal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Family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law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: Partnering</w:t>
            </w:r>
          </w:p>
          <w:p w14:paraId="38198D99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A.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Demographic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evolutions</w:t>
            </w:r>
            <w:proofErr w:type="spellEnd"/>
          </w:p>
          <w:p w14:paraId="4759F209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B.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Four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forms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of partnering</w:t>
            </w:r>
          </w:p>
          <w:p w14:paraId="60A719BC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D.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Content</w:t>
            </w:r>
            <w:proofErr w:type="spellEnd"/>
          </w:p>
          <w:p w14:paraId="059332AB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E.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Dissolution</w:t>
            </w:r>
            <w:proofErr w:type="spellEnd"/>
          </w:p>
          <w:p w14:paraId="7B0B76C6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F.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Cases</w:t>
            </w:r>
            <w:proofErr w:type="spellEnd"/>
          </w:p>
          <w:p w14:paraId="01D89407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1.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Munoz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Diaz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/Spain (2007)  </w:t>
            </w:r>
          </w:p>
          <w:p w14:paraId="6CB37B06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2.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Şerife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Yigit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Turkey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, Grand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Chamber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Judgment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(2010)   </w:t>
            </w:r>
          </w:p>
          <w:p w14:paraId="3C839503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3.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Johnston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Others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Ireland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(1986)   </w:t>
            </w:r>
          </w:p>
          <w:p w14:paraId="1EF85A00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4.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Mata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Estevez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/Spain (2001)   </w:t>
            </w:r>
          </w:p>
          <w:p w14:paraId="38A17789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5.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Karner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Austria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(2003) 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  </w:t>
            </w:r>
          </w:p>
          <w:p w14:paraId="25738BD4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6.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Burden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United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Kingdom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(2008) </w:t>
            </w:r>
          </w:p>
          <w:p w14:paraId="5CC7FB50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7.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Schalk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&amp;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Kopf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Austria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(2010)   </w:t>
            </w:r>
          </w:p>
          <w:p w14:paraId="7F0107D9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8.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Stubing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Germany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(2012)   </w:t>
            </w:r>
          </w:p>
          <w:p w14:paraId="6596FD3A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9.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United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States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v. Windsor, 570 U.S. ___ (2013) </w:t>
            </w:r>
          </w:p>
          <w:p w14:paraId="6C7D7B66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lastRenderedPageBreak/>
              <w:t>10.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Obergefell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v.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Hodges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, 576 U.S. ___ (2015) </w:t>
            </w:r>
          </w:p>
          <w:p w14:paraId="24F3F663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Topic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3.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9"/>
                <w:szCs w:val="19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Vertical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Family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law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: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Parenting</w:t>
            </w:r>
            <w:proofErr w:type="spellEnd"/>
          </w:p>
          <w:p w14:paraId="3E3FF108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A.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Who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are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parents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?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 </w:t>
            </w:r>
          </w:p>
          <w:p w14:paraId="360E9B2B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B.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How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link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child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‘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right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’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parent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legally?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 </w:t>
            </w:r>
          </w:p>
          <w:p w14:paraId="6963A399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C.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Contact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rights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vis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-a-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vis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children</w:t>
            </w:r>
            <w:proofErr w:type="spellEnd"/>
          </w:p>
          <w:p w14:paraId="2E8822C3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D.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The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rights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child</w:t>
            </w:r>
            <w:proofErr w:type="spellEnd"/>
          </w:p>
          <w:p w14:paraId="37AA682F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E.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Focus</w:t>
            </w:r>
            <w:proofErr w:type="spellEnd"/>
          </w:p>
          <w:p w14:paraId="1F6BA8A5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F.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Cases</w:t>
            </w:r>
            <w:proofErr w:type="spellEnd"/>
          </w:p>
          <w:p w14:paraId="0031860E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1.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Michael H. v.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Gerald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D., 491 U.S. 110 (1989)   </w:t>
            </w:r>
          </w:p>
          <w:p w14:paraId="06F07ED6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2.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Ahrens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Germany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(2012)   </w:t>
            </w:r>
          </w:p>
          <w:p w14:paraId="533E909D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3.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X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others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Austria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(2013)   </w:t>
            </w:r>
          </w:p>
          <w:p w14:paraId="223EBA15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4.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Troxel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v.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Granville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, 530 U.S. 57 (2000)   </w:t>
            </w:r>
          </w:p>
          <w:p w14:paraId="5B758720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5.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Odievre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/France (2003)   </w:t>
            </w:r>
          </w:p>
          <w:p w14:paraId="46CDCC1D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pacing w:val="-1"/>
                <w:sz w:val="17"/>
                <w:szCs w:val="17"/>
                <w:lang w:eastAsia="en-GB"/>
              </w:rPr>
              <w:t>6.</w:t>
            </w: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Paradiso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Campanelli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Italy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(2017)   </w:t>
            </w:r>
          </w:p>
          <w:p w14:paraId="601C472E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Topic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4.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9"/>
                <w:szCs w:val="19"/>
                <w:lang w:eastAsia="en-GB"/>
              </w:rPr>
              <w:t xml:space="preserve">      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The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Person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his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Prenatal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status</w:t>
            </w:r>
          </w:p>
          <w:p w14:paraId="37E396F7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A.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Introduction</w:t>
            </w:r>
            <w:proofErr w:type="spellEnd"/>
          </w:p>
          <w:p w14:paraId="312340BF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B.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Prenatal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 xml:space="preserve"> Life</w:t>
            </w:r>
          </w:p>
          <w:p w14:paraId="3077B003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pacing w:val="-1"/>
                <w:sz w:val="17"/>
                <w:szCs w:val="17"/>
                <w:lang w:eastAsia="en-GB"/>
              </w:rPr>
              <w:t>C.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6"/>
                <w:szCs w:val="16"/>
                <w:lang w:eastAsia="en-GB"/>
              </w:rPr>
              <w:t xml:space="preserve">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Cases</w:t>
            </w:r>
            <w:proofErr w:type="spellEnd"/>
          </w:p>
          <w:p w14:paraId="7AA827A5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1.     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Evans/UK (Grand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Chamber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Judgment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) (2007)   </w:t>
            </w:r>
          </w:p>
          <w:p w14:paraId="2005ECDD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2.     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Odievre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/France (2003)  </w:t>
            </w:r>
          </w:p>
          <w:p w14:paraId="1E5CA0F2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3.     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., S.H.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others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Austria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(Grand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Chamber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</w:t>
            </w:r>
            <w:proofErr w:type="spellStart"/>
            <w:proofErr w:type="gram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Judgment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)(</w:t>
            </w:r>
            <w:proofErr w:type="gram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2011)  </w:t>
            </w:r>
          </w:p>
          <w:p w14:paraId="62972267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4.     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Roe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v.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Wade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, 410 U.S. 113 (1973)   </w:t>
            </w:r>
          </w:p>
          <w:p w14:paraId="5B0FB5FD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5.     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E.Ct.H.R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., A, B and C/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>Ireland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4A4A4A"/>
                <w:sz w:val="17"/>
                <w:szCs w:val="17"/>
                <w:lang w:eastAsia="en-GB"/>
              </w:rPr>
              <w:t xml:space="preserve"> (2010)  </w:t>
            </w:r>
          </w:p>
          <w:p w14:paraId="04C58C52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 </w:t>
            </w:r>
          </w:p>
          <w:p w14:paraId="29A4DE5D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en-GB"/>
              </w:rPr>
              <w:t>Exam</w:t>
            </w:r>
            <w:proofErr w:type="spellEnd"/>
          </w:p>
          <w:p w14:paraId="34F34E95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4A4A4A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final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grade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calculated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based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: </w:t>
            </w:r>
          </w:p>
          <w:p w14:paraId="751A77D4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75%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Final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Exam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(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anonymously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graded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based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exam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provided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); </w:t>
            </w:r>
          </w:p>
          <w:p w14:paraId="1373E7B8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15% Commenting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case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home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assignment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</w:p>
          <w:p w14:paraId="608D404E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10%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Participation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</w:p>
          <w:p w14:paraId="25E8CE99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>Final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>Exam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: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Three-quarters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grade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based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comprehensive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1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hour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final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exam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after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conclude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The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final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aims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address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substantive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material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covered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throughout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semester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</w:p>
          <w:p w14:paraId="6F4A8A63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lastRenderedPageBreak/>
              <w:t>Essay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question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simulate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real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issues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faced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practicing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attorneys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;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questions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require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identify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analyze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variety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issues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</w:p>
          <w:p w14:paraId="19ABEAC2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>Form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 xml:space="preserve">: </w:t>
            </w:r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The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final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exam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open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book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–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this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means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can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consult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any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written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material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(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including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case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book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commercial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material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)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other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than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exam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being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written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contemporaneously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fellow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classmate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However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final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is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very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time-intensive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such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bringing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more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material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likely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not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result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in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better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grade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since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leafing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through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materials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consumes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precious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time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I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advise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students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prepare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for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final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if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were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“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closed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book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”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exam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;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better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know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material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without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referencing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notes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etc.,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more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likely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are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finish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exam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and be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able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demonstrate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knowledge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</w:p>
          <w:p w14:paraId="7359D271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Commenting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case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home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assignment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 xml:space="preserve">: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asked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comment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case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in a maximum of 2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pages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mid-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term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I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provide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with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intensive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feedback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performance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help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improve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prepares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for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final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exam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The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completion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this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task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count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15%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grade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</w:p>
          <w:p w14:paraId="57EB1B35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>Participation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 xml:space="preserve">: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participation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is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smaller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part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grade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designed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give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credit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for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level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and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quality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engagement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discussions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</w:p>
          <w:p w14:paraId="717F984B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Access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Students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</w:p>
          <w:p w14:paraId="47025F7F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I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want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available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possible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Please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feel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free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contact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molnar.sarolta.judit@jak.ppke.hu,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if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would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like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ask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question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about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material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If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would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like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meet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with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person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please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e-mail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with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some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available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times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can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coordinate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a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mutually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acceptable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time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If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want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catch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close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proximity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, I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would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suggest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see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>after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</w:p>
          <w:p w14:paraId="4116547E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Tentative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Outline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Course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Topics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</w:p>
          <w:p w14:paraId="10B438F2" w14:textId="77777777" w:rsidR="00722286" w:rsidRPr="00722286" w:rsidRDefault="00722286" w:rsidP="00722286">
            <w:pPr>
              <w:spacing w:before="240"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The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following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is an outline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topics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cover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during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semester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Please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note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is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listed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here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may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evolve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issues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emerge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from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our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discussions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</w:p>
          <w:p w14:paraId="6CF96737" w14:textId="77777777" w:rsidR="00722286" w:rsidRPr="00722286" w:rsidRDefault="00722286" w:rsidP="00722286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discussion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focus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primarily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highlights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materials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;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not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every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case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or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note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that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has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been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assigned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will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be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discussed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You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are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responsible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for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completing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all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assigned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readings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,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regardless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of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whether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they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are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directly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discussed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 in </w:t>
            </w:r>
            <w:proofErr w:type="spellStart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>class</w:t>
            </w:r>
            <w:proofErr w:type="spellEnd"/>
            <w:r w:rsidRPr="00722286">
              <w:rPr>
                <w:rFonts w:ascii="Garamond" w:eastAsia="Times New Roman" w:hAnsi="Garamond" w:cs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. </w:t>
            </w:r>
          </w:p>
          <w:p w14:paraId="36F997E0" w14:textId="77777777" w:rsidR="00722286" w:rsidRPr="00722286" w:rsidRDefault="00722286" w:rsidP="00722286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r w:rsidRPr="00722286">
              <w:rPr>
                <w:rFonts w:ascii="Times New Roman" w:eastAsia="Times New Roman" w:hAnsi="Times New Roman" w:cs="Times New Roman"/>
                <w:b/>
                <w:color w:val="4A4A4A"/>
                <w:sz w:val="20"/>
                <w:szCs w:val="20"/>
                <w:lang w:val="en-GB" w:eastAsia="hu-HU"/>
              </w:rPr>
              <w:t>Course materials:</w:t>
            </w:r>
          </w:p>
          <w:p w14:paraId="20443F9F" w14:textId="77777777" w:rsidR="00722286" w:rsidRPr="00722286" w:rsidRDefault="00722286" w:rsidP="00722286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</w:pP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>Material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>coverd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 xml:space="preserve"> in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>class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>readings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>cases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>listed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 xml:space="preserve"> in </w:t>
            </w:r>
            <w:proofErr w:type="spellStart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>syllabus</w:t>
            </w:r>
            <w:proofErr w:type="spellEnd"/>
            <w:r w:rsidRPr="00722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eastAsia="hu-HU"/>
              </w:rPr>
              <w:t>.</w:t>
            </w:r>
          </w:p>
        </w:tc>
      </w:tr>
    </w:tbl>
    <w:p w14:paraId="211AE2AE" w14:textId="77777777" w:rsidR="00F03603" w:rsidRDefault="00F03603"/>
    <w:sectPr w:rsidR="008E1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8B4F" w14:textId="77777777" w:rsidR="00F03603" w:rsidRDefault="00F03603" w:rsidP="00722286">
      <w:pPr>
        <w:spacing w:after="0" w:line="240" w:lineRule="auto"/>
      </w:pPr>
      <w:r>
        <w:separator/>
      </w:r>
    </w:p>
  </w:endnote>
  <w:endnote w:type="continuationSeparator" w:id="0">
    <w:p w14:paraId="62B251A3" w14:textId="77777777" w:rsidR="00F03603" w:rsidRDefault="00F03603" w:rsidP="0072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A40B" w14:textId="77777777" w:rsidR="00722286" w:rsidRDefault="007222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D2B2" w14:textId="77777777" w:rsidR="00722286" w:rsidRDefault="0072228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6084" w14:textId="77777777" w:rsidR="00722286" w:rsidRDefault="007222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A9DA" w14:textId="77777777" w:rsidR="00F03603" w:rsidRDefault="00F03603" w:rsidP="00722286">
      <w:pPr>
        <w:spacing w:after="0" w:line="240" w:lineRule="auto"/>
      </w:pPr>
      <w:r>
        <w:separator/>
      </w:r>
    </w:p>
  </w:footnote>
  <w:footnote w:type="continuationSeparator" w:id="0">
    <w:p w14:paraId="23620ACD" w14:textId="77777777" w:rsidR="00F03603" w:rsidRDefault="00F03603" w:rsidP="0072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FF0A" w14:textId="77777777" w:rsidR="00722286" w:rsidRDefault="007222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7337" w14:textId="77777777" w:rsidR="00722286" w:rsidRDefault="00722286">
    <w:pPr>
      <w:pStyle w:val="lfej"/>
      <w:rPr>
        <w:rFonts w:ascii="Times New Roman" w:hAnsi="Times New Roman" w:cs="Times New Roman"/>
        <w:sz w:val="20"/>
        <w:szCs w:val="20"/>
      </w:rPr>
    </w:pPr>
  </w:p>
  <w:p w14:paraId="05B1D263" w14:textId="77777777" w:rsidR="00722286" w:rsidRDefault="00722286">
    <w:pPr>
      <w:pStyle w:val="lfej"/>
      <w:rPr>
        <w:rFonts w:ascii="Times New Roman" w:hAnsi="Times New Roman" w:cs="Times New Roman"/>
        <w:sz w:val="20"/>
        <w:szCs w:val="20"/>
      </w:rPr>
    </w:pPr>
  </w:p>
  <w:p w14:paraId="11E0C56F" w14:textId="77777777" w:rsidR="00722286" w:rsidRPr="00722286" w:rsidRDefault="00722286">
    <w:pPr>
      <w:pStyle w:val="lfej"/>
      <w:rPr>
        <w:rFonts w:ascii="Times New Roman" w:hAnsi="Times New Roman" w:cs="Times New Roman"/>
        <w:b/>
        <w:sz w:val="20"/>
        <w:szCs w:val="20"/>
      </w:rPr>
    </w:pPr>
    <w:proofErr w:type="spellStart"/>
    <w:r w:rsidRPr="00722286">
      <w:rPr>
        <w:rFonts w:ascii="Times New Roman" w:hAnsi="Times New Roman" w:cs="Times New Roman"/>
        <w:b/>
        <w:sz w:val="20"/>
        <w:szCs w:val="20"/>
      </w:rPr>
      <w:t>Course</w:t>
    </w:r>
    <w:proofErr w:type="spellEnd"/>
    <w:r w:rsidRPr="00722286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Pr="00722286">
      <w:rPr>
        <w:rFonts w:ascii="Times New Roman" w:hAnsi="Times New Roman" w:cs="Times New Roman"/>
        <w:b/>
        <w:sz w:val="20"/>
        <w:szCs w:val="20"/>
      </w:rPr>
      <w:t>description</w:t>
    </w:r>
    <w:proofErr w:type="spellEnd"/>
    <w:r w:rsidRPr="00722286">
      <w:rPr>
        <w:rFonts w:ascii="Times New Roman" w:hAnsi="Times New Roman" w:cs="Times New Roman"/>
        <w:b/>
        <w:sz w:val="20"/>
        <w:szCs w:val="20"/>
      </w:rPr>
      <w:t xml:space="preserve"> – JOPJ495XA0 </w:t>
    </w:r>
    <w:proofErr w:type="spellStart"/>
    <w:r w:rsidRPr="00722286">
      <w:rPr>
        <w:rFonts w:ascii="Times New Roman" w:hAnsi="Times New Roman" w:cs="Times New Roman"/>
        <w:b/>
        <w:sz w:val="20"/>
        <w:szCs w:val="20"/>
      </w:rPr>
      <w:t>Family</w:t>
    </w:r>
    <w:proofErr w:type="spellEnd"/>
    <w:r w:rsidRPr="00722286">
      <w:rPr>
        <w:rFonts w:ascii="Times New Roman" w:hAnsi="Times New Roman" w:cs="Times New Roman"/>
        <w:b/>
        <w:sz w:val="20"/>
        <w:szCs w:val="20"/>
      </w:rPr>
      <w:t xml:space="preserve"> and </w:t>
    </w:r>
    <w:proofErr w:type="spellStart"/>
    <w:r w:rsidRPr="00722286">
      <w:rPr>
        <w:rFonts w:ascii="Times New Roman" w:hAnsi="Times New Roman" w:cs="Times New Roman"/>
        <w:b/>
        <w:sz w:val="20"/>
        <w:szCs w:val="20"/>
      </w:rPr>
      <w:t>Fundamental</w:t>
    </w:r>
    <w:proofErr w:type="spellEnd"/>
    <w:r w:rsidRPr="00722286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Pr="00722286">
      <w:rPr>
        <w:rFonts w:ascii="Times New Roman" w:hAnsi="Times New Roman" w:cs="Times New Roman"/>
        <w:b/>
        <w:sz w:val="20"/>
        <w:szCs w:val="20"/>
      </w:rPr>
      <w:t>Rights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818C" w14:textId="77777777" w:rsidR="00722286" w:rsidRDefault="0072228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86"/>
    <w:rsid w:val="000054B9"/>
    <w:rsid w:val="003801D9"/>
    <w:rsid w:val="00722286"/>
    <w:rsid w:val="0085513E"/>
    <w:rsid w:val="00F03603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4FA9"/>
  <w15:chartTrackingRefBased/>
  <w15:docId w15:val="{115E339F-015D-473C-8FFF-7792AD2C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22286"/>
    <w:rPr>
      <w:strike w:val="0"/>
      <w:dstrike w:val="0"/>
      <w:color w:val="036EB6"/>
      <w:u w:val="none"/>
      <w:effect w:val="none"/>
    </w:rPr>
  </w:style>
  <w:style w:type="character" w:customStyle="1" w:styleId="tablerowname1">
    <w:name w:val="tablerowname1"/>
    <w:basedOn w:val="Bekezdsalapbettpusa"/>
    <w:rsid w:val="00722286"/>
    <w:rPr>
      <w:rFonts w:ascii="Verdana" w:hAnsi="Verdana" w:hint="default"/>
      <w:color w:val="4A4A4A"/>
      <w:sz w:val="17"/>
      <w:szCs w:val="17"/>
      <w:bdr w:val="none" w:sz="0" w:space="0" w:color="auto" w:frame="1"/>
      <w:shd w:val="clear" w:color="auto" w:fill="auto"/>
    </w:rPr>
  </w:style>
  <w:style w:type="character" w:customStyle="1" w:styleId="tablerowdata1">
    <w:name w:val="tablerowdata1"/>
    <w:basedOn w:val="Bekezdsalapbettpusa"/>
    <w:rsid w:val="00722286"/>
    <w:rPr>
      <w:rFonts w:ascii="Verdana" w:hAnsi="Verdana" w:hint="default"/>
      <w:b/>
      <w:bCs/>
      <w:color w:val="4A4A4A"/>
      <w:sz w:val="17"/>
      <w:szCs w:val="17"/>
      <w:shd w:val="clear" w:color="auto" w:fill="auto"/>
    </w:rPr>
  </w:style>
  <w:style w:type="paragraph" w:styleId="lfej">
    <w:name w:val="header"/>
    <w:basedOn w:val="Norml"/>
    <w:link w:val="lfejChar"/>
    <w:uiPriority w:val="99"/>
    <w:unhideWhenUsed/>
    <w:rsid w:val="0072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2286"/>
  </w:style>
  <w:style w:type="paragraph" w:styleId="llb">
    <w:name w:val="footer"/>
    <w:basedOn w:val="Norml"/>
    <w:link w:val="llbChar"/>
    <w:uiPriority w:val="99"/>
    <w:unhideWhenUsed/>
    <w:rsid w:val="0072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upFunction$h_addedsubjects$upModals$upmodal_subjectdata$ctl02$Subject_data1$upParent$tab$ctl01$upSubjectData$dtbBaseData2$ctl15','')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7744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Pollák Zsuzsanna Éva</dc:creator>
  <cp:keywords/>
  <dc:description/>
  <cp:lastModifiedBy>Pollák Zsuzsanna Éva</cp:lastModifiedBy>
  <cp:revision>2</cp:revision>
  <dcterms:created xsi:type="dcterms:W3CDTF">2026-04-29T11:52:00Z</dcterms:created>
  <dcterms:modified xsi:type="dcterms:W3CDTF">2026-04-29T11:52:00Z</dcterms:modified>
</cp:coreProperties>
</file>