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B22D" w14:textId="77777777" w:rsidR="008346DC" w:rsidRDefault="008346DC" w:rsidP="008346DC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8346DC">
        <w:rPr>
          <w:rFonts w:ascii="Times New Roman" w:hAnsi="Times New Roman" w:cs="Times New Roman"/>
          <w:b/>
          <w:sz w:val="44"/>
          <w:szCs w:val="44"/>
        </w:rPr>
        <w:t xml:space="preserve">Magyar jogtörténet </w:t>
      </w:r>
    </w:p>
    <w:p w14:paraId="2203A57B" w14:textId="60F0A67B" w:rsidR="00405FCB" w:rsidRPr="008346DC" w:rsidRDefault="008346DC" w:rsidP="008346DC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8346DC">
        <w:rPr>
          <w:rFonts w:ascii="Times New Roman" w:hAnsi="Times New Roman" w:cs="Times New Roman"/>
          <w:b/>
          <w:sz w:val="44"/>
          <w:szCs w:val="44"/>
        </w:rPr>
        <w:t>tételsor</w:t>
      </w:r>
      <w:proofErr w:type="gramEnd"/>
    </w:p>
    <w:p w14:paraId="2A3951C9" w14:textId="2CEC1737" w:rsidR="008346DC" w:rsidRPr="008346DC" w:rsidRDefault="008346DC" w:rsidP="008346DC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46DC">
        <w:rPr>
          <w:rFonts w:ascii="Times New Roman" w:hAnsi="Times New Roman" w:cs="Times New Roman"/>
          <w:b/>
          <w:sz w:val="44"/>
          <w:szCs w:val="44"/>
        </w:rPr>
        <w:t>2024/2025-ös tanév II. félév</w:t>
      </w:r>
    </w:p>
    <w:p w14:paraId="69A2AF8F" w14:textId="77777777" w:rsidR="008346DC" w:rsidRPr="008346DC" w:rsidRDefault="008346DC" w:rsidP="008346DC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8437451" w14:textId="19D1AB9E" w:rsidR="008346DC" w:rsidRPr="008346DC" w:rsidRDefault="008346DC" w:rsidP="008346DC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DC">
        <w:rPr>
          <w:rFonts w:ascii="Times New Roman" w:hAnsi="Times New Roman" w:cs="Times New Roman"/>
          <w:b/>
          <w:sz w:val="24"/>
          <w:szCs w:val="24"/>
        </w:rPr>
        <w:t>TANANYAG:</w:t>
      </w:r>
    </w:p>
    <w:p w14:paraId="791F112F" w14:textId="77777777" w:rsidR="008346DC" w:rsidRPr="008346DC" w:rsidRDefault="008346DC" w:rsidP="008346DC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46DC">
        <w:rPr>
          <w:rFonts w:ascii="Times New Roman" w:hAnsi="Times New Roman" w:cs="Times New Roman"/>
          <w:b/>
          <w:smallCaps/>
          <w:sz w:val="28"/>
          <w:szCs w:val="28"/>
        </w:rPr>
        <w:t>Völgyesi</w:t>
      </w:r>
      <w:proofErr w:type="spellEnd"/>
      <w:r w:rsidRPr="008346DC">
        <w:rPr>
          <w:rFonts w:ascii="Times New Roman" w:hAnsi="Times New Roman" w:cs="Times New Roman"/>
          <w:b/>
          <w:smallCaps/>
          <w:sz w:val="28"/>
          <w:szCs w:val="28"/>
        </w:rPr>
        <w:t xml:space="preserve"> Levente</w:t>
      </w:r>
      <w:r w:rsidRPr="008346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46DC">
        <w:rPr>
          <w:rFonts w:ascii="Times New Roman" w:hAnsi="Times New Roman" w:cs="Times New Roman"/>
          <w:b/>
          <w:i/>
          <w:sz w:val="28"/>
          <w:szCs w:val="28"/>
        </w:rPr>
        <w:t>Magyar jogtörténet</w:t>
      </w:r>
      <w:r w:rsidRPr="00834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C007E0" w14:textId="5D02560B" w:rsidR="008346DC" w:rsidRPr="008346DC" w:rsidRDefault="008346DC" w:rsidP="008346DC">
      <w:pPr>
        <w:spacing w:after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6D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346DC">
        <w:rPr>
          <w:rFonts w:ascii="Times New Roman" w:hAnsi="Times New Roman" w:cs="Times New Roman"/>
          <w:b/>
          <w:sz w:val="24"/>
          <w:szCs w:val="24"/>
        </w:rPr>
        <w:t>Neptun</w:t>
      </w:r>
      <w:proofErr w:type="spellEnd"/>
      <w:r w:rsidRPr="008346DC">
        <w:rPr>
          <w:rFonts w:ascii="Times New Roman" w:hAnsi="Times New Roman" w:cs="Times New Roman"/>
          <w:b/>
          <w:sz w:val="24"/>
          <w:szCs w:val="24"/>
        </w:rPr>
        <w:t xml:space="preserve"> üzenetben kiküldve)</w:t>
      </w:r>
    </w:p>
    <w:p w14:paraId="3DABDEBB" w14:textId="7A1EE1D0" w:rsidR="008346DC" w:rsidRPr="008346DC" w:rsidRDefault="008346DC" w:rsidP="008346DC">
      <w:pPr>
        <w:spacing w:after="0"/>
        <w:ind w:left="720" w:hanging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46DC">
        <w:rPr>
          <w:rFonts w:ascii="Times New Roman" w:hAnsi="Times New Roman" w:cs="Times New Roman"/>
          <w:i/>
          <w:sz w:val="24"/>
          <w:szCs w:val="24"/>
        </w:rPr>
        <w:t>(A tételek mögött szereplő oldalszámok erre vonatkoznak</w:t>
      </w:r>
      <w:r w:rsidR="00E95A6E">
        <w:rPr>
          <w:rFonts w:ascii="Times New Roman" w:hAnsi="Times New Roman" w:cs="Times New Roman"/>
          <w:i/>
          <w:sz w:val="24"/>
          <w:szCs w:val="24"/>
        </w:rPr>
        <w:t>.</w:t>
      </w:r>
      <w:r w:rsidRPr="008346DC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393773F1" w14:textId="77777777" w:rsidR="008346DC" w:rsidRPr="008346DC" w:rsidRDefault="008346DC" w:rsidP="008346DC">
      <w:pPr>
        <w:spacing w:after="0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6BDFB23D" w14:textId="62721D05" w:rsidR="0064233B" w:rsidRPr="00E95A6E" w:rsidRDefault="0064233B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Jogforrás típusok [11-13]</w:t>
      </w:r>
    </w:p>
    <w:p w14:paraId="6F1F39C2" w14:textId="005BD5AD" w:rsidR="0064233B" w:rsidRPr="00E95A6E" w:rsidRDefault="0064233B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Jogemlékek [14-18]</w:t>
      </w:r>
    </w:p>
    <w:p w14:paraId="7FE05720" w14:textId="27CA76E8" w:rsidR="0064233B" w:rsidRPr="00E95A6E" w:rsidRDefault="0064233B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 xml:space="preserve">A magyar jog megismerésének nyomtatott kiadványai [18-19]  </w:t>
      </w:r>
    </w:p>
    <w:p w14:paraId="1F3F04BA" w14:textId="7DF6CB40" w:rsidR="00946569" w:rsidRPr="00E95A6E" w:rsidRDefault="0094656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magyar magánjog korszakai és forrásai [21-25]</w:t>
      </w:r>
    </w:p>
    <w:p w14:paraId="74C7124F" w14:textId="3B1B3EA5" w:rsidR="00946569" w:rsidRPr="00E95A6E" w:rsidRDefault="0094656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természetes személyek jogalanyisága a rendi korban [26-29.]</w:t>
      </w:r>
    </w:p>
    <w:p w14:paraId="7F058BFD" w14:textId="3F1E6F32" w:rsidR="00946569" w:rsidRPr="00E95A6E" w:rsidRDefault="0094656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természetes személyek jogalanyisága 1848 után [29-31]</w:t>
      </w:r>
    </w:p>
    <w:p w14:paraId="4DE61C35" w14:textId="69CB386D" w:rsidR="00946569" w:rsidRPr="00E95A6E" w:rsidRDefault="0094656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jogi személyek [31-33]</w:t>
      </w:r>
    </w:p>
    <w:p w14:paraId="2DBD8126" w14:textId="5DAC6E95" w:rsidR="00946569" w:rsidRPr="00E95A6E" w:rsidRDefault="0094656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szellemi alkotások joga I.: a szerzői jog fejlődése [33-36]</w:t>
      </w:r>
    </w:p>
    <w:p w14:paraId="120B0A22" w14:textId="40420B9E" w:rsidR="00946569" w:rsidRPr="00E95A6E" w:rsidRDefault="0094656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szellemi alkotások joga II.: a szabadalmi jog fejlődése [36-41]</w:t>
      </w:r>
    </w:p>
    <w:p w14:paraId="0ED2C746" w14:textId="675CF8F1" w:rsidR="00946569" w:rsidRPr="00E95A6E" w:rsidRDefault="0094656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házasság személyi joghatásai [42-46]</w:t>
      </w:r>
    </w:p>
    <w:p w14:paraId="76D42BF2" w14:textId="4BA0800B" w:rsidR="00946569" w:rsidRPr="00E95A6E" w:rsidRDefault="0094656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házassági vagyonjog [46-47]</w:t>
      </w:r>
    </w:p>
    <w:p w14:paraId="62D039DF" w14:textId="4C7710F8" w:rsidR="00E5183B" w:rsidRPr="00E95A6E" w:rsidRDefault="00E5183B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rendi kor dologi joga [48-51]</w:t>
      </w:r>
    </w:p>
    <w:p w14:paraId="3E26A22A" w14:textId="62AF6D67" w:rsidR="00E5183B" w:rsidRPr="00E95A6E" w:rsidRDefault="00E5183B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dologi jog fejlődése 1848 után [51-54]</w:t>
      </w:r>
    </w:p>
    <w:p w14:paraId="4FA63841" w14:textId="291806EA" w:rsidR="000E7B9D" w:rsidRPr="00E95A6E" w:rsidRDefault="000E7B9D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kötelmi jog általános részének fejlődése</w:t>
      </w:r>
      <w:r w:rsidR="00406480" w:rsidRPr="00E95A6E">
        <w:rPr>
          <w:rFonts w:ascii="Times New Roman" w:hAnsi="Times New Roman" w:cs="Times New Roman"/>
          <w:sz w:val="26"/>
          <w:szCs w:val="26"/>
        </w:rPr>
        <w:t xml:space="preserve"> (a kártérítési jog és a jogalap nélküli gazdagodás kivételével)</w:t>
      </w:r>
      <w:r w:rsidRPr="00E95A6E">
        <w:rPr>
          <w:rFonts w:ascii="Times New Roman" w:hAnsi="Times New Roman" w:cs="Times New Roman"/>
          <w:sz w:val="26"/>
          <w:szCs w:val="26"/>
        </w:rPr>
        <w:t xml:space="preserve"> [55-59]</w:t>
      </w:r>
    </w:p>
    <w:p w14:paraId="502EA716" w14:textId="4AFB0AAE" w:rsidR="000E7B9D" w:rsidRPr="00E95A6E" w:rsidRDefault="000E7B9D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kártérítési jog és a jogalap nélküli gazdagodás [59-60]</w:t>
      </w:r>
    </w:p>
    <w:p w14:paraId="69DE115A" w14:textId="20AA58C5" w:rsidR="009C3157" w:rsidRPr="00E95A6E" w:rsidRDefault="009C3157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kötelmi jog különös részének fejlődése [</w:t>
      </w:r>
      <w:r w:rsidR="000E7B9D" w:rsidRPr="00E95A6E">
        <w:rPr>
          <w:rFonts w:ascii="Times New Roman" w:hAnsi="Times New Roman" w:cs="Times New Roman"/>
          <w:sz w:val="26"/>
          <w:szCs w:val="26"/>
        </w:rPr>
        <w:t>60-65</w:t>
      </w:r>
      <w:r w:rsidRPr="00E95A6E">
        <w:rPr>
          <w:rFonts w:ascii="Times New Roman" w:hAnsi="Times New Roman" w:cs="Times New Roman"/>
          <w:sz w:val="26"/>
          <w:szCs w:val="26"/>
        </w:rPr>
        <w:t>]</w:t>
      </w:r>
    </w:p>
    <w:p w14:paraId="19D455CE" w14:textId="186806EB" w:rsidR="00D05899" w:rsidRPr="00E95A6E" w:rsidRDefault="00D0589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Öröklési jogunk a rendi korban [66-69]</w:t>
      </w:r>
    </w:p>
    <w:p w14:paraId="2D1A7484" w14:textId="3EB8F657" w:rsidR="00D05899" w:rsidRPr="00E95A6E" w:rsidRDefault="00D05899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Öröklési jogunk a modern</w:t>
      </w:r>
      <w:r w:rsidR="00406480" w:rsidRPr="00E95A6E">
        <w:rPr>
          <w:rFonts w:ascii="Times New Roman" w:hAnsi="Times New Roman" w:cs="Times New Roman"/>
          <w:sz w:val="26"/>
          <w:szCs w:val="26"/>
        </w:rPr>
        <w:t xml:space="preserve"> korban</w:t>
      </w:r>
      <w:r w:rsidRPr="00E95A6E">
        <w:rPr>
          <w:rFonts w:ascii="Times New Roman" w:hAnsi="Times New Roman" w:cs="Times New Roman"/>
          <w:sz w:val="26"/>
          <w:szCs w:val="26"/>
        </w:rPr>
        <w:t xml:space="preserve"> és az államszocialista időszakban [69-71] </w:t>
      </w:r>
    </w:p>
    <w:p w14:paraId="35C21946" w14:textId="54ED426F" w:rsidR="00F44C2C" w:rsidRPr="00E95A6E" w:rsidRDefault="00F44C2C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kereskedelmi jog forrásai és alanyai [</w:t>
      </w:r>
      <w:r w:rsidR="00D05899" w:rsidRPr="00E95A6E">
        <w:rPr>
          <w:rFonts w:ascii="Times New Roman" w:hAnsi="Times New Roman" w:cs="Times New Roman"/>
          <w:sz w:val="26"/>
          <w:szCs w:val="26"/>
        </w:rPr>
        <w:t>72-77</w:t>
      </w:r>
      <w:r w:rsidRPr="00E95A6E">
        <w:rPr>
          <w:rFonts w:ascii="Times New Roman" w:hAnsi="Times New Roman" w:cs="Times New Roman"/>
          <w:sz w:val="26"/>
          <w:szCs w:val="26"/>
        </w:rPr>
        <w:t>]</w:t>
      </w:r>
    </w:p>
    <w:p w14:paraId="554E8FAC" w14:textId="46E832AF" w:rsidR="00F44C2C" w:rsidRPr="00E95A6E" w:rsidRDefault="00F44C2C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kereskedelmi ügyeletek [</w:t>
      </w:r>
      <w:r w:rsidR="00D05899" w:rsidRPr="00E95A6E">
        <w:rPr>
          <w:rFonts w:ascii="Times New Roman" w:hAnsi="Times New Roman" w:cs="Times New Roman"/>
          <w:sz w:val="26"/>
          <w:szCs w:val="26"/>
        </w:rPr>
        <w:t>77-83</w:t>
      </w:r>
      <w:r w:rsidRPr="00E95A6E">
        <w:rPr>
          <w:rFonts w:ascii="Times New Roman" w:hAnsi="Times New Roman" w:cs="Times New Roman"/>
          <w:sz w:val="26"/>
          <w:szCs w:val="26"/>
        </w:rPr>
        <w:t>]</w:t>
      </w:r>
    </w:p>
    <w:p w14:paraId="0BB1AD5E" w14:textId="1FCB4BBE" w:rsidR="00F44C2C" w:rsidRPr="00E95A6E" w:rsidRDefault="008346DC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Az értékpapírjog [83-89</w:t>
      </w:r>
      <w:r w:rsidR="00F44C2C" w:rsidRPr="00E95A6E">
        <w:rPr>
          <w:rFonts w:ascii="Times New Roman" w:hAnsi="Times New Roman" w:cs="Times New Roman"/>
          <w:sz w:val="26"/>
          <w:szCs w:val="26"/>
        </w:rPr>
        <w:t>]</w:t>
      </w:r>
    </w:p>
    <w:p w14:paraId="6812FB22" w14:textId="37BA934C" w:rsidR="00F44C2C" w:rsidRPr="00E95A6E" w:rsidRDefault="00F44C2C" w:rsidP="00F44C2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magyar büntetőjog fejlődésének korszakai [91-92., 93-101]</w:t>
      </w:r>
    </w:p>
    <w:p w14:paraId="3D75AC0A" w14:textId="734CDC95" w:rsidR="00BD4965" w:rsidRPr="00E95A6E" w:rsidRDefault="00BD4965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bűncselekmény súlya: bűntett, vétség kihágás (szabálysértés) [102-106.]</w:t>
      </w:r>
    </w:p>
    <w:p w14:paraId="75E7B3FE" w14:textId="19548B42" w:rsidR="00BD4965" w:rsidRPr="00E95A6E" w:rsidRDefault="00BD4965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 xml:space="preserve"> A bűncselekmény </w:t>
      </w:r>
      <w:proofErr w:type="gramStart"/>
      <w:r w:rsidRPr="00E95A6E">
        <w:rPr>
          <w:rFonts w:ascii="Times New Roman" w:hAnsi="Times New Roman" w:cs="Times New Roman"/>
          <w:sz w:val="26"/>
          <w:szCs w:val="26"/>
        </w:rPr>
        <w:t>stádiumai</w:t>
      </w:r>
      <w:proofErr w:type="gramEnd"/>
      <w:r w:rsidRPr="00E95A6E">
        <w:rPr>
          <w:rFonts w:ascii="Times New Roman" w:hAnsi="Times New Roman" w:cs="Times New Roman"/>
          <w:sz w:val="26"/>
          <w:szCs w:val="26"/>
        </w:rPr>
        <w:t>: előkészület, kísérlet, be</w:t>
      </w:r>
      <w:r w:rsidR="008346DC" w:rsidRPr="00E95A6E">
        <w:rPr>
          <w:rFonts w:ascii="Times New Roman" w:hAnsi="Times New Roman" w:cs="Times New Roman"/>
          <w:sz w:val="26"/>
          <w:szCs w:val="26"/>
        </w:rPr>
        <w:t>fejezett bűncselekmény [106-107</w:t>
      </w:r>
      <w:r w:rsidRPr="00E95A6E">
        <w:rPr>
          <w:rFonts w:ascii="Times New Roman" w:hAnsi="Times New Roman" w:cs="Times New Roman"/>
          <w:sz w:val="26"/>
          <w:szCs w:val="26"/>
        </w:rPr>
        <w:t>]</w:t>
      </w:r>
    </w:p>
    <w:p w14:paraId="348EA8A1" w14:textId="545DA653" w:rsidR="00BD4965" w:rsidRPr="00E95A6E" w:rsidRDefault="00BD4965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bűncselekmény elkövetői: tettesek és részesek [108-111.]</w:t>
      </w:r>
    </w:p>
    <w:p w14:paraId="5A32F3F3" w14:textId="524C9453" w:rsidR="005B231C" w:rsidRPr="00E95A6E" w:rsidRDefault="00BD4965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 xml:space="preserve">Az elkövetők bűnössége: szándékosság gondatlanság; Az eredményfelelősség, a rendi felelősség és a </w:t>
      </w:r>
      <w:proofErr w:type="gramStart"/>
      <w:r w:rsidRPr="00E95A6E">
        <w:rPr>
          <w:rFonts w:ascii="Times New Roman" w:hAnsi="Times New Roman" w:cs="Times New Roman"/>
          <w:sz w:val="26"/>
          <w:szCs w:val="26"/>
        </w:rPr>
        <w:t>kollektív</w:t>
      </w:r>
      <w:proofErr w:type="gramEnd"/>
      <w:r w:rsidRPr="00E95A6E">
        <w:rPr>
          <w:rFonts w:ascii="Times New Roman" w:hAnsi="Times New Roman" w:cs="Times New Roman"/>
          <w:sz w:val="26"/>
          <w:szCs w:val="26"/>
        </w:rPr>
        <w:t xml:space="preserve"> felelősség. [</w:t>
      </w:r>
      <w:r w:rsidR="008346DC" w:rsidRPr="00E95A6E">
        <w:rPr>
          <w:rFonts w:ascii="Times New Roman" w:hAnsi="Times New Roman" w:cs="Times New Roman"/>
          <w:sz w:val="26"/>
          <w:szCs w:val="26"/>
        </w:rPr>
        <w:t>111-114</w:t>
      </w:r>
      <w:r w:rsidR="005B231C" w:rsidRPr="00E95A6E">
        <w:rPr>
          <w:rFonts w:ascii="Times New Roman" w:hAnsi="Times New Roman" w:cs="Times New Roman"/>
          <w:sz w:val="26"/>
          <w:szCs w:val="26"/>
        </w:rPr>
        <w:t>]</w:t>
      </w:r>
    </w:p>
    <w:p w14:paraId="00CB93EB" w14:textId="4A76BA19" w:rsidR="005B231C" w:rsidRPr="00E95A6E" w:rsidRDefault="005B231C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beszámítást kizáró, vagy</w:t>
      </w:r>
      <w:r w:rsidR="008346DC" w:rsidRPr="00E95A6E">
        <w:rPr>
          <w:rFonts w:ascii="Times New Roman" w:hAnsi="Times New Roman" w:cs="Times New Roman"/>
          <w:sz w:val="26"/>
          <w:szCs w:val="26"/>
        </w:rPr>
        <w:t xml:space="preserve"> korlátozó körülmények [114-121</w:t>
      </w:r>
      <w:r w:rsidR="00BD4965" w:rsidRPr="00E95A6E">
        <w:rPr>
          <w:rFonts w:ascii="Times New Roman" w:hAnsi="Times New Roman" w:cs="Times New Roman"/>
          <w:sz w:val="26"/>
          <w:szCs w:val="26"/>
        </w:rPr>
        <w:t>]</w:t>
      </w:r>
    </w:p>
    <w:p w14:paraId="451C9AF0" w14:textId="499C8510" w:rsidR="005B231C" w:rsidRPr="00E95A6E" w:rsidRDefault="008346DC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büntetéstan [121-128</w:t>
      </w:r>
      <w:r w:rsidR="005B231C" w:rsidRPr="00E95A6E">
        <w:rPr>
          <w:rFonts w:ascii="Times New Roman" w:hAnsi="Times New Roman" w:cs="Times New Roman"/>
          <w:sz w:val="26"/>
          <w:szCs w:val="26"/>
        </w:rPr>
        <w:t>]</w:t>
      </w:r>
    </w:p>
    <w:p w14:paraId="4B2DCEE6" w14:textId="4A6F119E" w:rsidR="00405FCB" w:rsidRPr="00E95A6E" w:rsidRDefault="00405FCB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bűncselekménykategóriák alakulása a történelem folyamán [129-132]</w:t>
      </w:r>
    </w:p>
    <w:p w14:paraId="4242E8B6" w14:textId="77777777" w:rsidR="005B231C" w:rsidRPr="00E95A6E" w:rsidRDefault="005B231C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lastRenderedPageBreak/>
        <w:t>Az alkotmányos rend védelme [132-134]</w:t>
      </w:r>
    </w:p>
    <w:p w14:paraId="23EEB43B" w14:textId="77777777" w:rsidR="005B231C" w:rsidRPr="00E95A6E" w:rsidRDefault="005B231C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Az ember élete, testi épsége, egészsége elleni bűncselekmények [135-138]</w:t>
      </w:r>
    </w:p>
    <w:p w14:paraId="6E4268F8" w14:textId="67EF611F" w:rsidR="00BD4965" w:rsidRPr="00E95A6E" w:rsidRDefault="005B231C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vagyon elleni bűncselekmények [138-142]</w:t>
      </w:r>
    </w:p>
    <w:p w14:paraId="406285C3" w14:textId="3328E8B2" w:rsidR="005B231C" w:rsidRPr="00E95A6E" w:rsidRDefault="005B231C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közbizalom elleni bűncselekmények [</w:t>
      </w:r>
      <w:r w:rsidR="00405FCB" w:rsidRPr="00E95A6E">
        <w:rPr>
          <w:rFonts w:ascii="Times New Roman" w:hAnsi="Times New Roman" w:cs="Times New Roman"/>
          <w:sz w:val="26"/>
          <w:szCs w:val="26"/>
        </w:rPr>
        <w:t>142-146.</w:t>
      </w:r>
      <w:r w:rsidRPr="00E95A6E">
        <w:rPr>
          <w:rFonts w:ascii="Times New Roman" w:hAnsi="Times New Roman" w:cs="Times New Roman"/>
          <w:sz w:val="26"/>
          <w:szCs w:val="26"/>
        </w:rPr>
        <w:t>]</w:t>
      </w:r>
    </w:p>
    <w:p w14:paraId="5C309A4D" w14:textId="5791228F" w:rsidR="00E262A0" w:rsidRPr="00E95A6E" w:rsidRDefault="00B37856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magyar polgári eljárásjog korszakai és forrásai [149-151.]</w:t>
      </w:r>
    </w:p>
    <w:p w14:paraId="11FEDF45" w14:textId="56703B9A" w:rsidR="00626BBD" w:rsidRPr="00E95A6E" w:rsidRDefault="00626BBD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polgári peres eljárás fejlődése 19</w:t>
      </w:r>
      <w:r w:rsidR="00727D4D" w:rsidRPr="00E95A6E">
        <w:rPr>
          <w:rFonts w:ascii="Times New Roman" w:hAnsi="Times New Roman" w:cs="Times New Roman"/>
          <w:sz w:val="26"/>
          <w:szCs w:val="26"/>
        </w:rPr>
        <w:t>45</w:t>
      </w:r>
      <w:r w:rsidRPr="00E95A6E">
        <w:rPr>
          <w:rFonts w:ascii="Times New Roman" w:hAnsi="Times New Roman" w:cs="Times New Roman"/>
          <w:sz w:val="26"/>
          <w:szCs w:val="26"/>
        </w:rPr>
        <w:t>-ig</w:t>
      </w:r>
      <w:r w:rsidR="00BD4965" w:rsidRPr="00E95A6E">
        <w:rPr>
          <w:rFonts w:ascii="Times New Roman" w:hAnsi="Times New Roman" w:cs="Times New Roman"/>
          <w:sz w:val="26"/>
          <w:szCs w:val="26"/>
        </w:rPr>
        <w:t xml:space="preserve"> [152-157]</w:t>
      </w:r>
    </w:p>
    <w:p w14:paraId="6785666D" w14:textId="53AC0189" w:rsidR="00626BBD" w:rsidRPr="00E95A6E" w:rsidRDefault="00626BBD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polgári peres eljárás fejlődése 19</w:t>
      </w:r>
      <w:r w:rsidR="00727D4D" w:rsidRPr="00E95A6E">
        <w:rPr>
          <w:rFonts w:ascii="Times New Roman" w:hAnsi="Times New Roman" w:cs="Times New Roman"/>
          <w:sz w:val="26"/>
          <w:szCs w:val="26"/>
        </w:rPr>
        <w:t>45</w:t>
      </w:r>
      <w:r w:rsidRPr="00E95A6E">
        <w:rPr>
          <w:rFonts w:ascii="Times New Roman" w:hAnsi="Times New Roman" w:cs="Times New Roman"/>
          <w:sz w:val="26"/>
          <w:szCs w:val="26"/>
        </w:rPr>
        <w:t xml:space="preserve"> után és a jogorvoslatok</w:t>
      </w:r>
      <w:r w:rsidR="00727D4D" w:rsidRPr="00E95A6E">
        <w:rPr>
          <w:rFonts w:ascii="Times New Roman" w:hAnsi="Times New Roman" w:cs="Times New Roman"/>
          <w:sz w:val="26"/>
          <w:szCs w:val="26"/>
        </w:rPr>
        <w:t xml:space="preserve"> [</w:t>
      </w:r>
      <w:r w:rsidR="00BD4965" w:rsidRPr="00E95A6E">
        <w:rPr>
          <w:rFonts w:ascii="Times New Roman" w:hAnsi="Times New Roman" w:cs="Times New Roman"/>
          <w:sz w:val="26"/>
          <w:szCs w:val="26"/>
        </w:rPr>
        <w:t>157-162</w:t>
      </w:r>
      <w:r w:rsidR="00727D4D" w:rsidRPr="00E95A6E">
        <w:rPr>
          <w:rFonts w:ascii="Times New Roman" w:hAnsi="Times New Roman" w:cs="Times New Roman"/>
          <w:sz w:val="26"/>
          <w:szCs w:val="26"/>
        </w:rPr>
        <w:t>]</w:t>
      </w:r>
    </w:p>
    <w:p w14:paraId="4316D89D" w14:textId="5E80DAD2" w:rsidR="00D05899" w:rsidRPr="00E95A6E" w:rsidRDefault="00626BBD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polgári nem peres eljárások [163-168</w:t>
      </w:r>
      <w:r w:rsidR="00D05899" w:rsidRPr="00E95A6E">
        <w:rPr>
          <w:rFonts w:ascii="Times New Roman" w:hAnsi="Times New Roman" w:cs="Times New Roman"/>
          <w:sz w:val="26"/>
          <w:szCs w:val="26"/>
        </w:rPr>
        <w:t>]</w:t>
      </w:r>
    </w:p>
    <w:p w14:paraId="380451E0" w14:textId="7A7523E4" w:rsidR="00D05899" w:rsidRPr="00E95A6E" w:rsidRDefault="00D05899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 xml:space="preserve">Az </w:t>
      </w:r>
      <w:proofErr w:type="spellStart"/>
      <w:r w:rsidRPr="00E95A6E">
        <w:rPr>
          <w:rFonts w:ascii="Times New Roman" w:hAnsi="Times New Roman" w:cs="Times New Roman"/>
          <w:sz w:val="26"/>
          <w:szCs w:val="26"/>
        </w:rPr>
        <w:t>akkuzatórius</w:t>
      </w:r>
      <w:proofErr w:type="spellEnd"/>
      <w:r w:rsidRPr="00E95A6E">
        <w:rPr>
          <w:rFonts w:ascii="Times New Roman" w:hAnsi="Times New Roman" w:cs="Times New Roman"/>
          <w:sz w:val="26"/>
          <w:szCs w:val="26"/>
        </w:rPr>
        <w:t xml:space="preserve"> és az </w:t>
      </w:r>
      <w:proofErr w:type="spellStart"/>
      <w:r w:rsidRPr="00E95A6E">
        <w:rPr>
          <w:rFonts w:ascii="Times New Roman" w:hAnsi="Times New Roman" w:cs="Times New Roman"/>
          <w:sz w:val="26"/>
          <w:szCs w:val="26"/>
        </w:rPr>
        <w:t>inkvizitórius</w:t>
      </w:r>
      <w:proofErr w:type="spellEnd"/>
      <w:r w:rsidRPr="00E95A6E">
        <w:rPr>
          <w:rFonts w:ascii="Times New Roman" w:hAnsi="Times New Roman" w:cs="Times New Roman"/>
          <w:sz w:val="26"/>
          <w:szCs w:val="26"/>
        </w:rPr>
        <w:t xml:space="preserve"> büntetőper [173-174]</w:t>
      </w:r>
    </w:p>
    <w:p w14:paraId="59CBD6D7" w14:textId="4673EEF1" w:rsidR="00D05899" w:rsidRPr="00E95A6E" w:rsidRDefault="00D05899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 xml:space="preserve">A vegyes típusú büntetőeljárás </w:t>
      </w:r>
      <w:r w:rsidR="00E5183B" w:rsidRPr="00E95A6E">
        <w:rPr>
          <w:rFonts w:ascii="Times New Roman" w:hAnsi="Times New Roman" w:cs="Times New Roman"/>
          <w:sz w:val="26"/>
          <w:szCs w:val="26"/>
        </w:rPr>
        <w:t xml:space="preserve">alapelvei és perbeli szereplői </w:t>
      </w:r>
      <w:r w:rsidRPr="00E95A6E">
        <w:rPr>
          <w:rFonts w:ascii="Times New Roman" w:hAnsi="Times New Roman" w:cs="Times New Roman"/>
          <w:sz w:val="26"/>
          <w:szCs w:val="26"/>
        </w:rPr>
        <w:t>[174-1</w:t>
      </w:r>
      <w:r w:rsidR="00E5183B" w:rsidRPr="00E95A6E">
        <w:rPr>
          <w:rFonts w:ascii="Times New Roman" w:hAnsi="Times New Roman" w:cs="Times New Roman"/>
          <w:sz w:val="26"/>
          <w:szCs w:val="26"/>
        </w:rPr>
        <w:t>77</w:t>
      </w:r>
      <w:r w:rsidRPr="00E95A6E">
        <w:rPr>
          <w:rFonts w:ascii="Times New Roman" w:hAnsi="Times New Roman" w:cs="Times New Roman"/>
          <w:sz w:val="26"/>
          <w:szCs w:val="26"/>
        </w:rPr>
        <w:t>]</w:t>
      </w:r>
    </w:p>
    <w:p w14:paraId="213E9648" w14:textId="1AE9A9C0" w:rsidR="00626BBD" w:rsidRPr="00E95A6E" w:rsidRDefault="00E5183B" w:rsidP="00B378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vegyes típusú büntetőeljárás dinamikája [177-180]</w:t>
      </w:r>
    </w:p>
    <w:p w14:paraId="5BF261C2" w14:textId="60D61E0A" w:rsidR="00E5183B" w:rsidRPr="00E95A6E" w:rsidRDefault="00E5183B" w:rsidP="00E5183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büntetőeljárás 1945 utáni fejlődése és a jogorvoslati rendszere [180-186]</w:t>
      </w:r>
    </w:p>
    <w:p w14:paraId="1163F8E3" w14:textId="4E3CC139" w:rsidR="00E5183B" w:rsidRPr="00E95A6E" w:rsidRDefault="00E5183B" w:rsidP="00E5183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>A büntetésvégrehajtás fejlődéstörténete [186-191]</w:t>
      </w:r>
    </w:p>
    <w:p w14:paraId="68BE4933" w14:textId="668E34BC" w:rsidR="00E5183B" w:rsidRPr="00E95A6E" w:rsidRDefault="00E5183B" w:rsidP="00E5183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5A6E">
        <w:rPr>
          <w:rFonts w:ascii="Times New Roman" w:hAnsi="Times New Roman" w:cs="Times New Roman"/>
          <w:sz w:val="26"/>
          <w:szCs w:val="26"/>
        </w:rPr>
        <w:t xml:space="preserve">A büntetésvégrehajtás felügyelete és igazgatása, személyi állománya. Rabsegélyezés és lelki gondozás. A fiatalkorúakra vonatkozó </w:t>
      </w:r>
      <w:proofErr w:type="gramStart"/>
      <w:r w:rsidRPr="00E95A6E">
        <w:rPr>
          <w:rFonts w:ascii="Times New Roman" w:hAnsi="Times New Roman" w:cs="Times New Roman"/>
          <w:sz w:val="26"/>
          <w:szCs w:val="26"/>
        </w:rPr>
        <w:t>speciális</w:t>
      </w:r>
      <w:proofErr w:type="gramEnd"/>
      <w:r w:rsidRPr="00E95A6E">
        <w:rPr>
          <w:rFonts w:ascii="Times New Roman" w:hAnsi="Times New Roman" w:cs="Times New Roman"/>
          <w:sz w:val="26"/>
          <w:szCs w:val="26"/>
        </w:rPr>
        <w:t xml:space="preserve"> rendelkezések. [191-194] </w:t>
      </w:r>
    </w:p>
    <w:sectPr w:rsidR="00E5183B" w:rsidRPr="00E9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73D07"/>
    <w:multiLevelType w:val="hybridMultilevel"/>
    <w:tmpl w:val="3E06D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02"/>
    <w:rsid w:val="000E7B9D"/>
    <w:rsid w:val="00126385"/>
    <w:rsid w:val="001640D9"/>
    <w:rsid w:val="002436F2"/>
    <w:rsid w:val="0039705C"/>
    <w:rsid w:val="003D49CE"/>
    <w:rsid w:val="00405FCB"/>
    <w:rsid w:val="00406480"/>
    <w:rsid w:val="0045715C"/>
    <w:rsid w:val="00516BCA"/>
    <w:rsid w:val="005B231C"/>
    <w:rsid w:val="00626BBD"/>
    <w:rsid w:val="0064233B"/>
    <w:rsid w:val="00727D4D"/>
    <w:rsid w:val="008346DC"/>
    <w:rsid w:val="00946569"/>
    <w:rsid w:val="009C3157"/>
    <w:rsid w:val="00A414F5"/>
    <w:rsid w:val="00AB6DDA"/>
    <w:rsid w:val="00B37856"/>
    <w:rsid w:val="00BD4965"/>
    <w:rsid w:val="00BF2802"/>
    <w:rsid w:val="00C35C25"/>
    <w:rsid w:val="00D05899"/>
    <w:rsid w:val="00D60B3C"/>
    <w:rsid w:val="00DE5AA5"/>
    <w:rsid w:val="00E262A0"/>
    <w:rsid w:val="00E5183B"/>
    <w:rsid w:val="00E95A6E"/>
    <w:rsid w:val="00F119B7"/>
    <w:rsid w:val="00F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387E"/>
  <w15:chartTrackingRefBased/>
  <w15:docId w15:val="{4D32AC63-B8CD-4C47-92CF-131002F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2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2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2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2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2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2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2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2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2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2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2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280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280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280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280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280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280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2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2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2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280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280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280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2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280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2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4FDF-5550-4956-8803-2CD5F39A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</dc:creator>
  <cp:keywords/>
  <dc:description/>
  <cp:lastModifiedBy>Körmendy Renáta</cp:lastModifiedBy>
  <cp:revision>2</cp:revision>
  <dcterms:created xsi:type="dcterms:W3CDTF">2025-02-19T11:23:00Z</dcterms:created>
  <dcterms:modified xsi:type="dcterms:W3CDTF">2025-02-19T11:23:00Z</dcterms:modified>
</cp:coreProperties>
</file>