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D323D" w14:textId="77777777" w:rsidR="00326523" w:rsidRDefault="00E71B11" w:rsidP="00BB6682">
      <w:pPr>
        <w:jc w:val="center"/>
        <w:rPr>
          <w:b/>
          <w:bCs/>
          <w:sz w:val="24"/>
          <w:szCs w:val="24"/>
        </w:rPr>
      </w:pPr>
      <w:r>
        <w:rPr>
          <w:b/>
          <w:bCs/>
          <w:sz w:val="24"/>
          <w:szCs w:val="24"/>
        </w:rPr>
        <w:t>Munkajog</w:t>
      </w:r>
      <w:r w:rsidR="00326523">
        <w:rPr>
          <w:b/>
          <w:bCs/>
          <w:sz w:val="24"/>
          <w:szCs w:val="24"/>
        </w:rPr>
        <w:t xml:space="preserve"> </w:t>
      </w:r>
      <w:r w:rsidR="00BB6682">
        <w:rPr>
          <w:b/>
          <w:bCs/>
          <w:sz w:val="24"/>
          <w:szCs w:val="24"/>
        </w:rPr>
        <w:t>– PPKE JÁK – igazságügyi igazgatás</w:t>
      </w:r>
      <w:r w:rsidR="00A12C83">
        <w:rPr>
          <w:b/>
          <w:bCs/>
          <w:sz w:val="24"/>
          <w:szCs w:val="24"/>
        </w:rPr>
        <w:t xml:space="preserve"> szak</w:t>
      </w:r>
    </w:p>
    <w:p w14:paraId="7F0D4E6F" w14:textId="77777777" w:rsidR="00BB6682" w:rsidRDefault="00BB6682">
      <w:pPr>
        <w:rPr>
          <w:b/>
          <w:bCs/>
          <w:u w:val="single"/>
        </w:rPr>
      </w:pPr>
    </w:p>
    <w:p w14:paraId="3C86F754" w14:textId="77777777" w:rsidR="009422AB" w:rsidRPr="001F5F24" w:rsidRDefault="009422AB">
      <w:pPr>
        <w:rPr>
          <w:b/>
          <w:bCs/>
          <w:u w:val="single"/>
        </w:rPr>
      </w:pPr>
      <w:r w:rsidRPr="001F5F24">
        <w:rPr>
          <w:b/>
          <w:bCs/>
          <w:u w:val="single"/>
        </w:rPr>
        <w:t>Tárgyleírás:</w:t>
      </w:r>
    </w:p>
    <w:p w14:paraId="20CB26DC" w14:textId="77777777" w:rsidR="00DA5F7C" w:rsidRDefault="009422AB" w:rsidP="000223FE">
      <w:pPr>
        <w:jc w:val="both"/>
      </w:pPr>
      <w:r>
        <w:t xml:space="preserve">Szűkebb értelemben véve a munkajog két nagy részre, egyéni és kollektív munkajogra osztható. Az egyéni munkajogi szabályokon belül a következő témakörökkel foglalkozunk részletesen: alapvető munkajogi fogalmak (munkáltató, munkavállaló, munkaviszony); a munkajog fő részei és jogforrási rendszere; általános rendelkezések, a munkaviszony létesítésére és módosítására, valamint megszüntetésére vonatkozó szabályok. Részletesen bemutatjuk a munkáltató és munkavállaló kötelezettségeire, a munkaidőre és munkabérrel vonatkozó alapvető munkajogi rendelkezéseket.  Kitérünk a munkajogi felelősségi rendszer ismertetésére is. Megismerkedünk az ún. atipikus munkaviszonyokra vonatkozó szabályokkal. Az individuális munkajogi szabályok után a kollektív munkajog jogintézményeit tekintjük át, így szó lesz a szakszervezetekről, az üzemi tanácsokról és a kollektív megállapodásokról. </w:t>
      </w:r>
    </w:p>
    <w:p w14:paraId="2C9E9B7E" w14:textId="77777777" w:rsidR="009422AB" w:rsidRPr="00711AED" w:rsidRDefault="009422AB">
      <w:pPr>
        <w:rPr>
          <w:b/>
          <w:bCs/>
          <w:u w:val="single"/>
        </w:rPr>
      </w:pPr>
      <w:r w:rsidRPr="00711AED">
        <w:rPr>
          <w:b/>
          <w:bCs/>
          <w:u w:val="single"/>
        </w:rPr>
        <w:t>T</w:t>
      </w:r>
      <w:r w:rsidR="00A66991" w:rsidRPr="00711AED">
        <w:rPr>
          <w:b/>
          <w:bCs/>
          <w:u w:val="single"/>
        </w:rPr>
        <w:t>ematika, nappali: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717"/>
      </w:tblGrid>
      <w:tr w:rsidR="009422AB" w:rsidRPr="00245D6E" w14:paraId="37D1D6DA" w14:textId="77777777" w:rsidTr="00412369">
        <w:trPr>
          <w:trHeight w:hRule="exact" w:val="340"/>
        </w:trPr>
        <w:tc>
          <w:tcPr>
            <w:tcW w:w="675" w:type="dxa"/>
          </w:tcPr>
          <w:p w14:paraId="5BBFF4E2" w14:textId="77777777" w:rsidR="009422AB" w:rsidRPr="00245D6E" w:rsidRDefault="00412369" w:rsidP="00652506">
            <w:pPr>
              <w:spacing w:line="360" w:lineRule="auto"/>
            </w:pPr>
            <w:r>
              <w:t>1.</w:t>
            </w:r>
          </w:p>
        </w:tc>
        <w:tc>
          <w:tcPr>
            <w:tcW w:w="6717" w:type="dxa"/>
          </w:tcPr>
          <w:p w14:paraId="6E226036" w14:textId="77777777" w:rsidR="009422AB" w:rsidRPr="00245D6E" w:rsidRDefault="009422AB" w:rsidP="00DA5F7C">
            <w:pPr>
              <w:spacing w:line="360" w:lineRule="auto"/>
            </w:pPr>
            <w:r w:rsidRPr="00245D6E">
              <w:t>Bevezetés,</w:t>
            </w:r>
            <w:r w:rsidR="00271D4C">
              <w:t xml:space="preserve"> a munkaviszony sajá</w:t>
            </w:r>
            <w:r w:rsidR="00DA5F7C">
              <w:t>tosságai</w:t>
            </w:r>
          </w:p>
        </w:tc>
      </w:tr>
      <w:tr w:rsidR="009422AB" w:rsidRPr="00245D6E" w14:paraId="5415B360" w14:textId="77777777" w:rsidTr="00412369">
        <w:trPr>
          <w:trHeight w:hRule="exact" w:val="340"/>
        </w:trPr>
        <w:tc>
          <w:tcPr>
            <w:tcW w:w="675" w:type="dxa"/>
          </w:tcPr>
          <w:p w14:paraId="082C3DF1" w14:textId="77777777" w:rsidR="009422AB" w:rsidRPr="00245D6E" w:rsidRDefault="00412369" w:rsidP="00652506">
            <w:pPr>
              <w:spacing w:line="360" w:lineRule="auto"/>
            </w:pPr>
            <w:r>
              <w:t>2.</w:t>
            </w:r>
          </w:p>
        </w:tc>
        <w:tc>
          <w:tcPr>
            <w:tcW w:w="6717" w:type="dxa"/>
          </w:tcPr>
          <w:p w14:paraId="24510ABD" w14:textId="77777777" w:rsidR="009422AB" w:rsidRPr="00245D6E" w:rsidRDefault="00DA5F7C" w:rsidP="006E709C">
            <w:pPr>
              <w:spacing w:line="360" w:lineRule="auto"/>
            </w:pPr>
            <w:r>
              <w:t>Általános rendelkezések, alapelvek, jogforrási hierarchia</w:t>
            </w:r>
          </w:p>
        </w:tc>
      </w:tr>
      <w:tr w:rsidR="009422AB" w:rsidRPr="00245D6E" w14:paraId="0D84DAB4" w14:textId="77777777" w:rsidTr="00412369">
        <w:trPr>
          <w:trHeight w:hRule="exact" w:val="340"/>
        </w:trPr>
        <w:tc>
          <w:tcPr>
            <w:tcW w:w="675" w:type="dxa"/>
          </w:tcPr>
          <w:p w14:paraId="5F8F44FC" w14:textId="77777777" w:rsidR="009422AB" w:rsidRPr="00245D6E" w:rsidRDefault="00412369" w:rsidP="00652506">
            <w:pPr>
              <w:spacing w:line="360" w:lineRule="auto"/>
            </w:pPr>
            <w:r>
              <w:t>3.</w:t>
            </w:r>
          </w:p>
        </w:tc>
        <w:tc>
          <w:tcPr>
            <w:tcW w:w="6717" w:type="dxa"/>
          </w:tcPr>
          <w:p w14:paraId="165672F5" w14:textId="77777777" w:rsidR="009422AB" w:rsidRPr="00245D6E" w:rsidRDefault="00DA5F7C" w:rsidP="00DA5F7C">
            <w:pPr>
              <w:spacing w:line="360" w:lineRule="auto"/>
            </w:pPr>
            <w:r w:rsidRPr="00245D6E">
              <w:t>A munkaviszony létesítése</w:t>
            </w:r>
            <w:r w:rsidRPr="00245D6E">
              <w:rPr>
                <w:vanish/>
              </w:rPr>
              <w:t xml:space="preserve"> qa munkajog alapelvei a hallgatók képet alkothatnak az Európai Unió munkajogi jogalkotásá</w:t>
            </w:r>
          </w:p>
        </w:tc>
      </w:tr>
      <w:tr w:rsidR="009422AB" w:rsidRPr="00245D6E" w14:paraId="56E47AD5" w14:textId="77777777" w:rsidTr="00412369">
        <w:trPr>
          <w:trHeight w:hRule="exact" w:val="340"/>
        </w:trPr>
        <w:tc>
          <w:tcPr>
            <w:tcW w:w="675" w:type="dxa"/>
          </w:tcPr>
          <w:p w14:paraId="3CC6D99F" w14:textId="77777777" w:rsidR="009422AB" w:rsidRPr="00245D6E" w:rsidRDefault="00412369" w:rsidP="00652506">
            <w:pPr>
              <w:spacing w:line="360" w:lineRule="auto"/>
            </w:pPr>
            <w:r>
              <w:t>4.</w:t>
            </w:r>
          </w:p>
        </w:tc>
        <w:tc>
          <w:tcPr>
            <w:tcW w:w="6717" w:type="dxa"/>
          </w:tcPr>
          <w:p w14:paraId="33978560" w14:textId="77777777" w:rsidR="009422AB" w:rsidRPr="00245D6E" w:rsidRDefault="00DA5F7C" w:rsidP="007F0446">
            <w:pPr>
              <w:spacing w:line="360" w:lineRule="auto"/>
            </w:pPr>
            <w:r>
              <w:t>A munkaviszony módosítása</w:t>
            </w:r>
          </w:p>
        </w:tc>
      </w:tr>
      <w:tr w:rsidR="009422AB" w:rsidRPr="00245D6E" w14:paraId="3A110514" w14:textId="77777777" w:rsidTr="00412369">
        <w:trPr>
          <w:trHeight w:hRule="exact" w:val="340"/>
        </w:trPr>
        <w:tc>
          <w:tcPr>
            <w:tcW w:w="675" w:type="dxa"/>
          </w:tcPr>
          <w:p w14:paraId="164917BF" w14:textId="77777777" w:rsidR="009422AB" w:rsidRPr="00245D6E" w:rsidRDefault="00412369" w:rsidP="00652506">
            <w:pPr>
              <w:spacing w:line="360" w:lineRule="auto"/>
            </w:pPr>
            <w:r>
              <w:t>5.</w:t>
            </w:r>
          </w:p>
        </w:tc>
        <w:tc>
          <w:tcPr>
            <w:tcW w:w="6717" w:type="dxa"/>
          </w:tcPr>
          <w:p w14:paraId="0D20B01D" w14:textId="77777777" w:rsidR="009422AB" w:rsidRPr="00245D6E" w:rsidRDefault="00DA5F7C" w:rsidP="007F0446">
            <w:pPr>
              <w:spacing w:line="360" w:lineRule="auto"/>
            </w:pPr>
            <w:r w:rsidRPr="00245D6E">
              <w:t>A munkaviszony megszűnése és megszüntetése 1</w:t>
            </w:r>
            <w:r>
              <w:t>.</w:t>
            </w:r>
          </w:p>
        </w:tc>
      </w:tr>
      <w:tr w:rsidR="009422AB" w:rsidRPr="00245D6E" w14:paraId="26EF6832" w14:textId="77777777" w:rsidTr="00412369">
        <w:trPr>
          <w:trHeight w:hRule="exact" w:val="340"/>
        </w:trPr>
        <w:tc>
          <w:tcPr>
            <w:tcW w:w="675" w:type="dxa"/>
          </w:tcPr>
          <w:p w14:paraId="39FCA11D" w14:textId="77777777" w:rsidR="009422AB" w:rsidRPr="00245D6E" w:rsidRDefault="00412369" w:rsidP="00652506">
            <w:pPr>
              <w:spacing w:line="360" w:lineRule="auto"/>
            </w:pPr>
            <w:r>
              <w:t>6.</w:t>
            </w:r>
          </w:p>
        </w:tc>
        <w:tc>
          <w:tcPr>
            <w:tcW w:w="6717" w:type="dxa"/>
          </w:tcPr>
          <w:p w14:paraId="2BBDAF00" w14:textId="77777777" w:rsidR="009422AB" w:rsidRPr="00245D6E" w:rsidRDefault="00DA5F7C" w:rsidP="006E709C">
            <w:pPr>
              <w:spacing w:line="360" w:lineRule="auto"/>
            </w:pPr>
            <w:r w:rsidRPr="00245D6E">
              <w:t>A munkaviszony megszűnése és megszüntetése 2.</w:t>
            </w:r>
          </w:p>
        </w:tc>
      </w:tr>
      <w:tr w:rsidR="009422AB" w:rsidRPr="00245D6E" w14:paraId="229BE73B" w14:textId="77777777" w:rsidTr="00412369">
        <w:trPr>
          <w:trHeight w:hRule="exact" w:val="340"/>
        </w:trPr>
        <w:tc>
          <w:tcPr>
            <w:tcW w:w="675" w:type="dxa"/>
          </w:tcPr>
          <w:p w14:paraId="497D0DCC" w14:textId="77777777" w:rsidR="009422AB" w:rsidRPr="00245D6E" w:rsidRDefault="00412369" w:rsidP="00652506">
            <w:pPr>
              <w:spacing w:line="360" w:lineRule="auto"/>
            </w:pPr>
            <w:r>
              <w:t>7.</w:t>
            </w:r>
          </w:p>
        </w:tc>
        <w:tc>
          <w:tcPr>
            <w:tcW w:w="6717" w:type="dxa"/>
          </w:tcPr>
          <w:p w14:paraId="5D871776" w14:textId="77777777" w:rsidR="009422AB" w:rsidRPr="00245D6E" w:rsidRDefault="00DA5F7C" w:rsidP="006E709C">
            <w:pPr>
              <w:spacing w:line="360" w:lineRule="auto"/>
            </w:pPr>
            <w:r w:rsidRPr="00245D6E">
              <w:t>A munkaviszony tartalma, a munkaidő</w:t>
            </w:r>
          </w:p>
        </w:tc>
      </w:tr>
      <w:tr w:rsidR="009422AB" w:rsidRPr="00245D6E" w14:paraId="124FCFAB" w14:textId="77777777" w:rsidTr="00412369">
        <w:trPr>
          <w:trHeight w:hRule="exact" w:val="340"/>
        </w:trPr>
        <w:tc>
          <w:tcPr>
            <w:tcW w:w="675" w:type="dxa"/>
          </w:tcPr>
          <w:p w14:paraId="52028259" w14:textId="77777777" w:rsidR="009422AB" w:rsidRPr="00245D6E" w:rsidRDefault="00412369" w:rsidP="00652506">
            <w:pPr>
              <w:spacing w:line="360" w:lineRule="auto"/>
            </w:pPr>
            <w:r>
              <w:t>8.</w:t>
            </w:r>
          </w:p>
        </w:tc>
        <w:tc>
          <w:tcPr>
            <w:tcW w:w="6717" w:type="dxa"/>
          </w:tcPr>
          <w:p w14:paraId="454F67D9" w14:textId="77777777" w:rsidR="009422AB" w:rsidRPr="00245D6E" w:rsidRDefault="00DA5F7C" w:rsidP="00B2427A">
            <w:pPr>
              <w:spacing w:line="360" w:lineRule="auto"/>
            </w:pPr>
            <w:r w:rsidRPr="00245D6E">
              <w:t>A munkaviszony tartalma, a munkabér</w:t>
            </w:r>
          </w:p>
        </w:tc>
      </w:tr>
      <w:tr w:rsidR="009422AB" w:rsidRPr="00245D6E" w14:paraId="57E79C2E" w14:textId="77777777" w:rsidTr="00412369">
        <w:trPr>
          <w:trHeight w:hRule="exact" w:val="340"/>
        </w:trPr>
        <w:tc>
          <w:tcPr>
            <w:tcW w:w="675" w:type="dxa"/>
          </w:tcPr>
          <w:p w14:paraId="1ADE92D0" w14:textId="77777777" w:rsidR="009422AB" w:rsidRPr="00245D6E" w:rsidRDefault="00412369" w:rsidP="00652506">
            <w:pPr>
              <w:spacing w:line="360" w:lineRule="auto"/>
            </w:pPr>
            <w:r>
              <w:t>9.</w:t>
            </w:r>
          </w:p>
        </w:tc>
        <w:tc>
          <w:tcPr>
            <w:tcW w:w="6717" w:type="dxa"/>
          </w:tcPr>
          <w:p w14:paraId="67B2F82C" w14:textId="77777777" w:rsidR="009422AB" w:rsidRPr="00245D6E" w:rsidRDefault="00DA5F7C" w:rsidP="007F0446">
            <w:pPr>
              <w:spacing w:line="360" w:lineRule="auto"/>
            </w:pPr>
            <w:r w:rsidRPr="00245D6E">
              <w:t>A munkajogi felelősségi rendszer</w:t>
            </w:r>
          </w:p>
        </w:tc>
      </w:tr>
      <w:tr w:rsidR="009422AB" w:rsidRPr="00245D6E" w14:paraId="1651868D" w14:textId="77777777" w:rsidTr="00412369">
        <w:trPr>
          <w:trHeight w:hRule="exact" w:val="340"/>
        </w:trPr>
        <w:tc>
          <w:tcPr>
            <w:tcW w:w="675" w:type="dxa"/>
          </w:tcPr>
          <w:p w14:paraId="6B5F75A3" w14:textId="77777777" w:rsidR="009422AB" w:rsidRPr="00245D6E" w:rsidRDefault="00412369" w:rsidP="00652506">
            <w:pPr>
              <w:spacing w:line="360" w:lineRule="auto"/>
            </w:pPr>
            <w:r>
              <w:t>10.</w:t>
            </w:r>
          </w:p>
        </w:tc>
        <w:tc>
          <w:tcPr>
            <w:tcW w:w="6717" w:type="dxa"/>
          </w:tcPr>
          <w:p w14:paraId="4830E1C1" w14:textId="77777777" w:rsidR="009422AB" w:rsidRPr="00245D6E" w:rsidRDefault="00DA5F7C" w:rsidP="006E709C">
            <w:pPr>
              <w:spacing w:line="360" w:lineRule="auto"/>
            </w:pPr>
            <w:r w:rsidRPr="00245D6E">
              <w:t>Az atipikus munkaviszonyok</w:t>
            </w:r>
          </w:p>
        </w:tc>
      </w:tr>
      <w:tr w:rsidR="009422AB" w:rsidRPr="00245D6E" w14:paraId="717E7419" w14:textId="77777777" w:rsidTr="00412369">
        <w:trPr>
          <w:trHeight w:hRule="exact" w:val="340"/>
        </w:trPr>
        <w:tc>
          <w:tcPr>
            <w:tcW w:w="675" w:type="dxa"/>
          </w:tcPr>
          <w:p w14:paraId="50A3961B" w14:textId="77777777" w:rsidR="009422AB" w:rsidRPr="00245D6E" w:rsidRDefault="00412369" w:rsidP="00652506">
            <w:pPr>
              <w:spacing w:line="360" w:lineRule="auto"/>
            </w:pPr>
            <w:r>
              <w:t>11.</w:t>
            </w:r>
          </w:p>
        </w:tc>
        <w:tc>
          <w:tcPr>
            <w:tcW w:w="6717" w:type="dxa"/>
          </w:tcPr>
          <w:p w14:paraId="2EC25D35" w14:textId="77777777" w:rsidR="009422AB" w:rsidRPr="00245D6E" w:rsidRDefault="00DA5F7C" w:rsidP="00DA5F7C">
            <w:pPr>
              <w:spacing w:line="360" w:lineRule="auto"/>
            </w:pPr>
            <w:r w:rsidRPr="00245D6E">
              <w:t>Bevezetés a kollektív munkajogba</w:t>
            </w:r>
          </w:p>
        </w:tc>
      </w:tr>
      <w:tr w:rsidR="009422AB" w:rsidRPr="00245D6E" w14:paraId="20D9F95C" w14:textId="77777777" w:rsidTr="00412369">
        <w:trPr>
          <w:trHeight w:hRule="exact" w:val="340"/>
        </w:trPr>
        <w:tc>
          <w:tcPr>
            <w:tcW w:w="675" w:type="dxa"/>
          </w:tcPr>
          <w:p w14:paraId="1B38C59E" w14:textId="77777777" w:rsidR="009422AB" w:rsidRPr="00245D6E" w:rsidRDefault="00412369" w:rsidP="00652506">
            <w:pPr>
              <w:spacing w:line="360" w:lineRule="auto"/>
            </w:pPr>
            <w:r>
              <w:t>12.</w:t>
            </w:r>
          </w:p>
        </w:tc>
        <w:tc>
          <w:tcPr>
            <w:tcW w:w="6717" w:type="dxa"/>
          </w:tcPr>
          <w:p w14:paraId="6C01EC7A" w14:textId="77777777" w:rsidR="009422AB" w:rsidRPr="00245D6E" w:rsidRDefault="00DA5F7C" w:rsidP="006E709C">
            <w:pPr>
              <w:spacing w:line="360" w:lineRule="auto"/>
            </w:pPr>
            <w:r>
              <w:t>Munkaügyi viták</w:t>
            </w:r>
          </w:p>
        </w:tc>
      </w:tr>
      <w:tr w:rsidR="00DA5F7C" w:rsidRPr="00245D6E" w14:paraId="418C27C9" w14:textId="77777777" w:rsidTr="00412369">
        <w:trPr>
          <w:trHeight w:hRule="exact" w:val="340"/>
        </w:trPr>
        <w:tc>
          <w:tcPr>
            <w:tcW w:w="675" w:type="dxa"/>
          </w:tcPr>
          <w:p w14:paraId="65400DC5" w14:textId="77777777" w:rsidR="00DA5F7C" w:rsidRPr="00245D6E" w:rsidRDefault="00412369" w:rsidP="00652506">
            <w:pPr>
              <w:spacing w:line="360" w:lineRule="auto"/>
            </w:pPr>
            <w:r>
              <w:t>13.</w:t>
            </w:r>
          </w:p>
        </w:tc>
        <w:tc>
          <w:tcPr>
            <w:tcW w:w="6717" w:type="dxa"/>
          </w:tcPr>
          <w:p w14:paraId="655D261E" w14:textId="77777777" w:rsidR="00DA5F7C" w:rsidRPr="00245D6E" w:rsidRDefault="00DA5F7C" w:rsidP="006A212E">
            <w:pPr>
              <w:spacing w:line="360" w:lineRule="auto"/>
            </w:pPr>
            <w:r w:rsidRPr="00245D6E">
              <w:t>Vizsgafelkészítés, konzultáció</w:t>
            </w:r>
          </w:p>
        </w:tc>
      </w:tr>
    </w:tbl>
    <w:p w14:paraId="38DF3086" w14:textId="77777777" w:rsidR="00A66991" w:rsidRDefault="00A66991">
      <w:pPr>
        <w:spacing w:after="0" w:line="240" w:lineRule="auto"/>
      </w:pPr>
    </w:p>
    <w:p w14:paraId="65554ABC" w14:textId="77777777" w:rsidR="00652506" w:rsidRDefault="00652506" w:rsidP="00652506">
      <w:pPr>
        <w:rPr>
          <w:b/>
          <w:bCs/>
          <w:u w:val="single"/>
        </w:rPr>
      </w:pPr>
    </w:p>
    <w:p w14:paraId="14210822" w14:textId="77777777" w:rsidR="00652506" w:rsidRPr="00711AED" w:rsidRDefault="00652506" w:rsidP="00652506">
      <w:pPr>
        <w:rPr>
          <w:b/>
          <w:bCs/>
          <w:u w:val="single"/>
        </w:rPr>
      </w:pPr>
      <w:r w:rsidRPr="00711AED">
        <w:rPr>
          <w:b/>
          <w:bCs/>
          <w:u w:val="single"/>
        </w:rPr>
        <w:t xml:space="preserve">Tematika, </w:t>
      </w:r>
      <w:r>
        <w:rPr>
          <w:b/>
          <w:bCs/>
          <w:u w:val="single"/>
        </w:rPr>
        <w:t>levelező</w:t>
      </w:r>
      <w:r w:rsidRPr="00711AED">
        <w:rPr>
          <w:b/>
          <w:bCs/>
          <w:u w:val="single"/>
        </w:rPr>
        <w:t>:</w:t>
      </w:r>
    </w:p>
    <w:p w14:paraId="5241C12A" w14:textId="77777777" w:rsidR="00652506" w:rsidRDefault="00652506">
      <w:pPr>
        <w:spacing w:after="0" w:line="240"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8505"/>
      </w:tblGrid>
      <w:tr w:rsidR="00652506" w:rsidRPr="009C6ECE" w14:paraId="38BF22D5" w14:textId="77777777" w:rsidTr="00412369">
        <w:tc>
          <w:tcPr>
            <w:tcW w:w="567" w:type="dxa"/>
          </w:tcPr>
          <w:p w14:paraId="3F9C46AB" w14:textId="77777777" w:rsidR="00652506" w:rsidRPr="009C6ECE" w:rsidRDefault="00412369" w:rsidP="00652506">
            <w:pPr>
              <w:jc w:val="both"/>
              <w:rPr>
                <w:rFonts w:ascii="Arial" w:hAnsi="Arial" w:cs="Arial"/>
                <w:sz w:val="20"/>
                <w:szCs w:val="20"/>
              </w:rPr>
            </w:pPr>
            <w:r>
              <w:rPr>
                <w:rFonts w:ascii="Arial" w:hAnsi="Arial" w:cs="Arial"/>
                <w:sz w:val="20"/>
                <w:szCs w:val="20"/>
              </w:rPr>
              <w:t>1.</w:t>
            </w:r>
          </w:p>
        </w:tc>
        <w:tc>
          <w:tcPr>
            <w:tcW w:w="8505" w:type="dxa"/>
          </w:tcPr>
          <w:p w14:paraId="694FE2DD" w14:textId="77777777" w:rsidR="00652506" w:rsidRPr="00652506" w:rsidRDefault="00652506" w:rsidP="00484803">
            <w:pPr>
              <w:jc w:val="both"/>
              <w:rPr>
                <w:rFonts w:ascii="Arial" w:hAnsi="Arial" w:cs="Arial"/>
                <w:sz w:val="20"/>
                <w:szCs w:val="20"/>
              </w:rPr>
            </w:pPr>
            <w:r w:rsidRPr="00652506">
              <w:rPr>
                <w:rFonts w:ascii="Arial" w:hAnsi="Arial" w:cs="Arial"/>
                <w:sz w:val="20"/>
                <w:szCs w:val="20"/>
              </w:rPr>
              <w:t>A munkajog fogalma, tárgya, forrásai, alapelvei. A munkaviszony létesítése és módosítása.</w:t>
            </w:r>
          </w:p>
        </w:tc>
      </w:tr>
      <w:tr w:rsidR="00652506" w:rsidRPr="009C6ECE" w14:paraId="07EB7372" w14:textId="77777777" w:rsidTr="00412369">
        <w:tc>
          <w:tcPr>
            <w:tcW w:w="567" w:type="dxa"/>
          </w:tcPr>
          <w:p w14:paraId="17A82A76" w14:textId="77777777" w:rsidR="00652506" w:rsidRPr="009C6ECE" w:rsidRDefault="00412369" w:rsidP="00484803">
            <w:pPr>
              <w:jc w:val="both"/>
              <w:rPr>
                <w:rFonts w:ascii="Arial" w:hAnsi="Arial" w:cs="Arial"/>
                <w:sz w:val="20"/>
                <w:szCs w:val="20"/>
              </w:rPr>
            </w:pPr>
            <w:r>
              <w:rPr>
                <w:rFonts w:ascii="Arial" w:hAnsi="Arial" w:cs="Arial"/>
                <w:sz w:val="20"/>
                <w:szCs w:val="20"/>
              </w:rPr>
              <w:t>2.</w:t>
            </w:r>
          </w:p>
        </w:tc>
        <w:tc>
          <w:tcPr>
            <w:tcW w:w="8505" w:type="dxa"/>
          </w:tcPr>
          <w:p w14:paraId="2971A59E" w14:textId="77777777" w:rsidR="00652506" w:rsidRPr="00652506" w:rsidRDefault="00652506" w:rsidP="00484803">
            <w:pPr>
              <w:jc w:val="both"/>
              <w:rPr>
                <w:rFonts w:ascii="Arial" w:hAnsi="Arial" w:cs="Arial"/>
                <w:sz w:val="20"/>
                <w:szCs w:val="20"/>
              </w:rPr>
            </w:pPr>
            <w:r w:rsidRPr="00652506">
              <w:rPr>
                <w:rFonts w:ascii="Arial" w:hAnsi="Arial" w:cs="Arial"/>
                <w:sz w:val="20"/>
                <w:szCs w:val="20"/>
              </w:rPr>
              <w:t>A munkaviszony megszűnése és megszüntetése.</w:t>
            </w:r>
          </w:p>
        </w:tc>
      </w:tr>
      <w:tr w:rsidR="00652506" w:rsidRPr="009C6ECE" w14:paraId="16E92FE4" w14:textId="77777777" w:rsidTr="00412369">
        <w:tc>
          <w:tcPr>
            <w:tcW w:w="567" w:type="dxa"/>
          </w:tcPr>
          <w:p w14:paraId="6EB8961B" w14:textId="77777777" w:rsidR="00652506" w:rsidRPr="009C6ECE" w:rsidRDefault="00412369" w:rsidP="00652506">
            <w:pPr>
              <w:jc w:val="both"/>
              <w:rPr>
                <w:rFonts w:ascii="Arial" w:hAnsi="Arial" w:cs="Arial"/>
                <w:sz w:val="20"/>
                <w:szCs w:val="20"/>
              </w:rPr>
            </w:pPr>
            <w:r>
              <w:rPr>
                <w:rFonts w:ascii="Arial" w:hAnsi="Arial" w:cs="Arial"/>
                <w:sz w:val="20"/>
                <w:szCs w:val="20"/>
              </w:rPr>
              <w:t>3.</w:t>
            </w:r>
          </w:p>
        </w:tc>
        <w:tc>
          <w:tcPr>
            <w:tcW w:w="8505" w:type="dxa"/>
          </w:tcPr>
          <w:p w14:paraId="3A6384C4" w14:textId="77777777" w:rsidR="00652506" w:rsidRPr="00652506" w:rsidRDefault="00652506" w:rsidP="00484803">
            <w:pPr>
              <w:jc w:val="both"/>
              <w:rPr>
                <w:rFonts w:ascii="Arial" w:hAnsi="Arial" w:cs="Arial"/>
                <w:sz w:val="20"/>
                <w:szCs w:val="20"/>
              </w:rPr>
            </w:pPr>
            <w:r w:rsidRPr="00652506">
              <w:rPr>
                <w:rFonts w:ascii="Arial" w:hAnsi="Arial" w:cs="Arial"/>
                <w:sz w:val="20"/>
                <w:szCs w:val="20"/>
              </w:rPr>
              <w:t xml:space="preserve">A munkaviszony tartalma; </w:t>
            </w:r>
            <w:r>
              <w:rPr>
                <w:rFonts w:ascii="Arial" w:hAnsi="Arial" w:cs="Arial"/>
                <w:sz w:val="20"/>
                <w:szCs w:val="20"/>
              </w:rPr>
              <w:t>a munkaidő és a munkabér. Kárfelelősség a munkaviszonyban.</w:t>
            </w:r>
          </w:p>
        </w:tc>
      </w:tr>
      <w:tr w:rsidR="00652506" w:rsidRPr="009C6ECE" w14:paraId="15509C86" w14:textId="77777777" w:rsidTr="00412369">
        <w:tc>
          <w:tcPr>
            <w:tcW w:w="567" w:type="dxa"/>
          </w:tcPr>
          <w:p w14:paraId="0ADF0BC2" w14:textId="77777777" w:rsidR="00652506" w:rsidRPr="009C6ECE" w:rsidRDefault="00412369" w:rsidP="00484803">
            <w:pPr>
              <w:jc w:val="both"/>
              <w:rPr>
                <w:rFonts w:ascii="Arial" w:hAnsi="Arial" w:cs="Arial"/>
                <w:sz w:val="20"/>
                <w:szCs w:val="20"/>
              </w:rPr>
            </w:pPr>
            <w:r>
              <w:rPr>
                <w:rFonts w:ascii="Arial" w:hAnsi="Arial" w:cs="Arial"/>
                <w:sz w:val="20"/>
                <w:szCs w:val="20"/>
              </w:rPr>
              <w:t>4.</w:t>
            </w:r>
          </w:p>
        </w:tc>
        <w:tc>
          <w:tcPr>
            <w:tcW w:w="8505" w:type="dxa"/>
          </w:tcPr>
          <w:p w14:paraId="29D2C15C" w14:textId="77777777" w:rsidR="00652506" w:rsidRPr="009C6ECE" w:rsidRDefault="00652506" w:rsidP="00484803">
            <w:pPr>
              <w:jc w:val="both"/>
              <w:rPr>
                <w:rFonts w:ascii="Arial" w:hAnsi="Arial" w:cs="Arial"/>
                <w:sz w:val="20"/>
                <w:szCs w:val="20"/>
              </w:rPr>
            </w:pPr>
            <w:r w:rsidRPr="009C6ECE">
              <w:rPr>
                <w:rFonts w:ascii="Arial" w:hAnsi="Arial" w:cs="Arial"/>
                <w:sz w:val="20"/>
                <w:szCs w:val="20"/>
              </w:rPr>
              <w:t xml:space="preserve">Bevezetés a </w:t>
            </w:r>
            <w:r w:rsidRPr="008B105F">
              <w:rPr>
                <w:rFonts w:ascii="Arial" w:hAnsi="Arial" w:cs="Arial"/>
                <w:sz w:val="20"/>
                <w:szCs w:val="20"/>
              </w:rPr>
              <w:t>kollektív munkajogba</w:t>
            </w:r>
            <w:r>
              <w:rPr>
                <w:rFonts w:ascii="Arial" w:hAnsi="Arial" w:cs="Arial"/>
                <w:sz w:val="20"/>
                <w:szCs w:val="20"/>
              </w:rPr>
              <w:t>. Atipikus munkaviszonyok, munkajogi viták.</w:t>
            </w:r>
          </w:p>
        </w:tc>
      </w:tr>
    </w:tbl>
    <w:p w14:paraId="509179B3" w14:textId="77777777" w:rsidR="00652506" w:rsidRDefault="00652506">
      <w:pPr>
        <w:spacing w:after="0" w:line="240" w:lineRule="auto"/>
      </w:pPr>
    </w:p>
    <w:p w14:paraId="77F6AAA1" w14:textId="77777777" w:rsidR="00652506" w:rsidRDefault="00652506">
      <w:pPr>
        <w:spacing w:after="0" w:line="240" w:lineRule="auto"/>
      </w:pPr>
    </w:p>
    <w:p w14:paraId="4CFCE430" w14:textId="77777777" w:rsidR="005228DE" w:rsidRPr="005228DE" w:rsidRDefault="005228DE" w:rsidP="005228DE">
      <w:pPr>
        <w:spacing w:after="0" w:line="240" w:lineRule="auto"/>
        <w:jc w:val="both"/>
        <w:rPr>
          <w:rFonts w:asciiTheme="minorHAnsi" w:hAnsiTheme="minorHAnsi" w:cstheme="minorHAnsi"/>
          <w:b/>
          <w:sz w:val="24"/>
          <w:szCs w:val="24"/>
          <w:u w:val="single"/>
        </w:rPr>
      </w:pPr>
      <w:r w:rsidRPr="005228DE">
        <w:rPr>
          <w:rFonts w:asciiTheme="minorHAnsi" w:hAnsiTheme="minorHAnsi" w:cstheme="minorHAnsi"/>
          <w:b/>
          <w:sz w:val="24"/>
          <w:szCs w:val="24"/>
          <w:u w:val="single"/>
        </w:rPr>
        <w:lastRenderedPageBreak/>
        <w:t>Számonkérés formája:</w:t>
      </w:r>
    </w:p>
    <w:p w14:paraId="1CCAEF77" w14:textId="77777777" w:rsidR="005228DE" w:rsidRPr="005228DE" w:rsidRDefault="005228DE" w:rsidP="005228DE">
      <w:pPr>
        <w:spacing w:after="0" w:line="240" w:lineRule="auto"/>
        <w:jc w:val="both"/>
        <w:rPr>
          <w:rFonts w:asciiTheme="minorHAnsi" w:hAnsiTheme="minorHAnsi" w:cstheme="minorHAnsi"/>
          <w:sz w:val="24"/>
          <w:szCs w:val="24"/>
        </w:rPr>
      </w:pPr>
      <w:r w:rsidRPr="005228DE">
        <w:rPr>
          <w:rFonts w:asciiTheme="minorHAnsi" w:hAnsiTheme="minorHAnsi" w:cstheme="minorHAnsi"/>
          <w:sz w:val="24"/>
          <w:szCs w:val="24"/>
        </w:rPr>
        <w:t>Írásbeli vizsga tesztkérdésekkel és rövid kifejtő kérdésekkel (pl. fogalom-meghatározások, felsorolások).</w:t>
      </w:r>
    </w:p>
    <w:p w14:paraId="30515C88" w14:textId="77777777" w:rsidR="005228DE" w:rsidRPr="005228DE" w:rsidRDefault="005228DE" w:rsidP="005228DE">
      <w:pPr>
        <w:spacing w:after="0" w:line="240" w:lineRule="auto"/>
        <w:jc w:val="both"/>
        <w:rPr>
          <w:rFonts w:asciiTheme="minorHAnsi" w:hAnsiTheme="minorHAnsi" w:cstheme="minorHAnsi"/>
          <w:sz w:val="24"/>
          <w:szCs w:val="24"/>
        </w:rPr>
      </w:pPr>
    </w:p>
    <w:p w14:paraId="3C579F01" w14:textId="77777777" w:rsidR="005228DE" w:rsidRPr="005228DE" w:rsidRDefault="005228DE" w:rsidP="005228DE">
      <w:pPr>
        <w:spacing w:after="0" w:line="240" w:lineRule="auto"/>
        <w:jc w:val="both"/>
        <w:rPr>
          <w:rFonts w:asciiTheme="minorHAnsi" w:hAnsiTheme="minorHAnsi" w:cstheme="minorHAnsi"/>
          <w:b/>
          <w:sz w:val="24"/>
          <w:szCs w:val="24"/>
          <w:u w:val="single"/>
        </w:rPr>
      </w:pPr>
      <w:r w:rsidRPr="005228DE">
        <w:rPr>
          <w:rFonts w:asciiTheme="minorHAnsi" w:hAnsiTheme="minorHAnsi" w:cstheme="minorHAnsi"/>
          <w:b/>
          <w:sz w:val="24"/>
          <w:szCs w:val="24"/>
          <w:u w:val="single"/>
        </w:rPr>
        <w:t xml:space="preserve">Tananyag: </w:t>
      </w:r>
    </w:p>
    <w:p w14:paraId="087BBBCA" w14:textId="77777777" w:rsidR="005228DE" w:rsidRPr="005228DE" w:rsidRDefault="005228DE" w:rsidP="005228DE">
      <w:pPr>
        <w:spacing w:after="0" w:line="240" w:lineRule="auto"/>
        <w:jc w:val="both"/>
        <w:rPr>
          <w:rFonts w:asciiTheme="minorHAnsi" w:hAnsiTheme="minorHAnsi" w:cstheme="minorHAnsi"/>
          <w:sz w:val="24"/>
          <w:szCs w:val="24"/>
        </w:rPr>
      </w:pPr>
      <w:r w:rsidRPr="005228DE">
        <w:rPr>
          <w:rFonts w:asciiTheme="minorHAnsi" w:hAnsiTheme="minorHAnsi" w:cstheme="minorHAnsi"/>
          <w:sz w:val="24"/>
          <w:szCs w:val="24"/>
        </w:rPr>
        <w:t>Az előadásokon elhangzottak.</w:t>
      </w:r>
    </w:p>
    <w:p w14:paraId="0DDFE05E" w14:textId="03307E7C" w:rsidR="005228DE" w:rsidRPr="005228DE" w:rsidRDefault="005228DE" w:rsidP="005228DE">
      <w:pPr>
        <w:spacing w:after="0" w:line="240" w:lineRule="auto"/>
        <w:jc w:val="both"/>
        <w:rPr>
          <w:rFonts w:asciiTheme="minorHAnsi" w:hAnsiTheme="minorHAnsi" w:cstheme="minorHAnsi"/>
          <w:sz w:val="24"/>
          <w:szCs w:val="24"/>
        </w:rPr>
      </w:pPr>
      <w:r w:rsidRPr="005228DE">
        <w:rPr>
          <w:rFonts w:asciiTheme="minorHAnsi" w:hAnsiTheme="minorHAnsi" w:cstheme="minorHAnsi"/>
          <w:sz w:val="24"/>
          <w:szCs w:val="24"/>
        </w:rPr>
        <w:t xml:space="preserve">Ferencz-Göndör-Gyulavári-Kártyás: </w:t>
      </w:r>
      <w:r w:rsidRPr="005228DE">
        <w:rPr>
          <w:rFonts w:asciiTheme="minorHAnsi" w:hAnsiTheme="minorHAnsi" w:cstheme="minorHAnsi"/>
          <w:i/>
          <w:sz w:val="24"/>
          <w:szCs w:val="24"/>
        </w:rPr>
        <w:t>Munkajogi Alapismeretek</w:t>
      </w:r>
      <w:r w:rsidRPr="005228DE">
        <w:rPr>
          <w:rFonts w:asciiTheme="minorHAnsi" w:hAnsiTheme="minorHAnsi" w:cstheme="minorHAnsi"/>
          <w:sz w:val="24"/>
          <w:szCs w:val="24"/>
        </w:rPr>
        <w:t xml:space="preserve">, Eötvös Kiadó, </w:t>
      </w:r>
      <w:r w:rsidR="000223FE">
        <w:rPr>
          <w:rFonts w:asciiTheme="minorHAnsi" w:hAnsiTheme="minorHAnsi" w:cstheme="minorHAnsi"/>
          <w:sz w:val="24"/>
          <w:szCs w:val="24"/>
        </w:rPr>
        <w:t>202</w:t>
      </w:r>
      <w:r w:rsidR="00925034">
        <w:rPr>
          <w:rFonts w:asciiTheme="minorHAnsi" w:hAnsiTheme="minorHAnsi" w:cstheme="minorHAnsi"/>
          <w:sz w:val="24"/>
          <w:szCs w:val="24"/>
        </w:rPr>
        <w:t>4</w:t>
      </w:r>
      <w:r w:rsidRPr="005228DE">
        <w:rPr>
          <w:rFonts w:asciiTheme="minorHAnsi" w:hAnsiTheme="minorHAnsi" w:cstheme="minorHAnsi"/>
          <w:sz w:val="24"/>
          <w:szCs w:val="24"/>
        </w:rPr>
        <w:t xml:space="preserve"> </w:t>
      </w:r>
    </w:p>
    <w:p w14:paraId="60AF4186" w14:textId="77777777" w:rsidR="009A4784" w:rsidRDefault="009A4784">
      <w:pPr>
        <w:spacing w:after="0" w:line="240" w:lineRule="auto"/>
        <w:rPr>
          <w:rFonts w:asciiTheme="minorHAnsi" w:hAnsiTheme="minorHAnsi" w:cstheme="minorHAnsi"/>
        </w:rPr>
      </w:pPr>
    </w:p>
    <w:p w14:paraId="3E71A78B" w14:textId="77777777" w:rsidR="000223FE" w:rsidRDefault="000223FE">
      <w:pPr>
        <w:spacing w:after="0" w:line="240" w:lineRule="auto"/>
        <w:rPr>
          <w:rFonts w:asciiTheme="minorHAnsi" w:hAnsiTheme="minorHAnsi" w:cstheme="minorHAnsi"/>
        </w:rPr>
      </w:pPr>
    </w:p>
    <w:p w14:paraId="29354E9F" w14:textId="77777777" w:rsidR="000223FE" w:rsidRDefault="000223FE">
      <w:pPr>
        <w:spacing w:after="0" w:line="240" w:lineRule="auto"/>
        <w:rPr>
          <w:rFonts w:asciiTheme="minorHAnsi" w:hAnsiTheme="minorHAnsi" w:cstheme="minorHAnsi"/>
        </w:rPr>
      </w:pPr>
    </w:p>
    <w:p w14:paraId="7D15FC67" w14:textId="77777777" w:rsidR="000223FE" w:rsidRPr="000223FE" w:rsidRDefault="000223FE">
      <w:pPr>
        <w:spacing w:after="0" w:line="240" w:lineRule="auto"/>
        <w:rPr>
          <w:rFonts w:asciiTheme="minorHAnsi" w:hAnsiTheme="minorHAnsi" w:cstheme="minorHAnsi"/>
          <w:i/>
        </w:rPr>
      </w:pPr>
      <w:r w:rsidRPr="000223FE">
        <w:rPr>
          <w:rFonts w:asciiTheme="minorHAnsi" w:hAnsiTheme="minorHAnsi" w:cstheme="minorHAnsi"/>
          <w:i/>
        </w:rPr>
        <w:t>(English version)</w:t>
      </w:r>
    </w:p>
    <w:p w14:paraId="4F810908" w14:textId="77777777" w:rsidR="000223FE" w:rsidRDefault="000223FE">
      <w:pPr>
        <w:spacing w:after="0" w:line="240" w:lineRule="auto"/>
        <w:rPr>
          <w:rFonts w:asciiTheme="minorHAnsi" w:hAnsiTheme="minorHAnsi" w:cstheme="minorHAnsi"/>
        </w:rPr>
      </w:pPr>
    </w:p>
    <w:p w14:paraId="24445D70" w14:textId="77777777" w:rsidR="009A4784" w:rsidRPr="00E34788" w:rsidRDefault="009A4784" w:rsidP="009A4784">
      <w:pPr>
        <w:rPr>
          <w:b/>
          <w:u w:val="single"/>
          <w:lang w:val="en-GB"/>
        </w:rPr>
      </w:pPr>
      <w:r w:rsidRPr="00E34788">
        <w:rPr>
          <w:b/>
          <w:u w:val="single"/>
          <w:lang w:val="en-GB"/>
        </w:rPr>
        <w:t xml:space="preserve">Course description </w:t>
      </w:r>
    </w:p>
    <w:p w14:paraId="6DC149E2" w14:textId="77777777" w:rsidR="00A66991" w:rsidRDefault="009A4784" w:rsidP="000223FE">
      <w:pPr>
        <w:jc w:val="both"/>
        <w:rPr>
          <w:lang w:val="en-GB"/>
        </w:rPr>
      </w:pPr>
      <w:r>
        <w:rPr>
          <w:lang w:val="en-GB"/>
        </w:rPr>
        <w:t xml:space="preserve">Labour law can be divided into two major fields: individual and collective labour law. As for the individual aspects, the course focuses on basic definitions (employer, employee, employment relationship), parts and resources of labour law, general provisions, rules on the commencement, amendment and termination of the employment relationship. We assess in details the parties’ rights and obligations, the provisions on working time and pay. We also examine the legal responsibilities of the parties. The course gives an overview of the main forms of atypical employment. After the assessment of individual labour law, students can explore the collective aspects, namely trade unions, employee participation and collective agreements. </w:t>
      </w:r>
    </w:p>
    <w:p w14:paraId="2B3C45C9" w14:textId="77777777" w:rsidR="009A4784" w:rsidRDefault="009A4784" w:rsidP="009A4784">
      <w:pPr>
        <w:rPr>
          <w:b/>
          <w:bCs/>
          <w:u w:val="single"/>
          <w:lang w:val="en-GB"/>
        </w:rPr>
      </w:pPr>
      <w:r w:rsidRPr="00E34788">
        <w:rPr>
          <w:b/>
          <w:bCs/>
          <w:u w:val="single"/>
          <w:lang w:val="en-GB"/>
        </w:rPr>
        <w:t>Agenda</w:t>
      </w:r>
      <w:r>
        <w:rPr>
          <w:b/>
          <w:bCs/>
          <w:u w:val="single"/>
          <w:lang w:val="en-GB"/>
        </w:rPr>
        <w:t xml:space="preserve"> (full time students)</w:t>
      </w:r>
      <w:r w:rsidRPr="00E34788">
        <w:rPr>
          <w:b/>
          <w:bCs/>
          <w:u w:val="single"/>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gridCol w:w="7000"/>
      </w:tblGrid>
      <w:tr w:rsidR="00652506" w:rsidRPr="009A4784" w14:paraId="380D1620" w14:textId="77777777" w:rsidTr="00412369">
        <w:trPr>
          <w:trHeight w:hRule="exact" w:val="340"/>
        </w:trPr>
        <w:tc>
          <w:tcPr>
            <w:tcW w:w="392" w:type="dxa"/>
          </w:tcPr>
          <w:p w14:paraId="424DEC0A" w14:textId="77777777" w:rsidR="00652506" w:rsidRPr="00245D6E" w:rsidRDefault="00652506" w:rsidP="00484803">
            <w:pPr>
              <w:spacing w:line="360" w:lineRule="auto"/>
            </w:pPr>
          </w:p>
        </w:tc>
        <w:tc>
          <w:tcPr>
            <w:tcW w:w="7000" w:type="dxa"/>
          </w:tcPr>
          <w:p w14:paraId="42650211" w14:textId="77777777" w:rsidR="00652506" w:rsidRPr="009A4784" w:rsidRDefault="00652506" w:rsidP="009A4784">
            <w:pPr>
              <w:spacing w:line="360" w:lineRule="auto"/>
              <w:rPr>
                <w:lang w:val="en-GB"/>
              </w:rPr>
            </w:pPr>
            <w:r w:rsidRPr="009A4784">
              <w:rPr>
                <w:lang w:val="en-GB"/>
              </w:rPr>
              <w:t>Introduction</w:t>
            </w:r>
          </w:p>
        </w:tc>
      </w:tr>
      <w:tr w:rsidR="00652506" w:rsidRPr="009A4784" w14:paraId="0F64A0EB" w14:textId="77777777" w:rsidTr="00412369">
        <w:trPr>
          <w:trHeight w:hRule="exact" w:val="340"/>
        </w:trPr>
        <w:tc>
          <w:tcPr>
            <w:tcW w:w="392" w:type="dxa"/>
          </w:tcPr>
          <w:p w14:paraId="69169C32" w14:textId="77777777" w:rsidR="00652506" w:rsidRPr="00245D6E" w:rsidRDefault="00652506" w:rsidP="00484803">
            <w:pPr>
              <w:spacing w:line="360" w:lineRule="auto"/>
            </w:pPr>
          </w:p>
        </w:tc>
        <w:tc>
          <w:tcPr>
            <w:tcW w:w="7000" w:type="dxa"/>
          </w:tcPr>
          <w:p w14:paraId="23730A73" w14:textId="77777777" w:rsidR="00652506" w:rsidRPr="009A4784" w:rsidRDefault="00652506" w:rsidP="006A212E">
            <w:pPr>
              <w:spacing w:line="360" w:lineRule="auto"/>
              <w:rPr>
                <w:lang w:val="en-GB"/>
              </w:rPr>
            </w:pPr>
            <w:r w:rsidRPr="009A4784">
              <w:rPr>
                <w:lang w:val="en-GB"/>
              </w:rPr>
              <w:t>General provisions, principles, hierarchy of legal norms</w:t>
            </w:r>
          </w:p>
        </w:tc>
      </w:tr>
      <w:tr w:rsidR="00652506" w:rsidRPr="009A4784" w14:paraId="2A7F5440" w14:textId="77777777" w:rsidTr="00412369">
        <w:trPr>
          <w:trHeight w:hRule="exact" w:val="340"/>
        </w:trPr>
        <w:tc>
          <w:tcPr>
            <w:tcW w:w="392" w:type="dxa"/>
          </w:tcPr>
          <w:p w14:paraId="227E0142" w14:textId="77777777" w:rsidR="00652506" w:rsidRPr="00245D6E" w:rsidRDefault="00652506" w:rsidP="00484803">
            <w:pPr>
              <w:spacing w:line="360" w:lineRule="auto"/>
            </w:pPr>
          </w:p>
        </w:tc>
        <w:tc>
          <w:tcPr>
            <w:tcW w:w="7000" w:type="dxa"/>
          </w:tcPr>
          <w:p w14:paraId="5703090E" w14:textId="77777777" w:rsidR="00652506" w:rsidRPr="009A4784" w:rsidRDefault="00652506" w:rsidP="009A4784">
            <w:pPr>
              <w:spacing w:line="360" w:lineRule="auto"/>
              <w:rPr>
                <w:lang w:val="en-GB"/>
              </w:rPr>
            </w:pPr>
            <w:r w:rsidRPr="009A4784">
              <w:rPr>
                <w:lang w:val="en-GB"/>
              </w:rPr>
              <w:t xml:space="preserve">The employment contract </w:t>
            </w:r>
            <w:r w:rsidRPr="009A4784">
              <w:rPr>
                <w:vanish/>
                <w:lang w:val="en-GB"/>
              </w:rPr>
              <w:t>qa munkajog alapelvei a hallgatók képet alkothatnak az Európai Unió munkajogi jogalkotásá</w:t>
            </w:r>
          </w:p>
        </w:tc>
      </w:tr>
      <w:tr w:rsidR="00652506" w:rsidRPr="009A4784" w14:paraId="215FE7F4" w14:textId="77777777" w:rsidTr="00412369">
        <w:trPr>
          <w:trHeight w:hRule="exact" w:val="340"/>
        </w:trPr>
        <w:tc>
          <w:tcPr>
            <w:tcW w:w="392" w:type="dxa"/>
          </w:tcPr>
          <w:p w14:paraId="71CFDFE2" w14:textId="77777777" w:rsidR="00652506" w:rsidRPr="00245D6E" w:rsidRDefault="00652506" w:rsidP="00484803">
            <w:pPr>
              <w:spacing w:line="360" w:lineRule="auto"/>
            </w:pPr>
          </w:p>
        </w:tc>
        <w:tc>
          <w:tcPr>
            <w:tcW w:w="7000" w:type="dxa"/>
          </w:tcPr>
          <w:p w14:paraId="4ECCC9A0" w14:textId="77777777" w:rsidR="00652506" w:rsidRPr="009A4784" w:rsidRDefault="00652506" w:rsidP="006A212E">
            <w:pPr>
              <w:spacing w:line="360" w:lineRule="auto"/>
              <w:rPr>
                <w:lang w:val="en-GB"/>
              </w:rPr>
            </w:pPr>
            <w:r w:rsidRPr="009A4784">
              <w:rPr>
                <w:lang w:val="en-GB"/>
              </w:rPr>
              <w:t>Amendment of the employment relationship</w:t>
            </w:r>
          </w:p>
        </w:tc>
      </w:tr>
      <w:tr w:rsidR="00652506" w:rsidRPr="009A4784" w14:paraId="59C1190D" w14:textId="77777777" w:rsidTr="00412369">
        <w:trPr>
          <w:trHeight w:hRule="exact" w:val="340"/>
        </w:trPr>
        <w:tc>
          <w:tcPr>
            <w:tcW w:w="392" w:type="dxa"/>
          </w:tcPr>
          <w:p w14:paraId="77523389" w14:textId="77777777" w:rsidR="00652506" w:rsidRPr="00245D6E" w:rsidRDefault="00652506" w:rsidP="00652506">
            <w:pPr>
              <w:spacing w:line="360" w:lineRule="auto"/>
            </w:pPr>
          </w:p>
        </w:tc>
        <w:tc>
          <w:tcPr>
            <w:tcW w:w="7000" w:type="dxa"/>
          </w:tcPr>
          <w:p w14:paraId="278FFBF1" w14:textId="77777777" w:rsidR="00652506" w:rsidRPr="009A4784" w:rsidRDefault="00652506" w:rsidP="006A212E">
            <w:pPr>
              <w:spacing w:line="360" w:lineRule="auto"/>
              <w:rPr>
                <w:lang w:val="en-GB"/>
              </w:rPr>
            </w:pPr>
            <w:r w:rsidRPr="009A4784">
              <w:rPr>
                <w:lang w:val="en-GB"/>
              </w:rPr>
              <w:t>Termination of the employment relationship 1</w:t>
            </w:r>
          </w:p>
        </w:tc>
      </w:tr>
      <w:tr w:rsidR="00652506" w:rsidRPr="009A4784" w14:paraId="064D5777" w14:textId="77777777" w:rsidTr="00412369">
        <w:trPr>
          <w:trHeight w:hRule="exact" w:val="340"/>
        </w:trPr>
        <w:tc>
          <w:tcPr>
            <w:tcW w:w="392" w:type="dxa"/>
          </w:tcPr>
          <w:p w14:paraId="5FEAF305" w14:textId="77777777" w:rsidR="00652506" w:rsidRPr="00245D6E" w:rsidRDefault="00652506" w:rsidP="00484803">
            <w:pPr>
              <w:spacing w:line="360" w:lineRule="auto"/>
            </w:pPr>
          </w:p>
        </w:tc>
        <w:tc>
          <w:tcPr>
            <w:tcW w:w="7000" w:type="dxa"/>
          </w:tcPr>
          <w:p w14:paraId="5379E4DA" w14:textId="77777777" w:rsidR="00652506" w:rsidRPr="009A4784" w:rsidRDefault="00652506" w:rsidP="006A212E">
            <w:pPr>
              <w:spacing w:line="360" w:lineRule="auto"/>
              <w:rPr>
                <w:lang w:val="en-GB"/>
              </w:rPr>
            </w:pPr>
            <w:r w:rsidRPr="009A4784">
              <w:rPr>
                <w:lang w:val="en-GB"/>
              </w:rPr>
              <w:t>Termination of the employment relationship 2</w:t>
            </w:r>
          </w:p>
        </w:tc>
      </w:tr>
      <w:tr w:rsidR="00652506" w:rsidRPr="009A4784" w14:paraId="6C676C84" w14:textId="77777777" w:rsidTr="00412369">
        <w:trPr>
          <w:trHeight w:hRule="exact" w:val="340"/>
        </w:trPr>
        <w:tc>
          <w:tcPr>
            <w:tcW w:w="392" w:type="dxa"/>
          </w:tcPr>
          <w:p w14:paraId="602122A8" w14:textId="77777777" w:rsidR="00652506" w:rsidRPr="00245D6E" w:rsidRDefault="00652506" w:rsidP="00484803">
            <w:pPr>
              <w:spacing w:line="360" w:lineRule="auto"/>
            </w:pPr>
          </w:p>
        </w:tc>
        <w:tc>
          <w:tcPr>
            <w:tcW w:w="7000" w:type="dxa"/>
          </w:tcPr>
          <w:p w14:paraId="723B6A3C" w14:textId="77777777" w:rsidR="00652506" w:rsidRPr="009A4784" w:rsidRDefault="00652506" w:rsidP="006A212E">
            <w:pPr>
              <w:spacing w:line="360" w:lineRule="auto"/>
              <w:rPr>
                <w:lang w:val="en-GB"/>
              </w:rPr>
            </w:pPr>
            <w:r w:rsidRPr="009A4784">
              <w:rPr>
                <w:lang w:val="en-GB"/>
              </w:rPr>
              <w:t>Working time</w:t>
            </w:r>
          </w:p>
        </w:tc>
      </w:tr>
      <w:tr w:rsidR="00652506" w:rsidRPr="009A4784" w14:paraId="64FA90A4" w14:textId="77777777" w:rsidTr="00412369">
        <w:trPr>
          <w:trHeight w:hRule="exact" w:val="340"/>
        </w:trPr>
        <w:tc>
          <w:tcPr>
            <w:tcW w:w="392" w:type="dxa"/>
          </w:tcPr>
          <w:p w14:paraId="56BAF35F" w14:textId="77777777" w:rsidR="00652506" w:rsidRPr="00245D6E" w:rsidRDefault="00652506" w:rsidP="00484803">
            <w:pPr>
              <w:spacing w:line="360" w:lineRule="auto"/>
            </w:pPr>
          </w:p>
        </w:tc>
        <w:tc>
          <w:tcPr>
            <w:tcW w:w="7000" w:type="dxa"/>
          </w:tcPr>
          <w:p w14:paraId="5D17613F" w14:textId="77777777" w:rsidR="00652506" w:rsidRPr="009A4784" w:rsidRDefault="00652506" w:rsidP="006A212E">
            <w:pPr>
              <w:spacing w:line="360" w:lineRule="auto"/>
              <w:rPr>
                <w:lang w:val="en-GB"/>
              </w:rPr>
            </w:pPr>
            <w:r w:rsidRPr="009A4784">
              <w:rPr>
                <w:lang w:val="en-GB"/>
              </w:rPr>
              <w:t>Remuneration of work</w:t>
            </w:r>
          </w:p>
        </w:tc>
      </w:tr>
      <w:tr w:rsidR="00652506" w:rsidRPr="009A4784" w14:paraId="27E27A5D" w14:textId="77777777" w:rsidTr="00412369">
        <w:trPr>
          <w:trHeight w:hRule="exact" w:val="340"/>
        </w:trPr>
        <w:tc>
          <w:tcPr>
            <w:tcW w:w="392" w:type="dxa"/>
          </w:tcPr>
          <w:p w14:paraId="7B8BCCD9" w14:textId="77777777" w:rsidR="00652506" w:rsidRPr="00245D6E" w:rsidRDefault="00652506" w:rsidP="00484803">
            <w:pPr>
              <w:spacing w:line="360" w:lineRule="auto"/>
            </w:pPr>
          </w:p>
        </w:tc>
        <w:tc>
          <w:tcPr>
            <w:tcW w:w="7000" w:type="dxa"/>
          </w:tcPr>
          <w:p w14:paraId="3D3EA8E7" w14:textId="77777777" w:rsidR="00652506" w:rsidRPr="009A4784" w:rsidRDefault="00652506" w:rsidP="009A4784">
            <w:pPr>
              <w:spacing w:line="360" w:lineRule="auto"/>
              <w:rPr>
                <w:lang w:val="en-GB"/>
              </w:rPr>
            </w:pPr>
            <w:r w:rsidRPr="009A4784">
              <w:rPr>
                <w:lang w:val="en-GB"/>
              </w:rPr>
              <w:t>Responsibility in labour law</w:t>
            </w:r>
          </w:p>
        </w:tc>
      </w:tr>
      <w:tr w:rsidR="00652506" w:rsidRPr="009A4784" w14:paraId="08D8BBCB" w14:textId="77777777" w:rsidTr="00412369">
        <w:trPr>
          <w:trHeight w:hRule="exact" w:val="340"/>
        </w:trPr>
        <w:tc>
          <w:tcPr>
            <w:tcW w:w="392" w:type="dxa"/>
          </w:tcPr>
          <w:p w14:paraId="367D1076" w14:textId="77777777" w:rsidR="00652506" w:rsidRPr="00245D6E" w:rsidRDefault="00652506" w:rsidP="00484803">
            <w:pPr>
              <w:spacing w:line="360" w:lineRule="auto"/>
            </w:pPr>
          </w:p>
        </w:tc>
        <w:tc>
          <w:tcPr>
            <w:tcW w:w="7000" w:type="dxa"/>
          </w:tcPr>
          <w:p w14:paraId="76ED4E10" w14:textId="77777777" w:rsidR="00652506" w:rsidRPr="009A4784" w:rsidRDefault="00652506" w:rsidP="006A212E">
            <w:pPr>
              <w:spacing w:line="360" w:lineRule="auto"/>
              <w:rPr>
                <w:lang w:val="en-GB"/>
              </w:rPr>
            </w:pPr>
            <w:r w:rsidRPr="009A4784">
              <w:rPr>
                <w:lang w:val="en-GB"/>
              </w:rPr>
              <w:t>Atypical employment</w:t>
            </w:r>
          </w:p>
        </w:tc>
      </w:tr>
      <w:tr w:rsidR="00652506" w:rsidRPr="009A4784" w14:paraId="72B31738" w14:textId="77777777" w:rsidTr="00412369">
        <w:trPr>
          <w:trHeight w:hRule="exact" w:val="340"/>
        </w:trPr>
        <w:tc>
          <w:tcPr>
            <w:tcW w:w="392" w:type="dxa"/>
          </w:tcPr>
          <w:p w14:paraId="7DA91782" w14:textId="77777777" w:rsidR="00652506" w:rsidRPr="00245D6E" w:rsidRDefault="00652506" w:rsidP="00484803">
            <w:pPr>
              <w:spacing w:line="360" w:lineRule="auto"/>
            </w:pPr>
          </w:p>
        </w:tc>
        <w:tc>
          <w:tcPr>
            <w:tcW w:w="7000" w:type="dxa"/>
          </w:tcPr>
          <w:p w14:paraId="5AF7E257" w14:textId="77777777" w:rsidR="00652506" w:rsidRPr="009A4784" w:rsidRDefault="00652506" w:rsidP="006A212E">
            <w:pPr>
              <w:spacing w:line="360" w:lineRule="auto"/>
              <w:rPr>
                <w:lang w:val="en-GB"/>
              </w:rPr>
            </w:pPr>
            <w:r w:rsidRPr="009A4784">
              <w:rPr>
                <w:lang w:val="en-GB"/>
              </w:rPr>
              <w:t>Introduction to collective labour law</w:t>
            </w:r>
          </w:p>
        </w:tc>
      </w:tr>
      <w:tr w:rsidR="00652506" w:rsidRPr="009A4784" w14:paraId="1534C453" w14:textId="77777777" w:rsidTr="00412369">
        <w:trPr>
          <w:trHeight w:hRule="exact" w:val="340"/>
        </w:trPr>
        <w:tc>
          <w:tcPr>
            <w:tcW w:w="392" w:type="dxa"/>
          </w:tcPr>
          <w:p w14:paraId="5B8EA399" w14:textId="77777777" w:rsidR="00652506" w:rsidRPr="00245D6E" w:rsidRDefault="00652506" w:rsidP="00484803">
            <w:pPr>
              <w:spacing w:line="360" w:lineRule="auto"/>
            </w:pPr>
          </w:p>
        </w:tc>
        <w:tc>
          <w:tcPr>
            <w:tcW w:w="7000" w:type="dxa"/>
          </w:tcPr>
          <w:p w14:paraId="0A26FFEC" w14:textId="77777777" w:rsidR="00652506" w:rsidRPr="009A4784" w:rsidRDefault="00652506" w:rsidP="006A212E">
            <w:pPr>
              <w:spacing w:line="360" w:lineRule="auto"/>
              <w:rPr>
                <w:lang w:val="en-GB"/>
              </w:rPr>
            </w:pPr>
            <w:r w:rsidRPr="009A4784">
              <w:rPr>
                <w:lang w:val="en-GB"/>
              </w:rPr>
              <w:t>Labour disputes</w:t>
            </w:r>
          </w:p>
        </w:tc>
      </w:tr>
      <w:tr w:rsidR="00652506" w:rsidRPr="009A4784" w14:paraId="42984C40" w14:textId="77777777" w:rsidTr="00412369">
        <w:trPr>
          <w:trHeight w:hRule="exact" w:val="340"/>
        </w:trPr>
        <w:tc>
          <w:tcPr>
            <w:tcW w:w="392" w:type="dxa"/>
          </w:tcPr>
          <w:p w14:paraId="245C517C" w14:textId="77777777" w:rsidR="00652506" w:rsidRPr="00245D6E" w:rsidRDefault="00652506" w:rsidP="00484803">
            <w:pPr>
              <w:spacing w:line="360" w:lineRule="auto"/>
            </w:pPr>
          </w:p>
        </w:tc>
        <w:tc>
          <w:tcPr>
            <w:tcW w:w="7000" w:type="dxa"/>
          </w:tcPr>
          <w:p w14:paraId="04AED7C5" w14:textId="77777777" w:rsidR="00652506" w:rsidRPr="009A4784" w:rsidRDefault="00652506" w:rsidP="006A212E">
            <w:pPr>
              <w:spacing w:line="360" w:lineRule="auto"/>
              <w:rPr>
                <w:lang w:val="en-GB"/>
              </w:rPr>
            </w:pPr>
            <w:r w:rsidRPr="009A4784">
              <w:rPr>
                <w:lang w:val="en-GB"/>
              </w:rPr>
              <w:t>Consultation</w:t>
            </w:r>
          </w:p>
        </w:tc>
      </w:tr>
    </w:tbl>
    <w:p w14:paraId="67B2091E" w14:textId="77777777" w:rsidR="008B105F" w:rsidRDefault="008B105F" w:rsidP="008B105F">
      <w:pPr>
        <w:rPr>
          <w:b/>
          <w:bCs/>
          <w:u w:val="single"/>
        </w:rPr>
      </w:pPr>
    </w:p>
    <w:p w14:paraId="3414A3E2" w14:textId="77777777" w:rsidR="008B105F" w:rsidRPr="008B105F" w:rsidRDefault="008B105F" w:rsidP="008B105F">
      <w:pPr>
        <w:rPr>
          <w:b/>
          <w:bCs/>
          <w:u w:val="single"/>
        </w:rPr>
      </w:pPr>
      <w:r w:rsidRPr="008B105F">
        <w:rPr>
          <w:b/>
          <w:bCs/>
          <w:u w:val="single"/>
        </w:rPr>
        <w:t xml:space="preserve">Agenda, </w:t>
      </w:r>
      <w:r w:rsidRPr="008B105F">
        <w:rPr>
          <w:b/>
          <w:u w:val="single"/>
          <w:lang w:val="en-GB"/>
        </w:rPr>
        <w:t>correspondence</w:t>
      </w:r>
      <w:r w:rsidRPr="008B105F">
        <w:rPr>
          <w:b/>
          <w:bCs/>
          <w:u w:val="single"/>
        </w:rPr>
        <w:t xml:space="preserve"> students</w:t>
      </w:r>
    </w:p>
    <w:p w14:paraId="16DFE2BB" w14:textId="77777777" w:rsidR="008B105F" w:rsidRDefault="008B105F" w:rsidP="008B105F">
      <w:pPr>
        <w:spacing w:after="0" w:line="240"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
        <w:gridCol w:w="8788"/>
      </w:tblGrid>
      <w:tr w:rsidR="008B105F" w:rsidRPr="009C6ECE" w14:paraId="5E451D41" w14:textId="77777777" w:rsidTr="00412369">
        <w:tc>
          <w:tcPr>
            <w:tcW w:w="284" w:type="dxa"/>
          </w:tcPr>
          <w:p w14:paraId="2609DA4E" w14:textId="77777777" w:rsidR="008B105F" w:rsidRPr="009C6ECE" w:rsidRDefault="008B105F" w:rsidP="008B105F">
            <w:pPr>
              <w:jc w:val="both"/>
              <w:rPr>
                <w:rFonts w:ascii="Arial" w:hAnsi="Arial" w:cs="Arial"/>
                <w:sz w:val="20"/>
                <w:szCs w:val="20"/>
              </w:rPr>
            </w:pPr>
          </w:p>
        </w:tc>
        <w:tc>
          <w:tcPr>
            <w:tcW w:w="8788" w:type="dxa"/>
          </w:tcPr>
          <w:p w14:paraId="6308A8EB" w14:textId="77777777" w:rsidR="008B105F" w:rsidRPr="00652506" w:rsidRDefault="008B105F" w:rsidP="008B105F">
            <w:pPr>
              <w:jc w:val="both"/>
              <w:rPr>
                <w:rFonts w:ascii="Arial" w:hAnsi="Arial" w:cs="Arial"/>
                <w:sz w:val="20"/>
                <w:szCs w:val="20"/>
              </w:rPr>
            </w:pPr>
            <w:r>
              <w:rPr>
                <w:rFonts w:ascii="Arial" w:hAnsi="Arial" w:cs="Arial"/>
                <w:sz w:val="20"/>
                <w:szCs w:val="20"/>
              </w:rPr>
              <w:t>Labour law’s subject, sources, basic principles. Employment contract, amending the empolyment contract.</w:t>
            </w:r>
          </w:p>
        </w:tc>
      </w:tr>
      <w:tr w:rsidR="008B105F" w:rsidRPr="009C6ECE" w14:paraId="2AD3D49B" w14:textId="77777777" w:rsidTr="00412369">
        <w:tc>
          <w:tcPr>
            <w:tcW w:w="284" w:type="dxa"/>
          </w:tcPr>
          <w:p w14:paraId="1C80374F" w14:textId="77777777" w:rsidR="008B105F" w:rsidRPr="009C6ECE" w:rsidRDefault="008B105F" w:rsidP="008B105F">
            <w:pPr>
              <w:jc w:val="both"/>
              <w:rPr>
                <w:rFonts w:ascii="Arial" w:hAnsi="Arial" w:cs="Arial"/>
                <w:sz w:val="20"/>
                <w:szCs w:val="20"/>
              </w:rPr>
            </w:pPr>
          </w:p>
        </w:tc>
        <w:tc>
          <w:tcPr>
            <w:tcW w:w="8788" w:type="dxa"/>
          </w:tcPr>
          <w:p w14:paraId="7DD68C5D" w14:textId="77777777" w:rsidR="008B105F" w:rsidRPr="00652506" w:rsidRDefault="008B105F" w:rsidP="00484803">
            <w:pPr>
              <w:jc w:val="both"/>
              <w:rPr>
                <w:rFonts w:ascii="Arial" w:hAnsi="Arial" w:cs="Arial"/>
                <w:sz w:val="20"/>
                <w:szCs w:val="20"/>
              </w:rPr>
            </w:pPr>
            <w:r w:rsidRPr="009A4784">
              <w:rPr>
                <w:lang w:val="en-GB"/>
              </w:rPr>
              <w:t>Termination of the employment relationship</w:t>
            </w:r>
          </w:p>
        </w:tc>
      </w:tr>
      <w:tr w:rsidR="008B105F" w:rsidRPr="009C6ECE" w14:paraId="7909BAA3" w14:textId="77777777" w:rsidTr="00412369">
        <w:tc>
          <w:tcPr>
            <w:tcW w:w="284" w:type="dxa"/>
          </w:tcPr>
          <w:p w14:paraId="1B900BDD" w14:textId="77777777" w:rsidR="008B105F" w:rsidRPr="009C6ECE" w:rsidRDefault="008B105F" w:rsidP="00484803">
            <w:pPr>
              <w:jc w:val="both"/>
              <w:rPr>
                <w:rFonts w:ascii="Arial" w:hAnsi="Arial" w:cs="Arial"/>
                <w:sz w:val="20"/>
                <w:szCs w:val="20"/>
              </w:rPr>
            </w:pPr>
          </w:p>
        </w:tc>
        <w:tc>
          <w:tcPr>
            <w:tcW w:w="8788" w:type="dxa"/>
          </w:tcPr>
          <w:p w14:paraId="0023D0B1" w14:textId="77777777" w:rsidR="008B105F" w:rsidRPr="00652506" w:rsidRDefault="008B105F" w:rsidP="00484803">
            <w:pPr>
              <w:jc w:val="both"/>
              <w:rPr>
                <w:rFonts w:ascii="Arial" w:hAnsi="Arial" w:cs="Arial"/>
                <w:sz w:val="20"/>
                <w:szCs w:val="20"/>
              </w:rPr>
            </w:pPr>
            <w:r>
              <w:rPr>
                <w:rFonts w:ascii="Arial" w:hAnsi="Arial" w:cs="Arial"/>
                <w:sz w:val="20"/>
                <w:szCs w:val="20"/>
              </w:rPr>
              <w:t>Working time, remuneration, responsibility</w:t>
            </w:r>
          </w:p>
        </w:tc>
      </w:tr>
      <w:tr w:rsidR="008B105F" w:rsidRPr="009C6ECE" w14:paraId="63F742B2" w14:textId="77777777" w:rsidTr="00412369">
        <w:tc>
          <w:tcPr>
            <w:tcW w:w="284" w:type="dxa"/>
          </w:tcPr>
          <w:p w14:paraId="054A0318" w14:textId="77777777" w:rsidR="008B105F" w:rsidRPr="009C6ECE" w:rsidRDefault="008B105F" w:rsidP="00484803">
            <w:pPr>
              <w:jc w:val="both"/>
              <w:rPr>
                <w:rFonts w:ascii="Arial" w:hAnsi="Arial" w:cs="Arial"/>
                <w:sz w:val="20"/>
                <w:szCs w:val="20"/>
              </w:rPr>
            </w:pPr>
          </w:p>
        </w:tc>
        <w:tc>
          <w:tcPr>
            <w:tcW w:w="8788" w:type="dxa"/>
          </w:tcPr>
          <w:p w14:paraId="03656599" w14:textId="77777777" w:rsidR="008B105F" w:rsidRPr="009C6ECE" w:rsidRDefault="008B105F" w:rsidP="00484803">
            <w:pPr>
              <w:jc w:val="both"/>
              <w:rPr>
                <w:rFonts w:ascii="Arial" w:hAnsi="Arial" w:cs="Arial"/>
                <w:sz w:val="20"/>
                <w:szCs w:val="20"/>
              </w:rPr>
            </w:pPr>
            <w:r>
              <w:rPr>
                <w:rFonts w:ascii="Arial" w:hAnsi="Arial" w:cs="Arial"/>
                <w:sz w:val="20"/>
                <w:szCs w:val="20"/>
              </w:rPr>
              <w:t>Collective albour law, labour disputes, atypical employment</w:t>
            </w:r>
          </w:p>
        </w:tc>
      </w:tr>
    </w:tbl>
    <w:p w14:paraId="1FC695A3" w14:textId="77777777" w:rsidR="008B105F" w:rsidRDefault="008B105F" w:rsidP="008B105F">
      <w:pPr>
        <w:spacing w:after="0" w:line="240" w:lineRule="auto"/>
      </w:pPr>
    </w:p>
    <w:p w14:paraId="20674211" w14:textId="77777777" w:rsidR="009A4784" w:rsidRPr="00E34788" w:rsidRDefault="009A4784" w:rsidP="009A4784">
      <w:pPr>
        <w:rPr>
          <w:rFonts w:asciiTheme="minorHAnsi" w:hAnsiTheme="minorHAnsi" w:cstheme="minorHAnsi"/>
          <w:b/>
          <w:u w:val="single"/>
          <w:lang w:val="en-GB"/>
        </w:rPr>
      </w:pPr>
      <w:r w:rsidRPr="00E34788">
        <w:rPr>
          <w:rFonts w:asciiTheme="minorHAnsi" w:hAnsiTheme="minorHAnsi" w:cstheme="minorHAnsi"/>
          <w:b/>
          <w:u w:val="single"/>
          <w:lang w:val="en-GB"/>
        </w:rPr>
        <w:t xml:space="preserve">Course materials: </w:t>
      </w:r>
    </w:p>
    <w:p w14:paraId="345E5454" w14:textId="67923B85" w:rsidR="009A4784" w:rsidRPr="009A4784" w:rsidRDefault="009A4784">
      <w:pPr>
        <w:rPr>
          <w:rFonts w:asciiTheme="minorHAnsi" w:hAnsiTheme="minorHAnsi" w:cstheme="minorHAnsi"/>
          <w:lang w:val="en-GB"/>
        </w:rPr>
      </w:pPr>
      <w:r w:rsidRPr="00E34788">
        <w:rPr>
          <w:rFonts w:asciiTheme="minorHAnsi" w:hAnsiTheme="minorHAnsi" w:cstheme="minorHAnsi"/>
          <w:sz w:val="24"/>
          <w:szCs w:val="24"/>
          <w:lang w:val="en-GB"/>
        </w:rPr>
        <w:t xml:space="preserve">Ferencz-Göndör-Gyulavári-Kártyás: </w:t>
      </w:r>
      <w:r w:rsidRPr="00E34788">
        <w:rPr>
          <w:rFonts w:asciiTheme="minorHAnsi" w:hAnsiTheme="minorHAnsi" w:cstheme="minorHAnsi"/>
          <w:i/>
          <w:sz w:val="24"/>
          <w:szCs w:val="24"/>
          <w:lang w:val="en-GB"/>
        </w:rPr>
        <w:t>Munkajogi Alapismeretek</w:t>
      </w:r>
      <w:r w:rsidRPr="00E34788">
        <w:rPr>
          <w:rFonts w:asciiTheme="minorHAnsi" w:hAnsiTheme="minorHAnsi" w:cstheme="minorHAnsi"/>
          <w:sz w:val="24"/>
          <w:szCs w:val="24"/>
          <w:lang w:val="en-GB"/>
        </w:rPr>
        <w:t>, Eötvös Kiadó, 20</w:t>
      </w:r>
      <w:r w:rsidR="000223FE">
        <w:rPr>
          <w:rFonts w:asciiTheme="minorHAnsi" w:hAnsiTheme="minorHAnsi" w:cstheme="minorHAnsi"/>
          <w:sz w:val="24"/>
          <w:szCs w:val="24"/>
          <w:lang w:val="en-GB"/>
        </w:rPr>
        <w:t>2</w:t>
      </w:r>
      <w:r w:rsidR="00925034">
        <w:rPr>
          <w:rFonts w:asciiTheme="minorHAnsi" w:hAnsiTheme="minorHAnsi" w:cstheme="minorHAnsi"/>
          <w:sz w:val="24"/>
          <w:szCs w:val="24"/>
          <w:lang w:val="en-GB"/>
        </w:rPr>
        <w:t>4</w:t>
      </w:r>
    </w:p>
    <w:sectPr w:rsidR="009A4784" w:rsidRPr="009A4784" w:rsidSect="000B3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AB2"/>
    <w:rsid w:val="000223FE"/>
    <w:rsid w:val="000B3CD6"/>
    <w:rsid w:val="001166D5"/>
    <w:rsid w:val="001F5F24"/>
    <w:rsid w:val="00245D6E"/>
    <w:rsid w:val="00271D4C"/>
    <w:rsid w:val="00326523"/>
    <w:rsid w:val="00412369"/>
    <w:rsid w:val="005228DE"/>
    <w:rsid w:val="00652506"/>
    <w:rsid w:val="00657C5C"/>
    <w:rsid w:val="006A5D07"/>
    <w:rsid w:val="006E4AB2"/>
    <w:rsid w:val="006E709C"/>
    <w:rsid w:val="00711AED"/>
    <w:rsid w:val="007F0446"/>
    <w:rsid w:val="0080420A"/>
    <w:rsid w:val="008B105F"/>
    <w:rsid w:val="00925034"/>
    <w:rsid w:val="009422AB"/>
    <w:rsid w:val="009A4784"/>
    <w:rsid w:val="009C0D6F"/>
    <w:rsid w:val="00A12C83"/>
    <w:rsid w:val="00A2183B"/>
    <w:rsid w:val="00A66991"/>
    <w:rsid w:val="00B2427A"/>
    <w:rsid w:val="00BB6682"/>
    <w:rsid w:val="00BE3D0B"/>
    <w:rsid w:val="00DA5F7C"/>
    <w:rsid w:val="00E71B11"/>
    <w:rsid w:val="00EF48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35C0B"/>
  <w15:docId w15:val="{5E1BC314-8695-4808-B355-984FA193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B3CD6"/>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3343</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A munka- és közszolgálati jog közösségi sajátosságai</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munka- és közszolgálati jog közösségi sajátosságai</dc:title>
  <dc:creator>Kártyás Gábor</dc:creator>
  <cp:lastModifiedBy>Gábor Kártyás</cp:lastModifiedBy>
  <cp:revision>5</cp:revision>
  <dcterms:created xsi:type="dcterms:W3CDTF">2021-09-02T12:32:00Z</dcterms:created>
  <dcterms:modified xsi:type="dcterms:W3CDTF">2024-09-09T10:12:00Z</dcterms:modified>
</cp:coreProperties>
</file>