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72"/>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2149"/>
        <w:gridCol w:w="2149"/>
        <w:gridCol w:w="2789"/>
      </w:tblGrid>
      <w:tr w:rsidR="00DD2FF5" w:rsidRPr="0075351E" w14:paraId="5CAC229F" w14:textId="77777777" w:rsidTr="00376526">
        <w:trPr>
          <w:cantSplit/>
        </w:trPr>
        <w:tc>
          <w:tcPr>
            <w:tcW w:w="2764" w:type="dxa"/>
            <w:shd w:val="clear" w:color="auto" w:fill="F2F2F2" w:themeFill="background1" w:themeFillShade="F2"/>
            <w:vAlign w:val="center"/>
          </w:tcPr>
          <w:p w14:paraId="6D9F6260" w14:textId="77777777" w:rsidR="00DD2FF5" w:rsidRPr="0075351E" w:rsidRDefault="00DD2FF5" w:rsidP="00376526">
            <w:pPr>
              <w:spacing w:before="60" w:after="60"/>
              <w:rPr>
                <w:rFonts w:asciiTheme="minorHAnsi" w:hAnsiTheme="minorHAnsi" w:cstheme="minorHAnsi"/>
                <w:b/>
              </w:rPr>
            </w:pPr>
            <w:bookmarkStart w:id="0" w:name="_GoBack"/>
            <w:bookmarkEnd w:id="0"/>
            <w:r w:rsidRPr="0075351E">
              <w:rPr>
                <w:rFonts w:asciiTheme="minorHAnsi" w:hAnsiTheme="minorHAnsi" w:cstheme="minorHAnsi"/>
                <w:b/>
              </w:rPr>
              <w:t>Tárgynév:</w:t>
            </w:r>
          </w:p>
        </w:tc>
        <w:tc>
          <w:tcPr>
            <w:tcW w:w="7087" w:type="dxa"/>
            <w:gridSpan w:val="3"/>
            <w:vAlign w:val="center"/>
          </w:tcPr>
          <w:p w14:paraId="168DE58D" w14:textId="050E98CC" w:rsidR="00DD2FF5" w:rsidRPr="0075351E" w:rsidRDefault="00C73378" w:rsidP="00376526">
            <w:pPr>
              <w:spacing w:before="60" w:after="60"/>
              <w:rPr>
                <w:rFonts w:asciiTheme="minorHAnsi" w:hAnsiTheme="minorHAnsi" w:cstheme="minorHAnsi"/>
              </w:rPr>
            </w:pPr>
            <w:r w:rsidRPr="00C73378">
              <w:rPr>
                <w:rFonts w:asciiTheme="minorHAnsi" w:hAnsiTheme="minorHAnsi" w:cstheme="minorHAnsi"/>
              </w:rPr>
              <w:t>Compliance az adózás területén és az offshore</w:t>
            </w:r>
          </w:p>
        </w:tc>
      </w:tr>
      <w:tr w:rsidR="00DD2FF5" w:rsidRPr="0075351E" w14:paraId="19971E5E" w14:textId="77777777" w:rsidTr="00376526">
        <w:trPr>
          <w:cantSplit/>
        </w:trPr>
        <w:tc>
          <w:tcPr>
            <w:tcW w:w="2764" w:type="dxa"/>
            <w:shd w:val="clear" w:color="auto" w:fill="F2F2F2" w:themeFill="background1" w:themeFillShade="F2"/>
            <w:vAlign w:val="center"/>
          </w:tcPr>
          <w:p w14:paraId="52B903C7" w14:textId="77777777" w:rsidR="00DD2FF5" w:rsidRPr="0075351E" w:rsidRDefault="00DD2FF5" w:rsidP="00376526">
            <w:pPr>
              <w:spacing w:before="60" w:after="60"/>
              <w:rPr>
                <w:rFonts w:asciiTheme="minorHAnsi" w:hAnsiTheme="minorHAnsi" w:cstheme="minorHAnsi"/>
                <w:b/>
              </w:rPr>
            </w:pPr>
            <w:r>
              <w:rPr>
                <w:rFonts w:asciiTheme="minorHAnsi" w:hAnsiTheme="minorHAnsi" w:cstheme="minorHAnsi"/>
                <w:b/>
              </w:rPr>
              <w:t>Szint</w:t>
            </w:r>
            <w:r w:rsidRPr="0075351E">
              <w:rPr>
                <w:rFonts w:asciiTheme="minorHAnsi" w:hAnsiTheme="minorHAnsi" w:cstheme="minorHAnsi"/>
                <w:b/>
              </w:rPr>
              <w:t>:</w:t>
            </w:r>
            <w:r w:rsidRPr="0075351E">
              <w:rPr>
                <w:rStyle w:val="Lbjegyzet-hivatkozs"/>
                <w:rFonts w:asciiTheme="minorHAnsi" w:hAnsiTheme="minorHAnsi" w:cstheme="minorHAnsi"/>
                <w:b/>
              </w:rPr>
              <w:footnoteReference w:id="1"/>
            </w:r>
          </w:p>
        </w:tc>
        <w:tc>
          <w:tcPr>
            <w:tcW w:w="7087" w:type="dxa"/>
            <w:gridSpan w:val="3"/>
            <w:vAlign w:val="center"/>
          </w:tcPr>
          <w:p w14:paraId="1ED2D737" w14:textId="0BC5FE8F" w:rsidR="00DD2FF5" w:rsidRPr="0075351E" w:rsidRDefault="00D60747" w:rsidP="00376526">
            <w:pPr>
              <w:spacing w:before="60" w:after="60"/>
              <w:rPr>
                <w:rFonts w:asciiTheme="minorHAnsi" w:hAnsiTheme="minorHAnsi" w:cstheme="minorHAnsi"/>
              </w:rPr>
            </w:pPr>
            <w:r>
              <w:rPr>
                <w:rFonts w:asciiTheme="minorHAnsi" w:hAnsiTheme="minorHAnsi" w:cstheme="minorHAnsi"/>
              </w:rPr>
              <w:t>5</w:t>
            </w:r>
            <w:r w:rsidR="00DD2FF5">
              <w:rPr>
                <w:rFonts w:asciiTheme="minorHAnsi" w:hAnsiTheme="minorHAnsi" w:cstheme="minorHAnsi"/>
              </w:rPr>
              <w:t>-9</w:t>
            </w:r>
          </w:p>
        </w:tc>
      </w:tr>
      <w:tr w:rsidR="00DD2FF5" w:rsidRPr="0075351E" w14:paraId="2C89C259" w14:textId="77777777" w:rsidTr="00376526">
        <w:trPr>
          <w:cantSplit/>
        </w:trPr>
        <w:tc>
          <w:tcPr>
            <w:tcW w:w="2764" w:type="dxa"/>
            <w:shd w:val="clear" w:color="auto" w:fill="F2F2F2" w:themeFill="background1" w:themeFillShade="F2"/>
            <w:vAlign w:val="center"/>
          </w:tcPr>
          <w:p w14:paraId="5574B744" w14:textId="77777777" w:rsidR="00DD2FF5" w:rsidRPr="0075351E" w:rsidRDefault="00DD2FF5" w:rsidP="00376526">
            <w:pPr>
              <w:spacing w:before="60" w:after="60"/>
              <w:rPr>
                <w:rFonts w:asciiTheme="minorHAnsi" w:hAnsiTheme="minorHAnsi" w:cstheme="minorHAnsi"/>
                <w:b/>
              </w:rPr>
            </w:pPr>
            <w:r w:rsidRPr="0075351E">
              <w:rPr>
                <w:rFonts w:asciiTheme="minorHAnsi" w:hAnsiTheme="minorHAnsi" w:cstheme="minorHAnsi"/>
                <w:b/>
              </w:rPr>
              <w:t>Elő</w:t>
            </w:r>
            <w:r>
              <w:rPr>
                <w:rFonts w:asciiTheme="minorHAnsi" w:hAnsiTheme="minorHAnsi" w:cstheme="minorHAnsi"/>
                <w:b/>
              </w:rPr>
              <w:t>feltétel</w:t>
            </w:r>
            <w:r w:rsidRPr="0075351E">
              <w:rPr>
                <w:rFonts w:asciiTheme="minorHAnsi" w:hAnsiTheme="minorHAnsi" w:cstheme="minorHAnsi"/>
                <w:b/>
              </w:rPr>
              <w:t>:</w:t>
            </w:r>
            <w:r w:rsidRPr="0075351E">
              <w:rPr>
                <w:rStyle w:val="Lbjegyzet-hivatkozs"/>
                <w:rFonts w:asciiTheme="minorHAnsi" w:hAnsiTheme="minorHAnsi" w:cstheme="minorHAnsi"/>
                <w:b/>
              </w:rPr>
              <w:footnoteReference w:id="2"/>
            </w:r>
          </w:p>
        </w:tc>
        <w:tc>
          <w:tcPr>
            <w:tcW w:w="7087" w:type="dxa"/>
            <w:gridSpan w:val="3"/>
            <w:vAlign w:val="center"/>
          </w:tcPr>
          <w:p w14:paraId="79A7919A" w14:textId="77777777" w:rsidR="00DD2FF5" w:rsidRPr="0075351E" w:rsidRDefault="00DD2FF5" w:rsidP="00376526">
            <w:pPr>
              <w:spacing w:before="60" w:after="60"/>
              <w:rPr>
                <w:rFonts w:asciiTheme="minorHAnsi" w:hAnsiTheme="minorHAnsi" w:cstheme="minorHAnsi"/>
              </w:rPr>
            </w:pPr>
            <w:r>
              <w:rPr>
                <w:rFonts w:asciiTheme="minorHAnsi" w:hAnsiTheme="minorHAnsi" w:cstheme="minorHAnsi"/>
              </w:rPr>
              <w:t>-</w:t>
            </w:r>
          </w:p>
        </w:tc>
      </w:tr>
      <w:tr w:rsidR="00DD2FF5" w:rsidRPr="0075351E" w14:paraId="71211E79" w14:textId="77777777" w:rsidTr="00376526">
        <w:trPr>
          <w:cantSplit/>
        </w:trPr>
        <w:tc>
          <w:tcPr>
            <w:tcW w:w="2764" w:type="dxa"/>
            <w:shd w:val="clear" w:color="auto" w:fill="F2F2F2" w:themeFill="background1" w:themeFillShade="F2"/>
            <w:vAlign w:val="center"/>
          </w:tcPr>
          <w:p w14:paraId="3BF19E7C" w14:textId="77777777" w:rsidR="00DD2FF5" w:rsidRPr="0075351E" w:rsidRDefault="00DD2FF5" w:rsidP="00376526">
            <w:pPr>
              <w:spacing w:before="60" w:after="60"/>
              <w:rPr>
                <w:rFonts w:asciiTheme="minorHAnsi" w:hAnsiTheme="minorHAnsi" w:cstheme="minorHAnsi"/>
                <w:b/>
              </w:rPr>
            </w:pPr>
            <w:r w:rsidRPr="0075351E">
              <w:rPr>
                <w:rFonts w:asciiTheme="minorHAnsi" w:hAnsiTheme="minorHAnsi" w:cstheme="minorHAnsi"/>
                <w:b/>
              </w:rPr>
              <w:t>Követelmény típus:</w:t>
            </w:r>
            <w:r w:rsidRPr="0075351E">
              <w:rPr>
                <w:rStyle w:val="Lbjegyzet-hivatkozs"/>
                <w:rFonts w:asciiTheme="minorHAnsi" w:hAnsiTheme="minorHAnsi" w:cstheme="minorHAnsi"/>
                <w:b/>
              </w:rPr>
              <w:footnoteReference w:id="3"/>
            </w:r>
          </w:p>
        </w:tc>
        <w:tc>
          <w:tcPr>
            <w:tcW w:w="7087" w:type="dxa"/>
            <w:gridSpan w:val="3"/>
            <w:vAlign w:val="center"/>
          </w:tcPr>
          <w:p w14:paraId="3F59BFD5" w14:textId="77777777" w:rsidR="00DD2FF5" w:rsidRPr="0075351E" w:rsidRDefault="00DD2FF5" w:rsidP="00376526">
            <w:pPr>
              <w:spacing w:before="60" w:after="60"/>
              <w:rPr>
                <w:rFonts w:asciiTheme="minorHAnsi" w:hAnsiTheme="minorHAnsi" w:cstheme="minorHAnsi"/>
              </w:rPr>
            </w:pPr>
            <w:r w:rsidRPr="00124DBC">
              <w:rPr>
                <w:rFonts w:asciiTheme="minorHAnsi" w:hAnsiTheme="minorHAnsi" w:cstheme="minorHAnsi"/>
              </w:rPr>
              <w:t>Beszámoló (háromfokozatú)</w:t>
            </w:r>
          </w:p>
        </w:tc>
      </w:tr>
      <w:tr w:rsidR="00DD2FF5" w:rsidRPr="0075351E" w14:paraId="3CB95703" w14:textId="77777777" w:rsidTr="00376526">
        <w:trPr>
          <w:cantSplit/>
        </w:trPr>
        <w:tc>
          <w:tcPr>
            <w:tcW w:w="2764" w:type="dxa"/>
            <w:vMerge w:val="restart"/>
            <w:shd w:val="clear" w:color="auto" w:fill="F2F2F2" w:themeFill="background1" w:themeFillShade="F2"/>
            <w:vAlign w:val="center"/>
          </w:tcPr>
          <w:p w14:paraId="1E9B0ED5" w14:textId="77777777" w:rsidR="00DD2FF5" w:rsidRPr="0075351E" w:rsidRDefault="00DD2FF5" w:rsidP="00376526">
            <w:pPr>
              <w:spacing w:before="60" w:after="60"/>
              <w:rPr>
                <w:rFonts w:asciiTheme="minorHAnsi" w:hAnsiTheme="minorHAnsi" w:cstheme="minorHAnsi"/>
                <w:b/>
              </w:rPr>
            </w:pPr>
            <w:r w:rsidRPr="0075351E">
              <w:rPr>
                <w:rFonts w:asciiTheme="minorHAnsi" w:hAnsiTheme="minorHAnsi" w:cstheme="minorHAnsi"/>
                <w:b/>
              </w:rPr>
              <w:t>Óraszám</w:t>
            </w:r>
            <w:r w:rsidRPr="0075351E">
              <w:rPr>
                <w:rStyle w:val="Lbjegyzet-hivatkozs"/>
                <w:rFonts w:asciiTheme="minorHAnsi" w:hAnsiTheme="minorHAnsi" w:cstheme="minorHAnsi"/>
                <w:b/>
              </w:rPr>
              <w:footnoteReference w:id="4"/>
            </w:r>
            <w:r>
              <w:rPr>
                <w:rFonts w:asciiTheme="minorHAnsi" w:hAnsiTheme="minorHAnsi" w:cstheme="minorHAnsi"/>
                <w:b/>
              </w:rPr>
              <w:t xml:space="preserve"> és -típus</w:t>
            </w:r>
            <w:r w:rsidRPr="0075351E">
              <w:rPr>
                <w:rFonts w:asciiTheme="minorHAnsi" w:hAnsiTheme="minorHAnsi" w:cstheme="minorHAnsi"/>
                <w:b/>
              </w:rPr>
              <w:t>:</w:t>
            </w:r>
            <w:r w:rsidRPr="0075351E">
              <w:rPr>
                <w:rStyle w:val="Lbjegyzet-hivatkozs"/>
                <w:rFonts w:asciiTheme="minorHAnsi" w:hAnsiTheme="minorHAnsi" w:cstheme="minorHAnsi"/>
                <w:b/>
              </w:rPr>
              <w:footnoteReference w:id="5"/>
            </w:r>
          </w:p>
        </w:tc>
        <w:tc>
          <w:tcPr>
            <w:tcW w:w="2149" w:type="dxa"/>
            <w:vMerge w:val="restart"/>
            <w:shd w:val="clear" w:color="auto" w:fill="F2F2F2" w:themeFill="background1" w:themeFillShade="F2"/>
            <w:vAlign w:val="center"/>
          </w:tcPr>
          <w:p w14:paraId="3D94B30F" w14:textId="77777777" w:rsidR="00DD2FF5" w:rsidRPr="0075351E" w:rsidRDefault="00DD2FF5" w:rsidP="00376526">
            <w:pPr>
              <w:spacing w:before="60" w:after="60"/>
              <w:rPr>
                <w:rFonts w:asciiTheme="minorHAnsi" w:hAnsiTheme="minorHAnsi" w:cstheme="minorHAnsi"/>
                <w:b/>
              </w:rPr>
            </w:pPr>
            <w:r w:rsidRPr="0075351E">
              <w:rPr>
                <w:rFonts w:asciiTheme="minorHAnsi" w:hAnsiTheme="minorHAnsi" w:cstheme="minorHAnsi"/>
                <w:b/>
              </w:rPr>
              <w:t>Nappali:</w:t>
            </w:r>
          </w:p>
        </w:tc>
        <w:tc>
          <w:tcPr>
            <w:tcW w:w="2149" w:type="dxa"/>
            <w:shd w:val="clear" w:color="auto" w:fill="F2F2F2" w:themeFill="background1" w:themeFillShade="F2"/>
            <w:vAlign w:val="center"/>
          </w:tcPr>
          <w:p w14:paraId="0CA60A56" w14:textId="77777777" w:rsidR="00DD2FF5" w:rsidRPr="0075351E" w:rsidRDefault="00DD2FF5" w:rsidP="00376526">
            <w:pPr>
              <w:spacing w:before="60" w:after="60"/>
              <w:rPr>
                <w:rFonts w:asciiTheme="minorHAnsi" w:hAnsiTheme="minorHAnsi" w:cstheme="minorHAnsi"/>
                <w:b/>
              </w:rPr>
            </w:pPr>
            <w:r w:rsidRPr="0075351E">
              <w:rPr>
                <w:rFonts w:asciiTheme="minorHAnsi" w:hAnsiTheme="minorHAnsi" w:cstheme="minorHAnsi"/>
                <w:b/>
              </w:rPr>
              <w:t>Előadás</w:t>
            </w:r>
            <w:r>
              <w:rPr>
                <w:rFonts w:asciiTheme="minorHAnsi" w:hAnsiTheme="minorHAnsi" w:cstheme="minorHAnsi"/>
                <w:b/>
              </w:rPr>
              <w:t>:</w:t>
            </w:r>
          </w:p>
        </w:tc>
        <w:tc>
          <w:tcPr>
            <w:tcW w:w="2789" w:type="dxa"/>
            <w:vAlign w:val="center"/>
          </w:tcPr>
          <w:p w14:paraId="58E74E72" w14:textId="77777777" w:rsidR="00DD2FF5" w:rsidRPr="0075351E" w:rsidRDefault="00DD2FF5" w:rsidP="00376526">
            <w:pPr>
              <w:spacing w:before="60" w:after="60"/>
              <w:rPr>
                <w:rFonts w:asciiTheme="minorHAnsi" w:hAnsiTheme="minorHAnsi" w:cstheme="minorHAnsi"/>
              </w:rPr>
            </w:pPr>
            <w:r>
              <w:rPr>
                <w:rFonts w:asciiTheme="minorHAnsi" w:hAnsiTheme="minorHAnsi" w:cstheme="minorHAnsi"/>
              </w:rPr>
              <w:t>-</w:t>
            </w:r>
          </w:p>
        </w:tc>
      </w:tr>
      <w:tr w:rsidR="00DD2FF5" w:rsidRPr="0075351E" w14:paraId="3D96BF02" w14:textId="77777777" w:rsidTr="00376526">
        <w:trPr>
          <w:cantSplit/>
        </w:trPr>
        <w:tc>
          <w:tcPr>
            <w:tcW w:w="2764" w:type="dxa"/>
            <w:vMerge/>
            <w:shd w:val="clear" w:color="auto" w:fill="F2F2F2" w:themeFill="background1" w:themeFillShade="F2"/>
            <w:vAlign w:val="center"/>
          </w:tcPr>
          <w:p w14:paraId="2D4BE1A3" w14:textId="77777777" w:rsidR="00DD2FF5" w:rsidRPr="0075351E" w:rsidRDefault="00DD2FF5" w:rsidP="00376526">
            <w:pPr>
              <w:spacing w:before="60" w:after="60"/>
              <w:rPr>
                <w:rFonts w:asciiTheme="minorHAnsi" w:hAnsiTheme="minorHAnsi" w:cstheme="minorHAnsi"/>
                <w:b/>
              </w:rPr>
            </w:pPr>
          </w:p>
        </w:tc>
        <w:tc>
          <w:tcPr>
            <w:tcW w:w="2149" w:type="dxa"/>
            <w:vMerge/>
            <w:shd w:val="clear" w:color="auto" w:fill="F2F2F2" w:themeFill="background1" w:themeFillShade="F2"/>
            <w:vAlign w:val="center"/>
          </w:tcPr>
          <w:p w14:paraId="531BF1FF" w14:textId="77777777" w:rsidR="00DD2FF5" w:rsidRPr="0075351E" w:rsidRDefault="00DD2FF5" w:rsidP="00376526">
            <w:pPr>
              <w:spacing w:before="60" w:after="60"/>
              <w:rPr>
                <w:rFonts w:asciiTheme="minorHAnsi" w:hAnsiTheme="minorHAnsi" w:cstheme="minorHAnsi"/>
                <w:b/>
              </w:rPr>
            </w:pPr>
          </w:p>
        </w:tc>
        <w:tc>
          <w:tcPr>
            <w:tcW w:w="2149" w:type="dxa"/>
            <w:shd w:val="clear" w:color="auto" w:fill="F2F2F2" w:themeFill="background1" w:themeFillShade="F2"/>
            <w:vAlign w:val="center"/>
          </w:tcPr>
          <w:p w14:paraId="721F9DEC" w14:textId="77777777" w:rsidR="00DD2FF5" w:rsidRPr="0075351E" w:rsidRDefault="00DD2FF5" w:rsidP="00376526">
            <w:pPr>
              <w:spacing w:before="60" w:after="60"/>
              <w:rPr>
                <w:rFonts w:asciiTheme="minorHAnsi" w:hAnsiTheme="minorHAnsi" w:cstheme="minorHAnsi"/>
                <w:b/>
              </w:rPr>
            </w:pPr>
            <w:r w:rsidRPr="0075351E">
              <w:rPr>
                <w:rFonts w:asciiTheme="minorHAnsi" w:hAnsiTheme="minorHAnsi" w:cstheme="minorHAnsi"/>
                <w:b/>
              </w:rPr>
              <w:t>Gyakorlat</w:t>
            </w:r>
            <w:r>
              <w:rPr>
                <w:rFonts w:asciiTheme="minorHAnsi" w:hAnsiTheme="minorHAnsi" w:cstheme="minorHAnsi"/>
                <w:b/>
              </w:rPr>
              <w:t>:</w:t>
            </w:r>
          </w:p>
        </w:tc>
        <w:tc>
          <w:tcPr>
            <w:tcW w:w="2789" w:type="dxa"/>
            <w:vAlign w:val="center"/>
          </w:tcPr>
          <w:p w14:paraId="41FA6237" w14:textId="77777777" w:rsidR="00DD2FF5" w:rsidRPr="0075351E" w:rsidRDefault="00DD2FF5" w:rsidP="00376526">
            <w:pPr>
              <w:spacing w:before="60" w:after="60"/>
              <w:rPr>
                <w:rFonts w:asciiTheme="minorHAnsi" w:hAnsiTheme="minorHAnsi" w:cstheme="minorHAnsi"/>
              </w:rPr>
            </w:pPr>
            <w:r>
              <w:rPr>
                <w:rFonts w:asciiTheme="minorHAnsi" w:hAnsiTheme="minorHAnsi" w:cstheme="minorHAnsi"/>
              </w:rPr>
              <w:t>-</w:t>
            </w:r>
          </w:p>
        </w:tc>
      </w:tr>
      <w:tr w:rsidR="00DD2FF5" w:rsidRPr="0075351E" w14:paraId="017ECC08" w14:textId="77777777" w:rsidTr="00376526">
        <w:trPr>
          <w:cantSplit/>
        </w:trPr>
        <w:tc>
          <w:tcPr>
            <w:tcW w:w="2764" w:type="dxa"/>
            <w:vMerge/>
            <w:shd w:val="clear" w:color="auto" w:fill="F2F2F2" w:themeFill="background1" w:themeFillShade="F2"/>
            <w:vAlign w:val="center"/>
          </w:tcPr>
          <w:p w14:paraId="5B2A8033" w14:textId="77777777" w:rsidR="00DD2FF5" w:rsidRPr="0075351E" w:rsidRDefault="00DD2FF5" w:rsidP="00376526">
            <w:pPr>
              <w:spacing w:before="60" w:after="60"/>
              <w:rPr>
                <w:rFonts w:asciiTheme="minorHAnsi" w:hAnsiTheme="minorHAnsi" w:cstheme="minorHAnsi"/>
                <w:b/>
              </w:rPr>
            </w:pPr>
          </w:p>
        </w:tc>
        <w:tc>
          <w:tcPr>
            <w:tcW w:w="2149" w:type="dxa"/>
            <w:vMerge w:val="restart"/>
            <w:shd w:val="clear" w:color="auto" w:fill="F2F2F2" w:themeFill="background1" w:themeFillShade="F2"/>
            <w:vAlign w:val="center"/>
          </w:tcPr>
          <w:p w14:paraId="08850184" w14:textId="77777777" w:rsidR="00DD2FF5" w:rsidRPr="0075351E" w:rsidRDefault="00DD2FF5" w:rsidP="00376526">
            <w:pPr>
              <w:spacing w:before="60" w:after="60"/>
              <w:rPr>
                <w:rFonts w:asciiTheme="minorHAnsi" w:hAnsiTheme="minorHAnsi" w:cstheme="minorHAnsi"/>
                <w:b/>
              </w:rPr>
            </w:pPr>
            <w:r w:rsidRPr="0075351E">
              <w:rPr>
                <w:rFonts w:asciiTheme="minorHAnsi" w:hAnsiTheme="minorHAnsi" w:cstheme="minorHAnsi"/>
                <w:b/>
              </w:rPr>
              <w:t>Levelező:</w:t>
            </w:r>
          </w:p>
        </w:tc>
        <w:tc>
          <w:tcPr>
            <w:tcW w:w="2149" w:type="dxa"/>
            <w:shd w:val="clear" w:color="auto" w:fill="F2F2F2" w:themeFill="background1" w:themeFillShade="F2"/>
            <w:vAlign w:val="center"/>
          </w:tcPr>
          <w:p w14:paraId="7197E863" w14:textId="77777777" w:rsidR="00DD2FF5" w:rsidRPr="0075351E" w:rsidRDefault="00DD2FF5" w:rsidP="00376526">
            <w:pPr>
              <w:spacing w:before="60" w:after="60"/>
              <w:rPr>
                <w:rFonts w:asciiTheme="minorHAnsi" w:hAnsiTheme="minorHAnsi" w:cstheme="minorHAnsi"/>
                <w:b/>
              </w:rPr>
            </w:pPr>
            <w:r w:rsidRPr="0075351E">
              <w:rPr>
                <w:rFonts w:asciiTheme="minorHAnsi" w:hAnsiTheme="minorHAnsi" w:cstheme="minorHAnsi"/>
                <w:b/>
              </w:rPr>
              <w:t>Előadás</w:t>
            </w:r>
            <w:r>
              <w:rPr>
                <w:rFonts w:asciiTheme="minorHAnsi" w:hAnsiTheme="minorHAnsi" w:cstheme="minorHAnsi"/>
                <w:b/>
              </w:rPr>
              <w:t>:</w:t>
            </w:r>
          </w:p>
        </w:tc>
        <w:tc>
          <w:tcPr>
            <w:tcW w:w="2789" w:type="dxa"/>
            <w:vAlign w:val="center"/>
          </w:tcPr>
          <w:p w14:paraId="6BBB0A16" w14:textId="77777777" w:rsidR="00DD2FF5" w:rsidRPr="0075351E" w:rsidRDefault="00DD2FF5" w:rsidP="00376526">
            <w:pPr>
              <w:spacing w:before="60" w:after="60"/>
              <w:rPr>
                <w:rFonts w:asciiTheme="minorHAnsi" w:hAnsiTheme="minorHAnsi" w:cstheme="minorHAnsi"/>
              </w:rPr>
            </w:pPr>
            <w:r>
              <w:rPr>
                <w:rFonts w:asciiTheme="minorHAnsi" w:hAnsiTheme="minorHAnsi" w:cstheme="minorHAnsi"/>
              </w:rPr>
              <w:t>-</w:t>
            </w:r>
          </w:p>
        </w:tc>
      </w:tr>
      <w:tr w:rsidR="00DD2FF5" w:rsidRPr="0075351E" w14:paraId="759F6E5B" w14:textId="77777777" w:rsidTr="00376526">
        <w:trPr>
          <w:cantSplit/>
        </w:trPr>
        <w:tc>
          <w:tcPr>
            <w:tcW w:w="2764" w:type="dxa"/>
            <w:vMerge/>
            <w:shd w:val="clear" w:color="auto" w:fill="F2F2F2" w:themeFill="background1" w:themeFillShade="F2"/>
            <w:vAlign w:val="center"/>
          </w:tcPr>
          <w:p w14:paraId="786600E1" w14:textId="77777777" w:rsidR="00DD2FF5" w:rsidRPr="0075351E" w:rsidRDefault="00DD2FF5" w:rsidP="00376526">
            <w:pPr>
              <w:spacing w:before="60" w:after="60"/>
              <w:rPr>
                <w:rFonts w:asciiTheme="minorHAnsi" w:hAnsiTheme="minorHAnsi" w:cstheme="minorHAnsi"/>
                <w:b/>
              </w:rPr>
            </w:pPr>
          </w:p>
        </w:tc>
        <w:tc>
          <w:tcPr>
            <w:tcW w:w="2149" w:type="dxa"/>
            <w:vMerge/>
            <w:shd w:val="clear" w:color="auto" w:fill="F2F2F2" w:themeFill="background1" w:themeFillShade="F2"/>
            <w:vAlign w:val="center"/>
          </w:tcPr>
          <w:p w14:paraId="7C3CBDDC" w14:textId="77777777" w:rsidR="00DD2FF5" w:rsidRPr="0075351E" w:rsidRDefault="00DD2FF5" w:rsidP="00376526">
            <w:pPr>
              <w:spacing w:before="60" w:after="60"/>
              <w:rPr>
                <w:rFonts w:asciiTheme="minorHAnsi" w:hAnsiTheme="minorHAnsi" w:cstheme="minorHAnsi"/>
                <w:b/>
              </w:rPr>
            </w:pPr>
          </w:p>
        </w:tc>
        <w:tc>
          <w:tcPr>
            <w:tcW w:w="2149" w:type="dxa"/>
            <w:shd w:val="clear" w:color="auto" w:fill="F2F2F2" w:themeFill="background1" w:themeFillShade="F2"/>
            <w:vAlign w:val="center"/>
          </w:tcPr>
          <w:p w14:paraId="414C8B8C" w14:textId="77777777" w:rsidR="00DD2FF5" w:rsidRPr="0075351E" w:rsidRDefault="00DD2FF5" w:rsidP="00376526">
            <w:pPr>
              <w:spacing w:before="60" w:after="60"/>
              <w:rPr>
                <w:rFonts w:asciiTheme="minorHAnsi" w:hAnsiTheme="minorHAnsi" w:cstheme="minorHAnsi"/>
                <w:b/>
              </w:rPr>
            </w:pPr>
            <w:r w:rsidRPr="0075351E">
              <w:rPr>
                <w:rFonts w:asciiTheme="minorHAnsi" w:hAnsiTheme="minorHAnsi" w:cstheme="minorHAnsi"/>
                <w:b/>
              </w:rPr>
              <w:t>Gyakorlat</w:t>
            </w:r>
            <w:r>
              <w:rPr>
                <w:rFonts w:asciiTheme="minorHAnsi" w:hAnsiTheme="minorHAnsi" w:cstheme="minorHAnsi"/>
                <w:b/>
              </w:rPr>
              <w:t>:</w:t>
            </w:r>
          </w:p>
        </w:tc>
        <w:tc>
          <w:tcPr>
            <w:tcW w:w="2789" w:type="dxa"/>
            <w:vAlign w:val="center"/>
          </w:tcPr>
          <w:p w14:paraId="30923F9E" w14:textId="77777777" w:rsidR="00DD2FF5" w:rsidRPr="0075351E" w:rsidRDefault="00DD2FF5" w:rsidP="00376526">
            <w:pPr>
              <w:spacing w:before="60" w:after="60"/>
              <w:rPr>
                <w:rFonts w:asciiTheme="minorHAnsi" w:hAnsiTheme="minorHAnsi" w:cstheme="minorHAnsi"/>
              </w:rPr>
            </w:pPr>
            <w:r>
              <w:rPr>
                <w:rFonts w:asciiTheme="minorHAnsi" w:hAnsiTheme="minorHAnsi" w:cstheme="minorHAnsi"/>
              </w:rPr>
              <w:t>2 óra / félév</w:t>
            </w:r>
          </w:p>
        </w:tc>
      </w:tr>
      <w:tr w:rsidR="00DD2FF5" w:rsidRPr="0075351E" w14:paraId="4EF911D1" w14:textId="77777777" w:rsidTr="00376526">
        <w:trPr>
          <w:cantSplit/>
        </w:trPr>
        <w:tc>
          <w:tcPr>
            <w:tcW w:w="2764" w:type="dxa"/>
            <w:shd w:val="clear" w:color="auto" w:fill="F2F2F2" w:themeFill="background1" w:themeFillShade="F2"/>
            <w:vAlign w:val="center"/>
          </w:tcPr>
          <w:p w14:paraId="005990B9" w14:textId="77777777" w:rsidR="00DD2FF5" w:rsidRPr="0075351E" w:rsidRDefault="00DD2FF5" w:rsidP="00376526">
            <w:pPr>
              <w:spacing w:before="60" w:after="60"/>
              <w:rPr>
                <w:rFonts w:asciiTheme="minorHAnsi" w:hAnsiTheme="minorHAnsi" w:cstheme="minorHAnsi"/>
                <w:b/>
              </w:rPr>
            </w:pPr>
            <w:r w:rsidRPr="0075351E">
              <w:rPr>
                <w:rFonts w:asciiTheme="minorHAnsi" w:hAnsiTheme="minorHAnsi" w:cstheme="minorHAnsi"/>
                <w:b/>
              </w:rPr>
              <w:t>Kredit:</w:t>
            </w:r>
            <w:r w:rsidRPr="0075351E">
              <w:rPr>
                <w:rStyle w:val="Lbjegyzet-hivatkozs"/>
                <w:rFonts w:asciiTheme="minorHAnsi" w:hAnsiTheme="minorHAnsi" w:cstheme="minorHAnsi"/>
                <w:b/>
              </w:rPr>
              <w:footnoteReference w:id="6"/>
            </w:r>
          </w:p>
        </w:tc>
        <w:tc>
          <w:tcPr>
            <w:tcW w:w="7087" w:type="dxa"/>
            <w:gridSpan w:val="3"/>
            <w:vAlign w:val="center"/>
          </w:tcPr>
          <w:p w14:paraId="0711BFD5" w14:textId="77777777" w:rsidR="00DD2FF5" w:rsidRPr="0075351E" w:rsidRDefault="00DD2FF5" w:rsidP="00376526">
            <w:pPr>
              <w:spacing w:before="60" w:after="60"/>
              <w:rPr>
                <w:rFonts w:asciiTheme="minorHAnsi" w:hAnsiTheme="minorHAnsi" w:cstheme="minorHAnsi"/>
              </w:rPr>
            </w:pPr>
            <w:r>
              <w:rPr>
                <w:rFonts w:asciiTheme="minorHAnsi" w:hAnsiTheme="minorHAnsi" w:cstheme="minorHAnsi"/>
              </w:rPr>
              <w:t>2 kredit</w:t>
            </w:r>
          </w:p>
        </w:tc>
      </w:tr>
      <w:tr w:rsidR="00DD2FF5" w:rsidRPr="0075351E" w14:paraId="1B82A1E4" w14:textId="77777777" w:rsidTr="00376526">
        <w:trPr>
          <w:cantSplit/>
        </w:trPr>
        <w:tc>
          <w:tcPr>
            <w:tcW w:w="2764" w:type="dxa"/>
            <w:shd w:val="clear" w:color="auto" w:fill="F2F2F2" w:themeFill="background1" w:themeFillShade="F2"/>
            <w:vAlign w:val="center"/>
          </w:tcPr>
          <w:p w14:paraId="442D5310" w14:textId="77777777" w:rsidR="00DD2FF5" w:rsidRPr="0075351E" w:rsidRDefault="00DD2FF5" w:rsidP="00376526">
            <w:pPr>
              <w:spacing w:before="60" w:after="60"/>
              <w:rPr>
                <w:rFonts w:asciiTheme="minorHAnsi" w:hAnsiTheme="minorHAnsi" w:cstheme="minorHAnsi"/>
                <w:b/>
              </w:rPr>
            </w:pPr>
            <w:r w:rsidRPr="0075351E">
              <w:rPr>
                <w:rFonts w:asciiTheme="minorHAnsi" w:hAnsiTheme="minorHAnsi" w:cstheme="minorHAnsi"/>
                <w:b/>
              </w:rPr>
              <w:t>Felelős szervezet neve:</w:t>
            </w:r>
            <w:r w:rsidRPr="0075351E">
              <w:rPr>
                <w:rStyle w:val="Lbjegyzet-hivatkozs"/>
                <w:rFonts w:asciiTheme="minorHAnsi" w:hAnsiTheme="minorHAnsi" w:cstheme="minorHAnsi"/>
                <w:b/>
              </w:rPr>
              <w:footnoteReference w:id="7"/>
            </w:r>
          </w:p>
        </w:tc>
        <w:tc>
          <w:tcPr>
            <w:tcW w:w="7087" w:type="dxa"/>
            <w:gridSpan w:val="3"/>
            <w:vAlign w:val="center"/>
          </w:tcPr>
          <w:p w14:paraId="19D856B2" w14:textId="77777777" w:rsidR="00DD2FF5" w:rsidRPr="0075351E" w:rsidRDefault="00DD2FF5" w:rsidP="00376526">
            <w:pPr>
              <w:spacing w:before="60" w:after="60"/>
              <w:rPr>
                <w:rFonts w:asciiTheme="minorHAnsi" w:hAnsiTheme="minorHAnsi" w:cstheme="minorHAnsi"/>
              </w:rPr>
            </w:pPr>
            <w:r>
              <w:rPr>
                <w:rFonts w:asciiTheme="minorHAnsi" w:hAnsiTheme="minorHAnsi" w:cstheme="minorHAnsi"/>
              </w:rPr>
              <w:t>Pénzügyi Jogi Tanszék</w:t>
            </w:r>
          </w:p>
        </w:tc>
      </w:tr>
      <w:tr w:rsidR="00DD2FF5" w:rsidRPr="0075351E" w14:paraId="17DA1C85" w14:textId="77777777" w:rsidTr="00376526">
        <w:trPr>
          <w:cantSplit/>
        </w:trPr>
        <w:tc>
          <w:tcPr>
            <w:tcW w:w="2764" w:type="dxa"/>
            <w:shd w:val="clear" w:color="auto" w:fill="F2F2F2" w:themeFill="background1" w:themeFillShade="F2"/>
            <w:vAlign w:val="center"/>
          </w:tcPr>
          <w:p w14:paraId="7D895648" w14:textId="77777777" w:rsidR="00DD2FF5" w:rsidRPr="0075351E" w:rsidRDefault="00DD2FF5" w:rsidP="00376526">
            <w:pPr>
              <w:spacing w:before="60" w:after="60"/>
              <w:rPr>
                <w:rFonts w:asciiTheme="minorHAnsi" w:hAnsiTheme="minorHAnsi" w:cstheme="minorHAnsi"/>
                <w:b/>
              </w:rPr>
            </w:pPr>
            <w:r w:rsidRPr="0075351E">
              <w:rPr>
                <w:rFonts w:asciiTheme="minorHAnsi" w:hAnsiTheme="minorHAnsi" w:cstheme="minorHAnsi"/>
                <w:b/>
              </w:rPr>
              <w:t>Tárgyfelelős neve:</w:t>
            </w:r>
          </w:p>
        </w:tc>
        <w:tc>
          <w:tcPr>
            <w:tcW w:w="7087" w:type="dxa"/>
            <w:gridSpan w:val="3"/>
            <w:vAlign w:val="center"/>
          </w:tcPr>
          <w:p w14:paraId="18BFF9AD" w14:textId="50605A29" w:rsidR="00DD2FF5" w:rsidRPr="0075351E" w:rsidRDefault="00DD2FF5" w:rsidP="00376526">
            <w:pPr>
              <w:spacing w:before="60" w:after="60"/>
              <w:rPr>
                <w:rFonts w:asciiTheme="minorHAnsi" w:hAnsiTheme="minorHAnsi" w:cstheme="minorHAnsi"/>
              </w:rPr>
            </w:pPr>
          </w:p>
        </w:tc>
      </w:tr>
      <w:tr w:rsidR="00DD2FF5" w:rsidRPr="0075351E" w14:paraId="7024DFE1" w14:textId="77777777" w:rsidTr="00376526">
        <w:trPr>
          <w:trHeight w:val="1126"/>
        </w:trPr>
        <w:tc>
          <w:tcPr>
            <w:tcW w:w="2764" w:type="dxa"/>
            <w:shd w:val="clear" w:color="auto" w:fill="D6E3BC" w:themeFill="accent3" w:themeFillTint="66"/>
            <w:vAlign w:val="center"/>
          </w:tcPr>
          <w:p w14:paraId="2584D669" w14:textId="77777777" w:rsidR="00DD2FF5" w:rsidRPr="0075351E" w:rsidRDefault="00DD2FF5" w:rsidP="00376526">
            <w:pPr>
              <w:spacing w:before="60" w:after="60"/>
              <w:rPr>
                <w:rFonts w:asciiTheme="minorHAnsi" w:hAnsiTheme="minorHAnsi" w:cstheme="minorHAnsi"/>
                <w:b/>
              </w:rPr>
            </w:pPr>
            <w:r>
              <w:rPr>
                <w:rFonts w:asciiTheme="minorHAnsi" w:hAnsiTheme="minorHAnsi" w:cstheme="minorHAnsi"/>
                <w:b/>
              </w:rPr>
              <w:t>Oktatás célja:</w:t>
            </w:r>
            <w:r>
              <w:rPr>
                <w:rStyle w:val="Lbjegyzet-hivatkozs"/>
                <w:rFonts w:asciiTheme="minorHAnsi" w:hAnsiTheme="minorHAnsi" w:cstheme="minorHAnsi"/>
                <w:b/>
              </w:rPr>
              <w:footnoteReference w:id="8"/>
            </w:r>
          </w:p>
        </w:tc>
        <w:tc>
          <w:tcPr>
            <w:tcW w:w="7087" w:type="dxa"/>
            <w:gridSpan w:val="3"/>
            <w:vAlign w:val="center"/>
          </w:tcPr>
          <w:p w14:paraId="0EC59BAE" w14:textId="77777777" w:rsidR="00EC0B6F" w:rsidRDefault="00EC0B6F" w:rsidP="00376526">
            <w:pPr>
              <w:tabs>
                <w:tab w:val="left" w:pos="142"/>
              </w:tabs>
              <w:spacing w:after="120"/>
              <w:jc w:val="both"/>
              <w:rPr>
                <w:rFonts w:asciiTheme="minorHAnsi" w:hAnsiTheme="minorHAnsi" w:cstheme="minorHAnsi"/>
              </w:rPr>
            </w:pPr>
            <w:r w:rsidRPr="00EC0B6F">
              <w:rPr>
                <w:rFonts w:asciiTheme="minorHAnsi" w:hAnsiTheme="minorHAnsi" w:cstheme="minorHAnsi"/>
              </w:rPr>
              <w:t>Bár az egészségügy területén vált honossá, a mai értelemben vett compliance fogalom az angolszász jogi terminológiának a 20. században kezdődő átvételével kezdte meg térnyerését legelőször az Egyesült Államokban. A rohamos sebességgel történő terjedésének következménye, hogy a compliance mára már egy igencsak szektorspecifikus területté nőtte ki magát a világban.</w:t>
            </w:r>
          </w:p>
          <w:p w14:paraId="7AEE5268" w14:textId="77777777" w:rsidR="00B301C2" w:rsidRPr="00EC0B6F" w:rsidRDefault="00B301C2" w:rsidP="00376526">
            <w:pPr>
              <w:tabs>
                <w:tab w:val="left" w:pos="142"/>
              </w:tabs>
              <w:spacing w:after="120"/>
              <w:jc w:val="both"/>
              <w:rPr>
                <w:rFonts w:asciiTheme="minorHAnsi" w:hAnsiTheme="minorHAnsi" w:cstheme="minorHAnsi"/>
              </w:rPr>
            </w:pPr>
          </w:p>
          <w:p w14:paraId="4DF21097" w14:textId="62ABF348" w:rsidR="00EC0B6F" w:rsidRDefault="003E0C76" w:rsidP="00376526">
            <w:pPr>
              <w:tabs>
                <w:tab w:val="left" w:pos="142"/>
              </w:tabs>
              <w:spacing w:after="120"/>
              <w:jc w:val="both"/>
              <w:rPr>
                <w:rFonts w:asciiTheme="minorHAnsi" w:hAnsiTheme="minorHAnsi" w:cstheme="minorHAnsi"/>
              </w:rPr>
            </w:pPr>
            <w:r>
              <w:rPr>
                <w:rFonts w:asciiTheme="minorHAnsi" w:hAnsiTheme="minorHAnsi" w:cstheme="minorHAnsi"/>
              </w:rPr>
              <w:t>A speciálkollégium</w:t>
            </w:r>
            <w:r w:rsidR="00EC0B6F" w:rsidRPr="00EC0B6F">
              <w:rPr>
                <w:rFonts w:asciiTheme="minorHAnsi" w:hAnsiTheme="minorHAnsi" w:cstheme="minorHAnsi"/>
              </w:rPr>
              <w:t xml:space="preserve"> célja, hogy betekintést nyújtson a hallgatóknak a compliance-be, azon belül is a compliance három alapvető területének egyikébe: a pénzügyi és adójogi compliance-be. Az alapkérdések és fogalmak lefektetését követően gyakorlatorientáltan, példákon keresztül vitatjuk meg a „megfelelőség” alapvető (jog)forrásait, azok gyakorlati érvényesülését illetőleg esetleges hiányosságait, nehézségeit a legfontosabb területeken (bank szektor, nagy vállalatok)</w:t>
            </w:r>
            <w:r w:rsidR="00EC0B6F">
              <w:rPr>
                <w:rFonts w:asciiTheme="minorHAnsi" w:hAnsiTheme="minorHAnsi" w:cstheme="minorHAnsi"/>
              </w:rPr>
              <w:t>.</w:t>
            </w:r>
          </w:p>
          <w:p w14:paraId="55A8DB52" w14:textId="77777777" w:rsidR="00B301C2" w:rsidRPr="00EC0B6F" w:rsidRDefault="00B301C2" w:rsidP="00376526">
            <w:pPr>
              <w:tabs>
                <w:tab w:val="left" w:pos="142"/>
              </w:tabs>
              <w:spacing w:after="120"/>
              <w:jc w:val="both"/>
              <w:rPr>
                <w:rFonts w:asciiTheme="minorHAnsi" w:hAnsiTheme="minorHAnsi" w:cstheme="minorHAnsi"/>
              </w:rPr>
            </w:pPr>
          </w:p>
          <w:p w14:paraId="5A735B67" w14:textId="79A0F781" w:rsidR="00EC0B6F" w:rsidRDefault="003E0C76" w:rsidP="00376526">
            <w:pPr>
              <w:tabs>
                <w:tab w:val="left" w:pos="142"/>
              </w:tabs>
              <w:spacing w:after="120"/>
              <w:jc w:val="both"/>
              <w:rPr>
                <w:rFonts w:asciiTheme="minorHAnsi" w:hAnsiTheme="minorHAnsi" w:cstheme="minorHAnsi"/>
              </w:rPr>
            </w:pPr>
            <w:r>
              <w:rPr>
                <w:rFonts w:asciiTheme="minorHAnsi" w:hAnsiTheme="minorHAnsi" w:cstheme="minorHAnsi"/>
              </w:rPr>
              <w:t>Á</w:t>
            </w:r>
            <w:r w:rsidR="00EC0B6F" w:rsidRPr="00EC0B6F">
              <w:rPr>
                <w:rFonts w:asciiTheme="minorHAnsi" w:hAnsiTheme="minorHAnsi" w:cstheme="minorHAnsi"/>
              </w:rPr>
              <w:t xml:space="preserve">ttekintjük a compliance kialakulásától kezdődően, a nemzetközi és európai adójogi ismereteken keresztül, az egyes vállalatok/bankok megfelelő kultúráját, </w:t>
            </w:r>
            <w:r w:rsidR="00EC0B6F">
              <w:rPr>
                <w:rFonts w:asciiTheme="minorHAnsi" w:hAnsiTheme="minorHAnsi" w:cstheme="minorHAnsi"/>
              </w:rPr>
              <w:t>módszereit</w:t>
            </w:r>
            <w:r w:rsidR="00EC0B6F" w:rsidRPr="00EC0B6F">
              <w:rPr>
                <w:rFonts w:asciiTheme="minorHAnsi" w:hAnsiTheme="minorHAnsi" w:cstheme="minorHAnsi"/>
              </w:rPr>
              <w:t>, amely mellett külön hangsúlyt fektetünk az offshore cégek jelenlétében rejlő adójogi szempontból felmerülő érdekességekre, adójogi konfliktusra, melynek feloldására (is) segítségül hívhatjuk az adójogi compliance tudásunkat.</w:t>
            </w:r>
          </w:p>
          <w:p w14:paraId="7B5EE5FF" w14:textId="77777777" w:rsidR="00B301C2" w:rsidRPr="00EC0B6F" w:rsidRDefault="00B301C2" w:rsidP="00376526">
            <w:pPr>
              <w:tabs>
                <w:tab w:val="left" w:pos="142"/>
              </w:tabs>
              <w:spacing w:after="120"/>
              <w:jc w:val="both"/>
              <w:rPr>
                <w:rFonts w:asciiTheme="minorHAnsi" w:hAnsiTheme="minorHAnsi" w:cstheme="minorHAnsi"/>
              </w:rPr>
            </w:pPr>
          </w:p>
          <w:p w14:paraId="621F91AF" w14:textId="2F4414B6" w:rsidR="00EC0B6F" w:rsidRPr="00EC0B6F" w:rsidRDefault="003E0C76" w:rsidP="00376526">
            <w:pPr>
              <w:tabs>
                <w:tab w:val="left" w:pos="142"/>
              </w:tabs>
              <w:spacing w:after="120"/>
              <w:jc w:val="both"/>
              <w:rPr>
                <w:rFonts w:asciiTheme="minorHAnsi" w:hAnsiTheme="minorHAnsi" w:cstheme="minorHAnsi"/>
              </w:rPr>
            </w:pPr>
            <w:r>
              <w:rPr>
                <w:rFonts w:asciiTheme="minorHAnsi" w:hAnsiTheme="minorHAnsi" w:cstheme="minorHAnsi"/>
              </w:rPr>
              <w:t>A kurzus</w:t>
            </w:r>
            <w:r w:rsidR="00EC0B6F" w:rsidRPr="00EC0B6F">
              <w:rPr>
                <w:rFonts w:asciiTheme="minorHAnsi" w:hAnsiTheme="minorHAnsi" w:cstheme="minorHAnsi"/>
              </w:rPr>
              <w:t xml:space="preserve"> kiemelten hasznos ismereteket adhat olyan hallgatóknak, akik a tanulmányaikat követően (vagy akár azzal párhuzamosan) compliance területen terveznek foglalkozni, elhelyezkedni. Az óra továbbá segíthet elsajátítani, hogy a vállalati kultúra részét képező compliance gyakorlatban történő érvényesülésekor mely tényezők elengedhetetlenek, elhanyagolhatatlanok.</w:t>
            </w:r>
          </w:p>
        </w:tc>
      </w:tr>
      <w:tr w:rsidR="00DD2FF5" w:rsidRPr="0075351E" w14:paraId="666E35FF" w14:textId="77777777" w:rsidTr="00376526">
        <w:trPr>
          <w:cantSplit/>
        </w:trPr>
        <w:tc>
          <w:tcPr>
            <w:tcW w:w="2764" w:type="dxa"/>
            <w:shd w:val="clear" w:color="auto" w:fill="D6E3BC" w:themeFill="accent3" w:themeFillTint="66"/>
            <w:vAlign w:val="center"/>
          </w:tcPr>
          <w:p w14:paraId="51ADBDDD" w14:textId="77777777" w:rsidR="00DD2FF5" w:rsidRPr="0075351E" w:rsidRDefault="00DD2FF5" w:rsidP="00376526">
            <w:pPr>
              <w:spacing w:before="60" w:after="60"/>
              <w:rPr>
                <w:rFonts w:asciiTheme="minorHAnsi" w:hAnsiTheme="minorHAnsi" w:cstheme="minorHAnsi"/>
                <w:b/>
              </w:rPr>
            </w:pPr>
            <w:r>
              <w:rPr>
                <w:rFonts w:asciiTheme="minorHAnsi" w:hAnsiTheme="minorHAnsi" w:cstheme="minorHAnsi"/>
                <w:b/>
              </w:rPr>
              <w:lastRenderedPageBreak/>
              <w:t>Tantárgy tartalma:</w:t>
            </w:r>
            <w:r>
              <w:rPr>
                <w:rStyle w:val="Lbjegyzet-hivatkozs"/>
                <w:rFonts w:asciiTheme="minorHAnsi" w:hAnsiTheme="minorHAnsi" w:cstheme="minorHAnsi"/>
                <w:b/>
              </w:rPr>
              <w:footnoteReference w:id="9"/>
            </w:r>
          </w:p>
        </w:tc>
        <w:tc>
          <w:tcPr>
            <w:tcW w:w="7087" w:type="dxa"/>
            <w:gridSpan w:val="3"/>
            <w:vAlign w:val="center"/>
          </w:tcPr>
          <w:p w14:paraId="75DDDBB3" w14:textId="0B15197F" w:rsidR="00EC0B6F" w:rsidRDefault="00EC0B6F" w:rsidP="00376526">
            <w:pPr>
              <w:pStyle w:val="Listaszerbekezds"/>
              <w:numPr>
                <w:ilvl w:val="0"/>
                <w:numId w:val="8"/>
              </w:numPr>
              <w:jc w:val="both"/>
              <w:rPr>
                <w:rFonts w:cstheme="minorHAnsi"/>
              </w:rPr>
            </w:pPr>
            <w:r w:rsidRPr="00BC4388">
              <w:rPr>
                <w:rFonts w:cstheme="minorHAnsi"/>
              </w:rPr>
              <w:t>Bevezetés a compliance alapkérdéseibe</w:t>
            </w:r>
          </w:p>
          <w:p w14:paraId="57C3EB66" w14:textId="15F8F9F1" w:rsidR="00A36085" w:rsidRDefault="00BC4388" w:rsidP="00376526">
            <w:pPr>
              <w:pStyle w:val="Listaszerbekezds"/>
              <w:numPr>
                <w:ilvl w:val="0"/>
                <w:numId w:val="8"/>
              </w:numPr>
              <w:jc w:val="both"/>
              <w:rPr>
                <w:rFonts w:cstheme="minorHAnsi"/>
              </w:rPr>
            </w:pPr>
            <w:r w:rsidRPr="00A36085">
              <w:rPr>
                <w:rFonts w:cstheme="minorHAnsi"/>
              </w:rPr>
              <w:t>A compliance fogalmának mai értelmezése</w:t>
            </w:r>
          </w:p>
          <w:p w14:paraId="5A224ACE" w14:textId="30E14267" w:rsidR="00483582" w:rsidRPr="00483582" w:rsidRDefault="00483582" w:rsidP="00376526">
            <w:pPr>
              <w:pStyle w:val="Listaszerbekezds"/>
              <w:numPr>
                <w:ilvl w:val="0"/>
                <w:numId w:val="8"/>
              </w:numPr>
              <w:jc w:val="both"/>
              <w:rPr>
                <w:rFonts w:cstheme="minorHAnsi"/>
              </w:rPr>
            </w:pPr>
            <w:r>
              <w:rPr>
                <w:rFonts w:cstheme="minorHAnsi"/>
              </w:rPr>
              <w:t>Hard compliance- Soft compliance határvonalai</w:t>
            </w:r>
          </w:p>
          <w:p w14:paraId="70565865" w14:textId="460014EF" w:rsidR="00A36085" w:rsidRDefault="00A36085" w:rsidP="00376526">
            <w:pPr>
              <w:pStyle w:val="Listaszerbekezds"/>
              <w:numPr>
                <w:ilvl w:val="0"/>
                <w:numId w:val="8"/>
              </w:numPr>
              <w:jc w:val="both"/>
              <w:rPr>
                <w:rFonts w:cstheme="minorHAnsi"/>
              </w:rPr>
            </w:pPr>
            <w:r>
              <w:rPr>
                <w:rFonts w:cstheme="minorHAnsi"/>
              </w:rPr>
              <w:t>Nemzetközi adójogi alapok</w:t>
            </w:r>
            <w:r w:rsidR="008D0218">
              <w:rPr>
                <w:rFonts w:cstheme="minorHAnsi"/>
              </w:rPr>
              <w:t xml:space="preserve"> és jogforrásai</w:t>
            </w:r>
          </w:p>
          <w:p w14:paraId="4A56CD3A" w14:textId="6923AA19" w:rsidR="00A36085" w:rsidRDefault="00A36085" w:rsidP="00376526">
            <w:pPr>
              <w:pStyle w:val="Listaszerbekezds"/>
              <w:numPr>
                <w:ilvl w:val="0"/>
                <w:numId w:val="8"/>
              </w:numPr>
              <w:jc w:val="both"/>
              <w:rPr>
                <w:rFonts w:cstheme="minorHAnsi"/>
              </w:rPr>
            </w:pPr>
            <w:r>
              <w:rPr>
                <w:rFonts w:cstheme="minorHAnsi"/>
              </w:rPr>
              <w:t>Adójogi konfliktusok és feloldásuk</w:t>
            </w:r>
            <w:r w:rsidR="008D0218">
              <w:rPr>
                <w:rFonts w:cstheme="minorHAnsi"/>
              </w:rPr>
              <w:t xml:space="preserve"> különböző módjai</w:t>
            </w:r>
          </w:p>
          <w:p w14:paraId="6CCC7F36" w14:textId="77777777" w:rsidR="008D0218" w:rsidRDefault="00A36085" w:rsidP="00376526">
            <w:pPr>
              <w:pStyle w:val="Listaszerbekezds"/>
              <w:numPr>
                <w:ilvl w:val="0"/>
                <w:numId w:val="8"/>
              </w:numPr>
              <w:jc w:val="both"/>
              <w:rPr>
                <w:rFonts w:cstheme="minorHAnsi"/>
              </w:rPr>
            </w:pPr>
            <w:r>
              <w:rPr>
                <w:rFonts w:cstheme="minorHAnsi"/>
              </w:rPr>
              <w:t>Az offshore, és az offshore-ozás legalitásának és illegalitásának elhatárolás</w:t>
            </w:r>
            <w:r w:rsidR="008D0218">
              <w:rPr>
                <w:rFonts w:cstheme="minorHAnsi"/>
              </w:rPr>
              <w:t>a</w:t>
            </w:r>
          </w:p>
          <w:p w14:paraId="6E4AA5E1" w14:textId="08BA43ED" w:rsidR="00DD2FF5" w:rsidRDefault="00EC0B6F" w:rsidP="00376526">
            <w:pPr>
              <w:pStyle w:val="Listaszerbekezds"/>
              <w:numPr>
                <w:ilvl w:val="0"/>
                <w:numId w:val="8"/>
              </w:numPr>
              <w:jc w:val="both"/>
              <w:rPr>
                <w:rFonts w:cstheme="minorHAnsi"/>
              </w:rPr>
            </w:pPr>
            <w:r w:rsidRPr="008D0218">
              <w:rPr>
                <w:rFonts w:cstheme="minorHAnsi"/>
              </w:rPr>
              <w:t>Pénzügyi és adójogi compliance elméleti alapvetései</w:t>
            </w:r>
          </w:p>
          <w:p w14:paraId="1446C39A" w14:textId="0C291FD2" w:rsidR="008D0218" w:rsidRDefault="008D0218" w:rsidP="00376526">
            <w:pPr>
              <w:pStyle w:val="Listaszerbekezds"/>
              <w:numPr>
                <w:ilvl w:val="0"/>
                <w:numId w:val="8"/>
              </w:numPr>
              <w:jc w:val="both"/>
              <w:rPr>
                <w:rFonts w:cstheme="minorHAnsi"/>
              </w:rPr>
            </w:pPr>
            <w:r>
              <w:rPr>
                <w:rFonts w:cstheme="minorHAnsi"/>
              </w:rPr>
              <w:t>A banki complianc</w:t>
            </w:r>
            <w:r w:rsidR="00483582">
              <w:rPr>
                <w:rFonts w:cstheme="minorHAnsi"/>
              </w:rPr>
              <w:t>e és annak közvetlen hatáskörébe tartozó témakörök</w:t>
            </w:r>
          </w:p>
          <w:p w14:paraId="5402505E" w14:textId="0D47082E" w:rsidR="007E7391" w:rsidRPr="007E7391" w:rsidRDefault="007E7391" w:rsidP="00376526">
            <w:pPr>
              <w:pStyle w:val="Listaszerbekezds"/>
              <w:numPr>
                <w:ilvl w:val="0"/>
                <w:numId w:val="8"/>
              </w:numPr>
              <w:jc w:val="both"/>
              <w:rPr>
                <w:rFonts w:cstheme="minorHAnsi"/>
              </w:rPr>
            </w:pPr>
            <w:r>
              <w:rPr>
                <w:rFonts w:cstheme="minorHAnsi"/>
              </w:rPr>
              <w:t>Gazdasági szankciók, annak típusai és hatásai (különös tekintettel a pénzügyi szankciókra)</w:t>
            </w:r>
          </w:p>
          <w:p w14:paraId="50FBCF4F" w14:textId="7C06DA65" w:rsidR="00483582" w:rsidRDefault="00483582" w:rsidP="00376526">
            <w:pPr>
              <w:pStyle w:val="Listaszerbekezds"/>
              <w:numPr>
                <w:ilvl w:val="0"/>
                <w:numId w:val="8"/>
              </w:numPr>
              <w:jc w:val="both"/>
              <w:rPr>
                <w:rFonts w:cstheme="minorHAnsi"/>
              </w:rPr>
            </w:pPr>
            <w:r>
              <w:rPr>
                <w:rFonts w:cstheme="minorHAnsi"/>
              </w:rPr>
              <w:t>A bankszektort érintő aktuális intézkedések az egyes szankciók (háború) tükrében</w:t>
            </w:r>
          </w:p>
          <w:p w14:paraId="35CF2293" w14:textId="5F34B7ED" w:rsidR="00EC0B6F" w:rsidRPr="008D0218" w:rsidRDefault="00E8713D" w:rsidP="00376526">
            <w:pPr>
              <w:pStyle w:val="Listaszerbekezds"/>
              <w:numPr>
                <w:ilvl w:val="0"/>
                <w:numId w:val="8"/>
              </w:numPr>
              <w:jc w:val="both"/>
              <w:rPr>
                <w:rFonts w:cstheme="minorHAnsi"/>
              </w:rPr>
            </w:pPr>
            <w:r w:rsidRPr="008D0218">
              <w:rPr>
                <w:rFonts w:cstheme="minorHAnsi"/>
              </w:rPr>
              <w:t>Pénzügyi és adójogi compliance a gyakorlatban</w:t>
            </w:r>
            <w:r w:rsidR="00483582">
              <w:rPr>
                <w:rFonts w:cstheme="minorHAnsi"/>
              </w:rPr>
              <w:t>, gyakorlati példák</w:t>
            </w:r>
          </w:p>
        </w:tc>
      </w:tr>
      <w:tr w:rsidR="00DD2FF5" w:rsidRPr="0075351E" w14:paraId="49D8E59E" w14:textId="77777777" w:rsidTr="00376526">
        <w:trPr>
          <w:cantSplit/>
        </w:trPr>
        <w:tc>
          <w:tcPr>
            <w:tcW w:w="2764" w:type="dxa"/>
            <w:shd w:val="clear" w:color="auto" w:fill="D6E3BC" w:themeFill="accent3" w:themeFillTint="66"/>
            <w:vAlign w:val="center"/>
          </w:tcPr>
          <w:p w14:paraId="2D1A5440" w14:textId="77777777" w:rsidR="00DD2FF5" w:rsidRDefault="00DD2FF5" w:rsidP="00376526">
            <w:pPr>
              <w:spacing w:before="60" w:after="60"/>
              <w:rPr>
                <w:rFonts w:asciiTheme="minorHAnsi" w:hAnsiTheme="minorHAnsi" w:cstheme="minorHAnsi"/>
                <w:b/>
              </w:rPr>
            </w:pPr>
            <w:r>
              <w:rPr>
                <w:rFonts w:asciiTheme="minorHAnsi" w:hAnsiTheme="minorHAnsi" w:cstheme="minorHAnsi"/>
                <w:b/>
              </w:rPr>
              <w:t>Számonkérési és értékelési rendszere:</w:t>
            </w:r>
            <w:r>
              <w:rPr>
                <w:rStyle w:val="Lbjegyzet-hivatkozs"/>
                <w:rFonts w:asciiTheme="minorHAnsi" w:hAnsiTheme="minorHAnsi" w:cstheme="minorHAnsi"/>
                <w:b/>
              </w:rPr>
              <w:footnoteReference w:id="10"/>
            </w:r>
          </w:p>
        </w:tc>
        <w:tc>
          <w:tcPr>
            <w:tcW w:w="7087" w:type="dxa"/>
            <w:gridSpan w:val="3"/>
            <w:vAlign w:val="center"/>
          </w:tcPr>
          <w:p w14:paraId="661EE235" w14:textId="77777777" w:rsidR="00DD2FF5" w:rsidRPr="0075351E" w:rsidRDefault="00DD2FF5" w:rsidP="00376526">
            <w:pPr>
              <w:rPr>
                <w:rFonts w:asciiTheme="minorHAnsi" w:hAnsiTheme="minorHAnsi" w:cstheme="minorHAnsi"/>
              </w:rPr>
            </w:pPr>
            <w:r w:rsidRPr="00124DBC">
              <w:rPr>
                <w:rFonts w:asciiTheme="minorHAnsi" w:hAnsiTheme="minorHAnsi" w:cstheme="minorHAnsi"/>
              </w:rPr>
              <w:t>Aktív órai közreműködés, illetve beadandó házi dolgozat.</w:t>
            </w:r>
          </w:p>
        </w:tc>
      </w:tr>
      <w:tr w:rsidR="00DD2FF5" w:rsidRPr="0075351E" w14:paraId="48DB1AD6" w14:textId="77777777" w:rsidTr="00376526">
        <w:trPr>
          <w:cantSplit/>
        </w:trPr>
        <w:tc>
          <w:tcPr>
            <w:tcW w:w="2764" w:type="dxa"/>
            <w:shd w:val="clear" w:color="auto" w:fill="D6E3BC" w:themeFill="accent3" w:themeFillTint="66"/>
            <w:vAlign w:val="center"/>
          </w:tcPr>
          <w:p w14:paraId="20EDBA7D" w14:textId="77777777" w:rsidR="00DD2FF5" w:rsidRDefault="00DD2FF5" w:rsidP="00376526">
            <w:pPr>
              <w:spacing w:before="60" w:after="60"/>
              <w:rPr>
                <w:rFonts w:asciiTheme="minorHAnsi" w:hAnsiTheme="minorHAnsi" w:cstheme="minorHAnsi"/>
                <w:b/>
              </w:rPr>
            </w:pPr>
            <w:r>
              <w:rPr>
                <w:rFonts w:asciiTheme="minorHAnsi" w:hAnsiTheme="minorHAnsi" w:cstheme="minorHAnsi"/>
                <w:b/>
              </w:rPr>
              <w:t>Irodalom:</w:t>
            </w:r>
            <w:r>
              <w:rPr>
                <w:rStyle w:val="Lbjegyzet-hivatkozs"/>
                <w:rFonts w:asciiTheme="minorHAnsi" w:hAnsiTheme="minorHAnsi" w:cstheme="minorHAnsi"/>
                <w:b/>
              </w:rPr>
              <w:footnoteReference w:id="11"/>
            </w:r>
          </w:p>
        </w:tc>
        <w:tc>
          <w:tcPr>
            <w:tcW w:w="7087" w:type="dxa"/>
            <w:gridSpan w:val="3"/>
            <w:vAlign w:val="center"/>
          </w:tcPr>
          <w:p w14:paraId="5B1809F3" w14:textId="6ECAD025" w:rsidR="00DD2FF5" w:rsidRDefault="00DD2FF5" w:rsidP="00376526">
            <w:pPr>
              <w:shd w:val="clear" w:color="auto" w:fill="FFFFFF"/>
              <w:spacing w:line="255" w:lineRule="atLeast"/>
              <w:jc w:val="both"/>
              <w:textAlignment w:val="baseline"/>
              <w:rPr>
                <w:rFonts w:asciiTheme="minorHAnsi" w:hAnsiTheme="minorHAnsi" w:cstheme="minorHAnsi"/>
              </w:rPr>
            </w:pPr>
            <w:r w:rsidRPr="008338F1">
              <w:rPr>
                <w:rFonts w:asciiTheme="minorHAnsi" w:hAnsiTheme="minorHAnsi" w:cstheme="minorHAnsi"/>
              </w:rPr>
              <w:t>A tananyag részét az órán elhangzotta</w:t>
            </w:r>
            <w:r w:rsidR="00D06F7E">
              <w:rPr>
                <w:rFonts w:asciiTheme="minorHAnsi" w:hAnsiTheme="minorHAnsi" w:cstheme="minorHAnsi"/>
              </w:rPr>
              <w:t xml:space="preserve">k </w:t>
            </w:r>
            <w:r w:rsidRPr="008338F1">
              <w:rPr>
                <w:rFonts w:asciiTheme="minorHAnsi" w:hAnsiTheme="minorHAnsi" w:cstheme="minorHAnsi"/>
              </w:rPr>
              <w:t>képezik.</w:t>
            </w:r>
          </w:p>
          <w:p w14:paraId="4442A67D" w14:textId="77777777" w:rsidR="00DD2FF5" w:rsidRPr="008338F1" w:rsidRDefault="00DD2FF5" w:rsidP="00376526">
            <w:pPr>
              <w:shd w:val="clear" w:color="auto" w:fill="FFFFFF"/>
              <w:spacing w:line="255" w:lineRule="atLeast"/>
              <w:jc w:val="both"/>
              <w:textAlignment w:val="baseline"/>
              <w:rPr>
                <w:rFonts w:asciiTheme="minorHAnsi" w:hAnsiTheme="minorHAnsi" w:cstheme="minorHAnsi"/>
              </w:rPr>
            </w:pPr>
          </w:p>
          <w:p w14:paraId="4BF9E2E0" w14:textId="77777777" w:rsidR="00DD2FF5" w:rsidRDefault="00DD2FF5" w:rsidP="00376526">
            <w:pPr>
              <w:shd w:val="clear" w:color="auto" w:fill="FFFFFF"/>
              <w:spacing w:line="255" w:lineRule="atLeast"/>
              <w:jc w:val="both"/>
              <w:textAlignment w:val="baseline"/>
              <w:rPr>
                <w:rFonts w:asciiTheme="minorHAnsi" w:hAnsiTheme="minorHAnsi" w:cstheme="minorHAnsi"/>
              </w:rPr>
            </w:pPr>
            <w:r>
              <w:rPr>
                <w:rFonts w:asciiTheme="minorHAnsi" w:hAnsiTheme="minorHAnsi" w:cstheme="minorHAnsi"/>
              </w:rPr>
              <w:t>Ajánlott irodalom:</w:t>
            </w:r>
          </w:p>
          <w:p w14:paraId="75C02A4B" w14:textId="77777777" w:rsidR="00DD2FF5" w:rsidRDefault="00DD2FF5" w:rsidP="00376526">
            <w:pPr>
              <w:shd w:val="clear" w:color="auto" w:fill="FFFFFF"/>
              <w:spacing w:line="255" w:lineRule="atLeast"/>
              <w:jc w:val="both"/>
              <w:textAlignment w:val="baseline"/>
              <w:rPr>
                <w:rFonts w:asciiTheme="minorHAnsi" w:hAnsiTheme="minorHAnsi" w:cstheme="minorHAnsi"/>
              </w:rPr>
            </w:pPr>
          </w:p>
          <w:p w14:paraId="42519CF3" w14:textId="6133A84F" w:rsidR="00EC0B6F" w:rsidRDefault="00EC0B6F" w:rsidP="00376526">
            <w:pPr>
              <w:shd w:val="clear" w:color="auto" w:fill="FFFFFF"/>
              <w:spacing w:line="255" w:lineRule="atLeast"/>
              <w:jc w:val="both"/>
              <w:textAlignment w:val="baseline"/>
              <w:rPr>
                <w:rFonts w:asciiTheme="minorHAnsi" w:hAnsiTheme="minorHAnsi" w:cstheme="minorHAnsi"/>
              </w:rPr>
            </w:pPr>
            <w:r w:rsidRPr="00EC0B6F">
              <w:rPr>
                <w:rFonts w:asciiTheme="minorHAnsi" w:hAnsiTheme="minorHAnsi" w:cstheme="minorHAnsi"/>
              </w:rPr>
              <w:t xml:space="preserve">Jacsó Judit: A compliance fogalmáról és szerepéről a gazdasági életben, Miskolci Jogi Szemle, 2019/1. Különszám. </w:t>
            </w:r>
            <w:hyperlink r:id="rId8" w:history="1">
              <w:r w:rsidRPr="00480497">
                <w:rPr>
                  <w:rStyle w:val="Hiperhivatkozs"/>
                  <w:rFonts w:asciiTheme="minorHAnsi" w:hAnsiTheme="minorHAnsi" w:cstheme="minorHAnsi"/>
                </w:rPr>
                <w:t>https://www.mjsz.uni-miskolc.hu/files/8169/11_jacsojudit.pdf</w:t>
              </w:r>
            </w:hyperlink>
          </w:p>
          <w:p w14:paraId="6777501D" w14:textId="77777777" w:rsidR="00EC0B6F" w:rsidRPr="00EC0B6F" w:rsidRDefault="00EC0B6F" w:rsidP="00376526">
            <w:pPr>
              <w:shd w:val="clear" w:color="auto" w:fill="FFFFFF"/>
              <w:spacing w:line="255" w:lineRule="atLeast"/>
              <w:jc w:val="both"/>
              <w:textAlignment w:val="baseline"/>
              <w:rPr>
                <w:rFonts w:asciiTheme="minorHAnsi" w:hAnsiTheme="minorHAnsi" w:cstheme="minorHAnsi"/>
              </w:rPr>
            </w:pPr>
          </w:p>
          <w:p w14:paraId="4FFEF01E" w14:textId="77777777" w:rsidR="00EC0B6F" w:rsidRDefault="00EC0B6F" w:rsidP="00376526">
            <w:pPr>
              <w:shd w:val="clear" w:color="auto" w:fill="FFFFFF"/>
              <w:spacing w:line="255" w:lineRule="atLeast"/>
              <w:jc w:val="both"/>
              <w:textAlignment w:val="baseline"/>
              <w:rPr>
                <w:rFonts w:asciiTheme="minorHAnsi" w:hAnsiTheme="minorHAnsi" w:cstheme="minorHAnsi"/>
              </w:rPr>
            </w:pPr>
            <w:r w:rsidRPr="00EC0B6F">
              <w:rPr>
                <w:rFonts w:asciiTheme="minorHAnsi" w:hAnsiTheme="minorHAnsi" w:cstheme="minorHAnsi"/>
              </w:rPr>
              <w:t>Erdős Éva: Nemzetközi, illetve európai adójogi konfliktusok és kezelésének módjai. Publicationes Universitatis Miskolcinensis, Sectio Juridica et Politica Tomus XXV/1. Miskolc University Press, 2007. 267-289. o.</w:t>
            </w:r>
          </w:p>
          <w:p w14:paraId="6E59A38E" w14:textId="77777777" w:rsidR="00EC0B6F" w:rsidRPr="00EC0B6F" w:rsidRDefault="00EC0B6F" w:rsidP="00376526">
            <w:pPr>
              <w:shd w:val="clear" w:color="auto" w:fill="FFFFFF"/>
              <w:spacing w:line="255" w:lineRule="atLeast"/>
              <w:jc w:val="both"/>
              <w:textAlignment w:val="baseline"/>
              <w:rPr>
                <w:rFonts w:asciiTheme="minorHAnsi" w:hAnsiTheme="minorHAnsi" w:cstheme="minorHAnsi"/>
              </w:rPr>
            </w:pPr>
          </w:p>
          <w:p w14:paraId="024E8093" w14:textId="77777777" w:rsidR="00EC0B6F" w:rsidRDefault="00EC0B6F" w:rsidP="00376526">
            <w:pPr>
              <w:shd w:val="clear" w:color="auto" w:fill="FFFFFF"/>
              <w:spacing w:line="255" w:lineRule="atLeast"/>
              <w:jc w:val="both"/>
              <w:textAlignment w:val="baseline"/>
              <w:rPr>
                <w:rFonts w:asciiTheme="minorHAnsi" w:hAnsiTheme="minorHAnsi" w:cstheme="minorHAnsi"/>
              </w:rPr>
            </w:pPr>
            <w:r w:rsidRPr="00EC0B6F">
              <w:rPr>
                <w:rFonts w:asciiTheme="minorHAnsi" w:hAnsiTheme="minorHAnsi" w:cstheme="minorHAnsi"/>
              </w:rPr>
              <w:t>Brother Layman: Az offshore halála, Harmadik, módosított, e-könyv (ebook/ibook) kiadás, 2011. december</w:t>
            </w:r>
          </w:p>
          <w:p w14:paraId="79853849" w14:textId="77777777" w:rsidR="00EC0B6F" w:rsidRPr="00EC0B6F" w:rsidRDefault="00EC0B6F" w:rsidP="00376526">
            <w:pPr>
              <w:shd w:val="clear" w:color="auto" w:fill="FFFFFF"/>
              <w:spacing w:line="255" w:lineRule="atLeast"/>
              <w:jc w:val="both"/>
              <w:textAlignment w:val="baseline"/>
              <w:rPr>
                <w:rFonts w:asciiTheme="minorHAnsi" w:hAnsiTheme="minorHAnsi" w:cstheme="minorHAnsi"/>
              </w:rPr>
            </w:pPr>
          </w:p>
          <w:p w14:paraId="18A73A6E" w14:textId="77777777" w:rsidR="00EC0B6F" w:rsidRDefault="00EC0B6F" w:rsidP="00376526">
            <w:pPr>
              <w:shd w:val="clear" w:color="auto" w:fill="FFFFFF"/>
              <w:spacing w:line="255" w:lineRule="atLeast"/>
              <w:jc w:val="both"/>
              <w:textAlignment w:val="baseline"/>
              <w:rPr>
                <w:rFonts w:asciiTheme="minorHAnsi" w:hAnsiTheme="minorHAnsi" w:cstheme="minorHAnsi"/>
              </w:rPr>
            </w:pPr>
            <w:r w:rsidRPr="00EC0B6F">
              <w:rPr>
                <w:rFonts w:asciiTheme="minorHAnsi" w:hAnsiTheme="minorHAnsi" w:cstheme="minorHAnsi"/>
              </w:rPr>
              <w:t>A compliance szerepe a közösségi értékek és érdekek védelmében - Elmélet és gyakorlat</w:t>
            </w:r>
          </w:p>
          <w:p w14:paraId="62795C30" w14:textId="77777777" w:rsidR="00EC0B6F" w:rsidRDefault="00EC0B6F" w:rsidP="00376526">
            <w:pPr>
              <w:shd w:val="clear" w:color="auto" w:fill="FFFFFF"/>
              <w:spacing w:line="255" w:lineRule="atLeast"/>
              <w:jc w:val="both"/>
              <w:textAlignment w:val="baseline"/>
              <w:rPr>
                <w:rFonts w:asciiTheme="minorHAnsi" w:hAnsiTheme="minorHAnsi" w:cstheme="minorHAnsi"/>
              </w:rPr>
            </w:pPr>
            <w:r w:rsidRPr="00EC0B6F">
              <w:rPr>
                <w:rFonts w:asciiTheme="minorHAnsi" w:hAnsiTheme="minorHAnsi" w:cstheme="minorHAnsi"/>
              </w:rPr>
              <w:t>Kocziszky György - Kardkovács Kolos, AKADÉMIAI KIADÓ online megjelenés éve:2020</w:t>
            </w:r>
          </w:p>
          <w:p w14:paraId="1C9E5D20" w14:textId="77777777" w:rsidR="00EC0B6F" w:rsidRPr="00EC0B6F" w:rsidRDefault="00EC0B6F" w:rsidP="00376526">
            <w:pPr>
              <w:shd w:val="clear" w:color="auto" w:fill="FFFFFF"/>
              <w:spacing w:line="255" w:lineRule="atLeast"/>
              <w:jc w:val="both"/>
              <w:textAlignment w:val="baseline"/>
              <w:rPr>
                <w:rFonts w:asciiTheme="minorHAnsi" w:hAnsiTheme="minorHAnsi" w:cstheme="minorHAnsi"/>
              </w:rPr>
            </w:pPr>
          </w:p>
          <w:p w14:paraId="78213B17" w14:textId="510EEA8E" w:rsidR="00EC0B6F" w:rsidRDefault="00EC0B6F" w:rsidP="00376526">
            <w:pPr>
              <w:shd w:val="clear" w:color="auto" w:fill="FFFFFF"/>
              <w:spacing w:line="255" w:lineRule="atLeast"/>
              <w:jc w:val="both"/>
              <w:textAlignment w:val="baseline"/>
              <w:rPr>
                <w:rFonts w:asciiTheme="minorHAnsi" w:hAnsiTheme="minorHAnsi" w:cstheme="minorHAnsi"/>
              </w:rPr>
            </w:pPr>
            <w:r w:rsidRPr="00EC0B6F">
              <w:rPr>
                <w:rFonts w:asciiTheme="minorHAnsi" w:hAnsiTheme="minorHAnsi" w:cstheme="minorHAnsi"/>
              </w:rPr>
              <w:t>Bankmenedzsment banküzemtan, szerkesztette: Kovács Levente/Marsi Erika, Magyar Bankszövetség,</w:t>
            </w:r>
            <w:r>
              <w:rPr>
                <w:rFonts w:asciiTheme="minorHAnsi" w:hAnsiTheme="minorHAnsi" w:cstheme="minorHAnsi"/>
              </w:rPr>
              <w:t xml:space="preserve"> </w:t>
            </w:r>
            <w:r w:rsidRPr="00EC0B6F">
              <w:rPr>
                <w:rFonts w:asciiTheme="minorHAnsi" w:hAnsiTheme="minorHAnsi" w:cstheme="minorHAnsi"/>
              </w:rPr>
              <w:t>Budapest, 2018</w:t>
            </w:r>
          </w:p>
          <w:p w14:paraId="1F2E28AC" w14:textId="75A005C3" w:rsidR="00D06F7E" w:rsidRPr="008338F1" w:rsidRDefault="00D06F7E" w:rsidP="00376526">
            <w:pPr>
              <w:shd w:val="clear" w:color="auto" w:fill="FFFFFF"/>
              <w:spacing w:line="255" w:lineRule="atLeast"/>
              <w:jc w:val="both"/>
              <w:textAlignment w:val="baseline"/>
              <w:rPr>
                <w:rFonts w:asciiTheme="minorHAnsi" w:hAnsiTheme="minorHAnsi" w:cstheme="minorHAnsi"/>
              </w:rPr>
            </w:pPr>
          </w:p>
        </w:tc>
      </w:tr>
    </w:tbl>
    <w:p w14:paraId="16F7B317" w14:textId="0BB0FDD0" w:rsidR="00DB3BF0" w:rsidRDefault="007D168A" w:rsidP="0080702A">
      <w:pPr>
        <w:rPr>
          <w:rFonts w:asciiTheme="minorHAnsi" w:hAnsiTheme="minorHAnsi" w:cstheme="minorHAnsi"/>
        </w:rPr>
      </w:pPr>
      <w:r>
        <w:rPr>
          <w:rFonts w:asciiTheme="minorHAnsi" w:hAnsiTheme="minorHAnsi" w:cstheme="minorHAnsi"/>
        </w:rPr>
        <w:lastRenderedPageBreak/>
        <w:br w:type="page"/>
      </w:r>
    </w:p>
    <w:p w14:paraId="3B8931BB" w14:textId="77777777" w:rsidR="00DB3BF0" w:rsidRDefault="00DB3BF0" w:rsidP="0080702A">
      <w:pPr>
        <w:rPr>
          <w:rFonts w:asciiTheme="minorHAnsi" w:hAnsiTheme="minorHAnsi" w:cstheme="minorHAns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2149"/>
        <w:gridCol w:w="2149"/>
        <w:gridCol w:w="2789"/>
      </w:tblGrid>
      <w:tr w:rsidR="002829E9" w:rsidRPr="00AE222B" w14:paraId="45FBED4E" w14:textId="77777777" w:rsidTr="00BF500F">
        <w:tc>
          <w:tcPr>
            <w:tcW w:w="2764" w:type="dxa"/>
            <w:shd w:val="clear" w:color="auto" w:fill="F2F2F2" w:themeFill="background1" w:themeFillShade="F2"/>
            <w:vAlign w:val="center"/>
          </w:tcPr>
          <w:p w14:paraId="1C58C699" w14:textId="77777777" w:rsidR="002829E9" w:rsidRPr="00AE222B" w:rsidRDefault="002829E9" w:rsidP="0027750E">
            <w:pPr>
              <w:spacing w:before="60" w:after="60"/>
              <w:rPr>
                <w:rFonts w:asciiTheme="minorHAnsi" w:hAnsiTheme="minorHAnsi" w:cstheme="minorHAnsi"/>
                <w:b/>
                <w:lang w:val="en-GB"/>
              </w:rPr>
            </w:pPr>
            <w:r w:rsidRPr="00AE222B">
              <w:rPr>
                <w:rFonts w:asciiTheme="minorHAnsi" w:hAnsiTheme="minorHAnsi" w:cstheme="minorHAnsi"/>
                <w:b/>
                <w:lang w:val="en-GB"/>
              </w:rPr>
              <w:t>Name of the course:</w:t>
            </w:r>
          </w:p>
        </w:tc>
        <w:tc>
          <w:tcPr>
            <w:tcW w:w="7087" w:type="dxa"/>
            <w:gridSpan w:val="3"/>
            <w:vAlign w:val="center"/>
          </w:tcPr>
          <w:p w14:paraId="14C789BE" w14:textId="13C4BD30" w:rsidR="002829E9" w:rsidRPr="00AE222B" w:rsidRDefault="00C73378" w:rsidP="0027750E">
            <w:pPr>
              <w:spacing w:before="60" w:after="60"/>
              <w:rPr>
                <w:rFonts w:asciiTheme="minorHAnsi" w:hAnsiTheme="minorHAnsi" w:cstheme="minorHAnsi"/>
                <w:lang w:val="en-GB"/>
              </w:rPr>
            </w:pPr>
            <w:r w:rsidRPr="00C73378">
              <w:rPr>
                <w:rFonts w:asciiTheme="minorHAnsi" w:hAnsiTheme="minorHAnsi" w:cstheme="minorHAnsi"/>
                <w:lang w:val="en-GB"/>
              </w:rPr>
              <w:t>Tax compliance and offshore</w:t>
            </w:r>
          </w:p>
        </w:tc>
      </w:tr>
      <w:tr w:rsidR="002829E9" w:rsidRPr="00AE222B" w14:paraId="5C9367D2" w14:textId="77777777" w:rsidTr="00BF500F">
        <w:tc>
          <w:tcPr>
            <w:tcW w:w="2764" w:type="dxa"/>
            <w:shd w:val="clear" w:color="auto" w:fill="F2F2F2" w:themeFill="background1" w:themeFillShade="F2"/>
            <w:vAlign w:val="center"/>
          </w:tcPr>
          <w:p w14:paraId="6CCB9469" w14:textId="77777777" w:rsidR="002829E9" w:rsidRPr="00AE222B" w:rsidRDefault="002829E9" w:rsidP="0027750E">
            <w:pPr>
              <w:spacing w:before="60" w:after="60"/>
              <w:rPr>
                <w:rFonts w:asciiTheme="minorHAnsi" w:hAnsiTheme="minorHAnsi" w:cstheme="minorHAnsi"/>
                <w:b/>
                <w:lang w:val="en-GB"/>
              </w:rPr>
            </w:pPr>
            <w:r w:rsidRPr="00AE222B">
              <w:rPr>
                <w:rFonts w:asciiTheme="minorHAnsi" w:hAnsiTheme="minorHAnsi" w:cstheme="minorHAnsi"/>
                <w:b/>
                <w:lang w:val="en-GB"/>
              </w:rPr>
              <w:t>Level:</w:t>
            </w:r>
            <w:r w:rsidRPr="00AE222B">
              <w:rPr>
                <w:rStyle w:val="Lbjegyzet-hivatkozs"/>
                <w:rFonts w:asciiTheme="minorHAnsi" w:hAnsiTheme="minorHAnsi" w:cstheme="minorHAnsi"/>
                <w:b/>
                <w:lang w:val="en-GB"/>
              </w:rPr>
              <w:footnoteReference w:id="12"/>
            </w:r>
          </w:p>
        </w:tc>
        <w:tc>
          <w:tcPr>
            <w:tcW w:w="7087" w:type="dxa"/>
            <w:gridSpan w:val="3"/>
            <w:vAlign w:val="center"/>
          </w:tcPr>
          <w:p w14:paraId="5909807F" w14:textId="46AC935D" w:rsidR="002829E9" w:rsidRPr="00AE222B" w:rsidRDefault="00C73378" w:rsidP="0027750E">
            <w:pPr>
              <w:spacing w:before="60" w:after="60"/>
              <w:rPr>
                <w:rFonts w:asciiTheme="minorHAnsi" w:hAnsiTheme="minorHAnsi" w:cstheme="minorHAnsi"/>
                <w:lang w:val="en-GB"/>
              </w:rPr>
            </w:pPr>
            <w:r>
              <w:rPr>
                <w:rFonts w:asciiTheme="minorHAnsi" w:hAnsiTheme="minorHAnsi" w:cstheme="minorHAnsi"/>
              </w:rPr>
              <w:t>5-9</w:t>
            </w:r>
          </w:p>
        </w:tc>
      </w:tr>
      <w:tr w:rsidR="002829E9" w:rsidRPr="00AE222B" w14:paraId="43E7E54C" w14:textId="77777777" w:rsidTr="00BF500F">
        <w:tc>
          <w:tcPr>
            <w:tcW w:w="2764" w:type="dxa"/>
            <w:shd w:val="clear" w:color="auto" w:fill="F2F2F2" w:themeFill="background1" w:themeFillShade="F2"/>
            <w:vAlign w:val="center"/>
          </w:tcPr>
          <w:p w14:paraId="1E02BB68" w14:textId="77777777" w:rsidR="002829E9" w:rsidRPr="00AE222B" w:rsidRDefault="002829E9" w:rsidP="0027750E">
            <w:pPr>
              <w:spacing w:before="60" w:after="60"/>
              <w:rPr>
                <w:rFonts w:asciiTheme="minorHAnsi" w:hAnsiTheme="minorHAnsi" w:cstheme="minorHAnsi"/>
                <w:b/>
                <w:lang w:val="en-GB"/>
              </w:rPr>
            </w:pPr>
            <w:r w:rsidRPr="00AE222B">
              <w:rPr>
                <w:rFonts w:asciiTheme="minorHAnsi" w:hAnsiTheme="minorHAnsi" w:cstheme="minorHAnsi"/>
                <w:b/>
                <w:lang w:val="en-GB"/>
              </w:rPr>
              <w:t>Prerequisites:</w:t>
            </w:r>
            <w:r w:rsidRPr="00AE222B">
              <w:rPr>
                <w:rStyle w:val="Lbjegyzet-hivatkozs"/>
                <w:rFonts w:asciiTheme="minorHAnsi" w:hAnsiTheme="minorHAnsi" w:cstheme="minorHAnsi"/>
                <w:b/>
                <w:lang w:val="en-GB"/>
              </w:rPr>
              <w:footnoteReference w:id="13"/>
            </w:r>
          </w:p>
        </w:tc>
        <w:tc>
          <w:tcPr>
            <w:tcW w:w="7087" w:type="dxa"/>
            <w:gridSpan w:val="3"/>
            <w:vAlign w:val="center"/>
          </w:tcPr>
          <w:p w14:paraId="69DC4FA2" w14:textId="43446AB6" w:rsidR="002829E9" w:rsidRPr="00AE222B" w:rsidRDefault="00C73378" w:rsidP="0027750E">
            <w:pPr>
              <w:spacing w:before="60" w:after="60"/>
              <w:rPr>
                <w:rFonts w:asciiTheme="minorHAnsi" w:hAnsiTheme="minorHAnsi" w:cstheme="minorHAnsi"/>
                <w:lang w:val="en-GB"/>
              </w:rPr>
            </w:pPr>
            <w:r>
              <w:rPr>
                <w:rFonts w:asciiTheme="minorHAnsi" w:hAnsiTheme="minorHAnsi" w:cstheme="minorHAnsi"/>
                <w:lang w:val="en-GB"/>
              </w:rPr>
              <w:t>-</w:t>
            </w:r>
          </w:p>
        </w:tc>
      </w:tr>
      <w:tr w:rsidR="002829E9" w:rsidRPr="00AE222B" w14:paraId="150745B6" w14:textId="77777777" w:rsidTr="00BF500F">
        <w:tc>
          <w:tcPr>
            <w:tcW w:w="2764" w:type="dxa"/>
            <w:shd w:val="clear" w:color="auto" w:fill="F2F2F2" w:themeFill="background1" w:themeFillShade="F2"/>
            <w:vAlign w:val="center"/>
          </w:tcPr>
          <w:p w14:paraId="32548095" w14:textId="77777777" w:rsidR="002829E9" w:rsidRPr="00AE222B" w:rsidRDefault="002829E9" w:rsidP="0027750E">
            <w:pPr>
              <w:spacing w:before="60" w:after="60"/>
              <w:rPr>
                <w:rFonts w:asciiTheme="minorHAnsi" w:hAnsiTheme="minorHAnsi" w:cstheme="minorHAnsi"/>
                <w:b/>
                <w:lang w:val="en-GB"/>
              </w:rPr>
            </w:pPr>
            <w:r w:rsidRPr="00AE222B">
              <w:rPr>
                <w:rFonts w:asciiTheme="minorHAnsi" w:hAnsiTheme="minorHAnsi" w:cstheme="minorHAnsi"/>
                <w:b/>
                <w:lang w:val="en-GB"/>
              </w:rPr>
              <w:t>Requirement type:</w:t>
            </w:r>
            <w:r w:rsidRPr="00AE222B">
              <w:rPr>
                <w:rStyle w:val="Lbjegyzet-hivatkozs"/>
                <w:rFonts w:asciiTheme="minorHAnsi" w:hAnsiTheme="minorHAnsi" w:cstheme="minorHAnsi"/>
                <w:b/>
                <w:lang w:val="en-GB"/>
              </w:rPr>
              <w:footnoteReference w:id="14"/>
            </w:r>
          </w:p>
        </w:tc>
        <w:tc>
          <w:tcPr>
            <w:tcW w:w="7087" w:type="dxa"/>
            <w:gridSpan w:val="3"/>
            <w:vAlign w:val="center"/>
          </w:tcPr>
          <w:p w14:paraId="6ED5A426" w14:textId="77777777" w:rsidR="002829E9" w:rsidRPr="00AE222B" w:rsidRDefault="002829E9" w:rsidP="0027750E">
            <w:pPr>
              <w:spacing w:before="60" w:after="60"/>
              <w:rPr>
                <w:rFonts w:asciiTheme="minorHAnsi" w:hAnsiTheme="minorHAnsi" w:cstheme="minorHAnsi"/>
                <w:lang w:val="en-GB"/>
              </w:rPr>
            </w:pPr>
            <w:r w:rsidRPr="00AE222B">
              <w:rPr>
                <w:rFonts w:asciiTheme="minorHAnsi" w:hAnsiTheme="minorHAnsi" w:cstheme="minorHAnsi"/>
                <w:lang w:val="en-GB"/>
              </w:rPr>
              <w:t>Written assignment (in three-grade system)</w:t>
            </w:r>
          </w:p>
        </w:tc>
      </w:tr>
      <w:tr w:rsidR="002829E9" w:rsidRPr="00AE222B" w14:paraId="28E5089A" w14:textId="77777777" w:rsidTr="00BF500F">
        <w:tc>
          <w:tcPr>
            <w:tcW w:w="2764" w:type="dxa"/>
            <w:vMerge w:val="restart"/>
            <w:shd w:val="clear" w:color="auto" w:fill="F2F2F2" w:themeFill="background1" w:themeFillShade="F2"/>
            <w:vAlign w:val="center"/>
          </w:tcPr>
          <w:p w14:paraId="530A0CFD" w14:textId="77777777" w:rsidR="002829E9" w:rsidRPr="00AE222B" w:rsidRDefault="002829E9" w:rsidP="0027750E">
            <w:pPr>
              <w:spacing w:before="60" w:after="60"/>
              <w:rPr>
                <w:rFonts w:asciiTheme="minorHAnsi" w:hAnsiTheme="minorHAnsi" w:cstheme="minorHAnsi"/>
                <w:b/>
                <w:lang w:val="en-GB"/>
              </w:rPr>
            </w:pPr>
            <w:r w:rsidRPr="00AE222B">
              <w:rPr>
                <w:rFonts w:asciiTheme="minorHAnsi" w:hAnsiTheme="minorHAnsi" w:cstheme="minorHAnsi"/>
                <w:b/>
                <w:lang w:val="en-GB"/>
              </w:rPr>
              <w:t>Number</w:t>
            </w:r>
            <w:r w:rsidRPr="00AE222B">
              <w:rPr>
                <w:rStyle w:val="Lbjegyzet-hivatkozs"/>
                <w:rFonts w:asciiTheme="minorHAnsi" w:hAnsiTheme="minorHAnsi" w:cstheme="minorHAnsi"/>
                <w:b/>
                <w:lang w:val="en-GB"/>
              </w:rPr>
              <w:footnoteReference w:id="15"/>
            </w:r>
            <w:r w:rsidRPr="00AE222B">
              <w:rPr>
                <w:rFonts w:asciiTheme="minorHAnsi" w:hAnsiTheme="minorHAnsi" w:cstheme="minorHAnsi"/>
                <w:b/>
                <w:lang w:val="en-GB"/>
              </w:rPr>
              <w:t>and type of contact hours:</w:t>
            </w:r>
            <w:r w:rsidRPr="00AE222B">
              <w:rPr>
                <w:rStyle w:val="Lbjegyzet-hivatkozs"/>
                <w:rFonts w:asciiTheme="minorHAnsi" w:hAnsiTheme="minorHAnsi" w:cstheme="minorHAnsi"/>
                <w:b/>
                <w:lang w:val="en-GB"/>
              </w:rPr>
              <w:footnoteReference w:id="16"/>
            </w:r>
          </w:p>
        </w:tc>
        <w:tc>
          <w:tcPr>
            <w:tcW w:w="2149" w:type="dxa"/>
            <w:vMerge w:val="restart"/>
            <w:shd w:val="clear" w:color="auto" w:fill="F2F2F2" w:themeFill="background1" w:themeFillShade="F2"/>
            <w:vAlign w:val="center"/>
          </w:tcPr>
          <w:p w14:paraId="43A136C1" w14:textId="77777777" w:rsidR="002829E9" w:rsidRPr="00AE222B" w:rsidRDefault="002829E9" w:rsidP="0027750E">
            <w:pPr>
              <w:spacing w:before="60" w:after="60"/>
              <w:rPr>
                <w:rFonts w:asciiTheme="minorHAnsi" w:hAnsiTheme="minorHAnsi" w:cstheme="minorHAnsi"/>
                <w:b/>
                <w:lang w:val="en-GB"/>
              </w:rPr>
            </w:pPr>
            <w:r w:rsidRPr="00AE222B">
              <w:rPr>
                <w:rFonts w:asciiTheme="minorHAnsi" w:hAnsiTheme="minorHAnsi" w:cstheme="minorHAnsi"/>
                <w:b/>
                <w:lang w:val="en-GB"/>
              </w:rPr>
              <w:t>Full-time training:</w:t>
            </w:r>
            <w:r w:rsidRPr="00AE222B">
              <w:rPr>
                <w:rFonts w:asciiTheme="minorHAnsi" w:hAnsiTheme="minorHAnsi" w:cstheme="minorHAnsi"/>
                <w:lang w:val="en-GB"/>
              </w:rPr>
              <w:t xml:space="preserve"> </w:t>
            </w:r>
          </w:p>
        </w:tc>
        <w:tc>
          <w:tcPr>
            <w:tcW w:w="2149" w:type="dxa"/>
            <w:shd w:val="clear" w:color="auto" w:fill="F2F2F2" w:themeFill="background1" w:themeFillShade="F2"/>
            <w:vAlign w:val="center"/>
          </w:tcPr>
          <w:p w14:paraId="1ABE52B9" w14:textId="77777777" w:rsidR="002829E9" w:rsidRPr="00AE222B" w:rsidRDefault="002829E9" w:rsidP="0027750E">
            <w:pPr>
              <w:spacing w:before="60" w:after="60"/>
              <w:rPr>
                <w:rFonts w:asciiTheme="minorHAnsi" w:hAnsiTheme="minorHAnsi" w:cstheme="minorHAnsi"/>
                <w:b/>
                <w:lang w:val="en-GB"/>
              </w:rPr>
            </w:pPr>
            <w:r w:rsidRPr="00AE222B">
              <w:rPr>
                <w:rFonts w:asciiTheme="minorHAnsi" w:hAnsiTheme="minorHAnsi" w:cstheme="minorHAnsi"/>
                <w:b/>
                <w:lang w:val="en-GB"/>
              </w:rPr>
              <w:t>Lecture:</w:t>
            </w:r>
          </w:p>
        </w:tc>
        <w:tc>
          <w:tcPr>
            <w:tcW w:w="2789" w:type="dxa"/>
            <w:vAlign w:val="center"/>
          </w:tcPr>
          <w:p w14:paraId="1278370F" w14:textId="77777777" w:rsidR="002829E9" w:rsidRPr="00AE222B" w:rsidRDefault="002829E9" w:rsidP="0027750E">
            <w:pPr>
              <w:spacing w:before="60" w:after="60"/>
              <w:rPr>
                <w:rFonts w:asciiTheme="minorHAnsi" w:hAnsiTheme="minorHAnsi" w:cstheme="minorHAnsi"/>
                <w:lang w:val="en-GB"/>
              </w:rPr>
            </w:pPr>
            <w:r>
              <w:rPr>
                <w:rFonts w:asciiTheme="minorHAnsi" w:hAnsiTheme="minorHAnsi" w:cstheme="minorHAnsi"/>
                <w:lang w:val="en-GB"/>
              </w:rPr>
              <w:t>-</w:t>
            </w:r>
          </w:p>
        </w:tc>
      </w:tr>
      <w:tr w:rsidR="002829E9" w:rsidRPr="00AE222B" w14:paraId="589A99DE" w14:textId="77777777" w:rsidTr="00BF500F">
        <w:tc>
          <w:tcPr>
            <w:tcW w:w="2764" w:type="dxa"/>
            <w:vMerge/>
            <w:shd w:val="clear" w:color="auto" w:fill="F2F2F2" w:themeFill="background1" w:themeFillShade="F2"/>
            <w:vAlign w:val="center"/>
          </w:tcPr>
          <w:p w14:paraId="7587C0BA" w14:textId="77777777" w:rsidR="002829E9" w:rsidRPr="00AE222B" w:rsidRDefault="002829E9" w:rsidP="0027750E">
            <w:pPr>
              <w:spacing w:before="60" w:after="60"/>
              <w:rPr>
                <w:rFonts w:asciiTheme="minorHAnsi" w:hAnsiTheme="minorHAnsi" w:cstheme="minorHAnsi"/>
                <w:b/>
                <w:lang w:val="en-GB"/>
              </w:rPr>
            </w:pPr>
          </w:p>
        </w:tc>
        <w:tc>
          <w:tcPr>
            <w:tcW w:w="2149" w:type="dxa"/>
            <w:vMerge/>
            <w:shd w:val="clear" w:color="auto" w:fill="F2F2F2" w:themeFill="background1" w:themeFillShade="F2"/>
            <w:vAlign w:val="center"/>
          </w:tcPr>
          <w:p w14:paraId="73F99607" w14:textId="77777777" w:rsidR="002829E9" w:rsidRPr="00AE222B" w:rsidRDefault="002829E9" w:rsidP="0027750E">
            <w:pPr>
              <w:spacing w:before="60" w:after="60"/>
              <w:rPr>
                <w:rFonts w:asciiTheme="minorHAnsi" w:hAnsiTheme="minorHAnsi" w:cstheme="minorHAnsi"/>
                <w:b/>
                <w:lang w:val="en-GB"/>
              </w:rPr>
            </w:pPr>
          </w:p>
        </w:tc>
        <w:tc>
          <w:tcPr>
            <w:tcW w:w="2149" w:type="dxa"/>
            <w:shd w:val="clear" w:color="auto" w:fill="F2F2F2" w:themeFill="background1" w:themeFillShade="F2"/>
            <w:vAlign w:val="center"/>
          </w:tcPr>
          <w:p w14:paraId="48FD917D" w14:textId="77777777" w:rsidR="002829E9" w:rsidRPr="00AE222B" w:rsidRDefault="002829E9" w:rsidP="0027750E">
            <w:pPr>
              <w:spacing w:before="60" w:after="60"/>
              <w:rPr>
                <w:rFonts w:asciiTheme="minorHAnsi" w:hAnsiTheme="minorHAnsi" w:cstheme="minorHAnsi"/>
                <w:b/>
                <w:lang w:val="en-GB"/>
              </w:rPr>
            </w:pPr>
            <w:r w:rsidRPr="00AE222B">
              <w:rPr>
                <w:rFonts w:asciiTheme="minorHAnsi" w:hAnsiTheme="minorHAnsi" w:cstheme="minorHAnsi"/>
                <w:b/>
                <w:lang w:val="en-GB"/>
              </w:rPr>
              <w:t>Seminar:</w:t>
            </w:r>
          </w:p>
        </w:tc>
        <w:tc>
          <w:tcPr>
            <w:tcW w:w="2789" w:type="dxa"/>
            <w:vAlign w:val="center"/>
          </w:tcPr>
          <w:p w14:paraId="42C3477F" w14:textId="77777777" w:rsidR="002829E9" w:rsidRPr="00AE222B" w:rsidRDefault="002829E9" w:rsidP="0027750E">
            <w:pPr>
              <w:spacing w:before="60" w:after="60"/>
              <w:rPr>
                <w:rFonts w:asciiTheme="minorHAnsi" w:hAnsiTheme="minorHAnsi" w:cstheme="minorHAnsi"/>
                <w:lang w:val="en-GB"/>
              </w:rPr>
            </w:pPr>
            <w:r>
              <w:rPr>
                <w:rFonts w:asciiTheme="minorHAnsi" w:hAnsiTheme="minorHAnsi" w:cstheme="minorHAnsi"/>
                <w:lang w:val="en-GB"/>
              </w:rPr>
              <w:t>-</w:t>
            </w:r>
          </w:p>
        </w:tc>
      </w:tr>
      <w:tr w:rsidR="002829E9" w:rsidRPr="00AE222B" w14:paraId="69A50B4E" w14:textId="77777777" w:rsidTr="00BF500F">
        <w:tc>
          <w:tcPr>
            <w:tcW w:w="2764" w:type="dxa"/>
            <w:vMerge/>
            <w:shd w:val="clear" w:color="auto" w:fill="F2F2F2" w:themeFill="background1" w:themeFillShade="F2"/>
            <w:vAlign w:val="center"/>
          </w:tcPr>
          <w:p w14:paraId="3E0DC578" w14:textId="77777777" w:rsidR="002829E9" w:rsidRPr="00AE222B" w:rsidRDefault="002829E9" w:rsidP="0027750E">
            <w:pPr>
              <w:spacing w:before="60" w:after="60"/>
              <w:rPr>
                <w:rFonts w:asciiTheme="minorHAnsi" w:hAnsiTheme="minorHAnsi" w:cstheme="minorHAnsi"/>
                <w:b/>
                <w:lang w:val="en-GB"/>
              </w:rPr>
            </w:pPr>
          </w:p>
        </w:tc>
        <w:tc>
          <w:tcPr>
            <w:tcW w:w="2149" w:type="dxa"/>
            <w:vMerge w:val="restart"/>
            <w:shd w:val="clear" w:color="auto" w:fill="F2F2F2" w:themeFill="background1" w:themeFillShade="F2"/>
            <w:vAlign w:val="center"/>
          </w:tcPr>
          <w:p w14:paraId="315D750C" w14:textId="77777777" w:rsidR="002829E9" w:rsidRPr="00AE222B" w:rsidRDefault="002829E9" w:rsidP="0027750E">
            <w:pPr>
              <w:spacing w:before="60" w:after="60"/>
              <w:rPr>
                <w:rFonts w:asciiTheme="minorHAnsi" w:hAnsiTheme="minorHAnsi" w:cstheme="minorHAnsi"/>
                <w:b/>
                <w:lang w:val="en-GB"/>
              </w:rPr>
            </w:pPr>
            <w:r w:rsidRPr="00AE222B">
              <w:rPr>
                <w:rFonts w:asciiTheme="minorHAnsi" w:hAnsiTheme="minorHAnsi" w:cstheme="minorHAnsi"/>
                <w:b/>
                <w:lang w:val="en-GB"/>
              </w:rPr>
              <w:t>Part-time training:</w:t>
            </w:r>
          </w:p>
        </w:tc>
        <w:tc>
          <w:tcPr>
            <w:tcW w:w="2149" w:type="dxa"/>
            <w:shd w:val="clear" w:color="auto" w:fill="F2F2F2" w:themeFill="background1" w:themeFillShade="F2"/>
            <w:vAlign w:val="center"/>
          </w:tcPr>
          <w:p w14:paraId="696008C6" w14:textId="77777777" w:rsidR="002829E9" w:rsidRPr="00AE222B" w:rsidRDefault="002829E9" w:rsidP="0027750E">
            <w:pPr>
              <w:spacing w:before="60" w:after="60"/>
              <w:rPr>
                <w:rFonts w:asciiTheme="minorHAnsi" w:hAnsiTheme="minorHAnsi" w:cstheme="minorHAnsi"/>
                <w:b/>
                <w:lang w:val="en-GB"/>
              </w:rPr>
            </w:pPr>
            <w:r w:rsidRPr="00AE222B">
              <w:rPr>
                <w:rFonts w:asciiTheme="minorHAnsi" w:hAnsiTheme="minorHAnsi" w:cstheme="minorHAnsi"/>
                <w:b/>
                <w:lang w:val="en-GB"/>
              </w:rPr>
              <w:t>Lecture:</w:t>
            </w:r>
          </w:p>
        </w:tc>
        <w:tc>
          <w:tcPr>
            <w:tcW w:w="2789" w:type="dxa"/>
            <w:vAlign w:val="center"/>
          </w:tcPr>
          <w:p w14:paraId="243D95B5" w14:textId="77777777" w:rsidR="002829E9" w:rsidRPr="00AE222B" w:rsidRDefault="002829E9" w:rsidP="0027750E">
            <w:pPr>
              <w:spacing w:before="60" w:after="60"/>
              <w:rPr>
                <w:rFonts w:asciiTheme="minorHAnsi" w:hAnsiTheme="minorHAnsi" w:cstheme="minorHAnsi"/>
                <w:lang w:val="en-GB"/>
              </w:rPr>
            </w:pPr>
            <w:r>
              <w:rPr>
                <w:rFonts w:asciiTheme="minorHAnsi" w:hAnsiTheme="minorHAnsi" w:cstheme="minorHAnsi"/>
                <w:lang w:val="en-GB"/>
              </w:rPr>
              <w:t>-</w:t>
            </w:r>
          </w:p>
        </w:tc>
      </w:tr>
      <w:tr w:rsidR="002829E9" w:rsidRPr="00AE222B" w14:paraId="52D64CB3" w14:textId="77777777" w:rsidTr="00BF500F">
        <w:tc>
          <w:tcPr>
            <w:tcW w:w="2764" w:type="dxa"/>
            <w:vMerge/>
            <w:shd w:val="clear" w:color="auto" w:fill="F2F2F2" w:themeFill="background1" w:themeFillShade="F2"/>
            <w:vAlign w:val="center"/>
          </w:tcPr>
          <w:p w14:paraId="7BAFA545" w14:textId="77777777" w:rsidR="002829E9" w:rsidRPr="00AE222B" w:rsidRDefault="002829E9" w:rsidP="0027750E">
            <w:pPr>
              <w:spacing w:before="60" w:after="60"/>
              <w:rPr>
                <w:rFonts w:asciiTheme="minorHAnsi" w:hAnsiTheme="minorHAnsi" w:cstheme="minorHAnsi"/>
                <w:b/>
                <w:lang w:val="en-GB"/>
              </w:rPr>
            </w:pPr>
          </w:p>
        </w:tc>
        <w:tc>
          <w:tcPr>
            <w:tcW w:w="2149" w:type="dxa"/>
            <w:vMerge/>
            <w:shd w:val="clear" w:color="auto" w:fill="F2F2F2" w:themeFill="background1" w:themeFillShade="F2"/>
            <w:vAlign w:val="center"/>
          </w:tcPr>
          <w:p w14:paraId="1C644486" w14:textId="77777777" w:rsidR="002829E9" w:rsidRPr="00AE222B" w:rsidRDefault="002829E9" w:rsidP="0027750E">
            <w:pPr>
              <w:spacing w:before="60" w:after="60"/>
              <w:rPr>
                <w:rFonts w:asciiTheme="minorHAnsi" w:hAnsiTheme="minorHAnsi" w:cstheme="minorHAnsi"/>
                <w:b/>
                <w:lang w:val="en-GB"/>
              </w:rPr>
            </w:pPr>
          </w:p>
        </w:tc>
        <w:tc>
          <w:tcPr>
            <w:tcW w:w="2149" w:type="dxa"/>
            <w:shd w:val="clear" w:color="auto" w:fill="F2F2F2" w:themeFill="background1" w:themeFillShade="F2"/>
            <w:vAlign w:val="center"/>
          </w:tcPr>
          <w:p w14:paraId="4DA59747" w14:textId="77777777" w:rsidR="002829E9" w:rsidRPr="00AE222B" w:rsidRDefault="002829E9" w:rsidP="0027750E">
            <w:pPr>
              <w:spacing w:before="60" w:after="60"/>
              <w:rPr>
                <w:rFonts w:asciiTheme="minorHAnsi" w:hAnsiTheme="minorHAnsi" w:cstheme="minorHAnsi"/>
                <w:b/>
                <w:lang w:val="en-GB"/>
              </w:rPr>
            </w:pPr>
            <w:r w:rsidRPr="00AE222B">
              <w:rPr>
                <w:rFonts w:asciiTheme="minorHAnsi" w:hAnsiTheme="minorHAnsi" w:cstheme="minorHAnsi"/>
                <w:b/>
                <w:lang w:val="en-GB"/>
              </w:rPr>
              <w:t>Seminar:</w:t>
            </w:r>
          </w:p>
        </w:tc>
        <w:tc>
          <w:tcPr>
            <w:tcW w:w="2789" w:type="dxa"/>
            <w:vAlign w:val="center"/>
          </w:tcPr>
          <w:p w14:paraId="64A96D63" w14:textId="77777777" w:rsidR="002829E9" w:rsidRPr="00AE222B" w:rsidRDefault="002829E9" w:rsidP="0027750E">
            <w:pPr>
              <w:spacing w:before="60" w:after="60"/>
              <w:rPr>
                <w:rFonts w:asciiTheme="minorHAnsi" w:hAnsiTheme="minorHAnsi" w:cstheme="minorHAnsi"/>
                <w:lang w:val="en-GB"/>
              </w:rPr>
            </w:pPr>
            <w:r w:rsidRPr="00AE222B">
              <w:rPr>
                <w:rFonts w:asciiTheme="minorHAnsi" w:hAnsiTheme="minorHAnsi" w:cstheme="minorHAnsi"/>
                <w:lang w:val="en-GB"/>
              </w:rPr>
              <w:t xml:space="preserve">2 </w:t>
            </w:r>
            <w:r>
              <w:rPr>
                <w:rFonts w:asciiTheme="minorHAnsi" w:hAnsiTheme="minorHAnsi" w:cstheme="minorHAnsi"/>
                <w:lang w:val="en-GB"/>
              </w:rPr>
              <w:t xml:space="preserve">hours </w:t>
            </w:r>
            <w:r w:rsidRPr="00AE222B">
              <w:rPr>
                <w:rFonts w:asciiTheme="minorHAnsi" w:hAnsiTheme="minorHAnsi" w:cstheme="minorHAnsi"/>
                <w:lang w:val="en-GB"/>
              </w:rPr>
              <w:t>/ semester</w:t>
            </w:r>
          </w:p>
        </w:tc>
      </w:tr>
      <w:tr w:rsidR="002829E9" w:rsidRPr="00AE222B" w14:paraId="3287E22C" w14:textId="77777777" w:rsidTr="00BF500F">
        <w:tc>
          <w:tcPr>
            <w:tcW w:w="2764" w:type="dxa"/>
            <w:shd w:val="clear" w:color="auto" w:fill="F2F2F2" w:themeFill="background1" w:themeFillShade="F2"/>
            <w:vAlign w:val="center"/>
          </w:tcPr>
          <w:p w14:paraId="024951C9" w14:textId="77777777" w:rsidR="002829E9" w:rsidRPr="00AE222B" w:rsidRDefault="002829E9" w:rsidP="0027750E">
            <w:pPr>
              <w:spacing w:before="60" w:after="60"/>
              <w:rPr>
                <w:rFonts w:asciiTheme="minorHAnsi" w:hAnsiTheme="minorHAnsi" w:cstheme="minorHAnsi"/>
                <w:b/>
                <w:lang w:val="en-GB"/>
              </w:rPr>
            </w:pPr>
            <w:r w:rsidRPr="00AE222B">
              <w:rPr>
                <w:rFonts w:asciiTheme="minorHAnsi" w:hAnsiTheme="minorHAnsi" w:cstheme="minorHAnsi"/>
                <w:b/>
                <w:lang w:val="en-GB"/>
              </w:rPr>
              <w:t>Credit:</w:t>
            </w:r>
            <w:r w:rsidRPr="00AE222B">
              <w:rPr>
                <w:rStyle w:val="Lbjegyzet-hivatkozs"/>
                <w:rFonts w:asciiTheme="minorHAnsi" w:hAnsiTheme="minorHAnsi" w:cstheme="minorHAnsi"/>
                <w:b/>
                <w:lang w:val="en-GB"/>
              </w:rPr>
              <w:footnoteReference w:id="17"/>
            </w:r>
          </w:p>
        </w:tc>
        <w:tc>
          <w:tcPr>
            <w:tcW w:w="7087" w:type="dxa"/>
            <w:gridSpan w:val="3"/>
            <w:vAlign w:val="center"/>
          </w:tcPr>
          <w:p w14:paraId="51D34EEE" w14:textId="77777777" w:rsidR="002829E9" w:rsidRPr="00AE222B" w:rsidRDefault="002829E9" w:rsidP="0027750E">
            <w:pPr>
              <w:spacing w:before="60" w:after="60"/>
              <w:rPr>
                <w:rFonts w:asciiTheme="minorHAnsi" w:hAnsiTheme="minorHAnsi" w:cstheme="minorHAnsi"/>
                <w:lang w:val="en-GB"/>
              </w:rPr>
            </w:pPr>
            <w:r w:rsidRPr="00AE222B">
              <w:rPr>
                <w:rFonts w:asciiTheme="minorHAnsi" w:hAnsiTheme="minorHAnsi" w:cstheme="minorHAnsi"/>
                <w:lang w:val="en-GB"/>
              </w:rPr>
              <w:t>2</w:t>
            </w:r>
          </w:p>
        </w:tc>
      </w:tr>
      <w:tr w:rsidR="002829E9" w:rsidRPr="00AE222B" w14:paraId="179588D5" w14:textId="77777777" w:rsidTr="00BF500F">
        <w:tc>
          <w:tcPr>
            <w:tcW w:w="2764" w:type="dxa"/>
            <w:shd w:val="clear" w:color="auto" w:fill="F2F2F2" w:themeFill="background1" w:themeFillShade="F2"/>
            <w:vAlign w:val="center"/>
          </w:tcPr>
          <w:p w14:paraId="21FC7712" w14:textId="77777777" w:rsidR="002829E9" w:rsidRPr="00AE222B" w:rsidRDefault="002829E9" w:rsidP="0027750E">
            <w:pPr>
              <w:spacing w:before="60" w:after="60"/>
              <w:rPr>
                <w:rFonts w:asciiTheme="minorHAnsi" w:hAnsiTheme="minorHAnsi" w:cstheme="minorHAnsi"/>
                <w:b/>
                <w:lang w:val="en-GB"/>
              </w:rPr>
            </w:pPr>
            <w:r w:rsidRPr="00AE222B">
              <w:rPr>
                <w:rFonts w:asciiTheme="minorHAnsi" w:hAnsiTheme="minorHAnsi" w:cstheme="minorHAnsi"/>
                <w:b/>
                <w:lang w:val="en-GB"/>
              </w:rPr>
              <w:t>Responsible department:</w:t>
            </w:r>
          </w:p>
        </w:tc>
        <w:tc>
          <w:tcPr>
            <w:tcW w:w="7087" w:type="dxa"/>
            <w:gridSpan w:val="3"/>
            <w:vAlign w:val="center"/>
          </w:tcPr>
          <w:p w14:paraId="6D70B325" w14:textId="77777777" w:rsidR="002829E9" w:rsidRPr="00AE222B" w:rsidRDefault="002829E9" w:rsidP="0027750E">
            <w:pPr>
              <w:spacing w:before="60" w:after="60"/>
              <w:rPr>
                <w:rFonts w:asciiTheme="minorHAnsi" w:hAnsiTheme="minorHAnsi" w:cstheme="minorHAnsi"/>
                <w:lang w:val="en-GB"/>
              </w:rPr>
            </w:pPr>
            <w:r w:rsidRPr="00AE222B">
              <w:rPr>
                <w:rFonts w:asciiTheme="minorHAnsi" w:hAnsiTheme="minorHAnsi" w:cstheme="minorHAnsi"/>
                <w:lang w:val="en-GB"/>
              </w:rPr>
              <w:t>Department of Financial Law</w:t>
            </w:r>
          </w:p>
        </w:tc>
      </w:tr>
      <w:tr w:rsidR="002829E9" w:rsidRPr="00AE222B" w14:paraId="109BF643" w14:textId="77777777" w:rsidTr="00BF500F">
        <w:tc>
          <w:tcPr>
            <w:tcW w:w="2764" w:type="dxa"/>
            <w:shd w:val="clear" w:color="auto" w:fill="F2F2F2" w:themeFill="background1" w:themeFillShade="F2"/>
            <w:vAlign w:val="center"/>
          </w:tcPr>
          <w:p w14:paraId="5EAF068E" w14:textId="77777777" w:rsidR="002829E9" w:rsidRPr="00AE222B" w:rsidRDefault="002829E9" w:rsidP="0027750E">
            <w:pPr>
              <w:spacing w:before="60" w:after="60"/>
              <w:rPr>
                <w:rFonts w:asciiTheme="minorHAnsi" w:hAnsiTheme="minorHAnsi" w:cstheme="minorHAnsi"/>
                <w:b/>
                <w:lang w:val="en-GB"/>
              </w:rPr>
            </w:pPr>
            <w:r w:rsidRPr="00AE222B">
              <w:rPr>
                <w:rFonts w:asciiTheme="minorHAnsi" w:hAnsiTheme="minorHAnsi" w:cstheme="minorHAnsi"/>
                <w:b/>
                <w:lang w:val="en-GB"/>
              </w:rPr>
              <w:t>Name of the lecturer:</w:t>
            </w:r>
          </w:p>
        </w:tc>
        <w:tc>
          <w:tcPr>
            <w:tcW w:w="7087" w:type="dxa"/>
            <w:gridSpan w:val="3"/>
            <w:vAlign w:val="center"/>
          </w:tcPr>
          <w:p w14:paraId="7B9B51BF" w14:textId="1B83F09F" w:rsidR="00DB3BF0" w:rsidRPr="00DB3BF0" w:rsidRDefault="00DB3BF0" w:rsidP="00DB3BF0">
            <w:pPr>
              <w:spacing w:before="60" w:after="60"/>
              <w:rPr>
                <w:rFonts w:asciiTheme="minorHAnsi" w:hAnsiTheme="minorHAnsi" w:cstheme="minorHAnsi"/>
                <w:lang w:val="en-US"/>
              </w:rPr>
            </w:pPr>
          </w:p>
        </w:tc>
      </w:tr>
      <w:tr w:rsidR="002829E9" w:rsidRPr="00AE222B" w14:paraId="4B3CF338" w14:textId="77777777" w:rsidTr="00DB3BF0">
        <w:trPr>
          <w:trHeight w:val="3539"/>
        </w:trPr>
        <w:tc>
          <w:tcPr>
            <w:tcW w:w="2764" w:type="dxa"/>
            <w:shd w:val="clear" w:color="auto" w:fill="D6E3BC" w:themeFill="accent3" w:themeFillTint="66"/>
            <w:vAlign w:val="center"/>
          </w:tcPr>
          <w:p w14:paraId="4A433524" w14:textId="77777777" w:rsidR="002829E9" w:rsidRPr="00AE222B" w:rsidRDefault="002829E9" w:rsidP="0027750E">
            <w:pPr>
              <w:spacing w:before="60" w:after="60"/>
              <w:rPr>
                <w:rFonts w:asciiTheme="minorHAnsi" w:hAnsiTheme="minorHAnsi" w:cstheme="minorHAnsi"/>
                <w:b/>
                <w:lang w:val="en-GB"/>
              </w:rPr>
            </w:pPr>
            <w:r w:rsidRPr="00AE222B">
              <w:rPr>
                <w:rFonts w:asciiTheme="minorHAnsi" w:hAnsiTheme="minorHAnsi" w:cstheme="minorHAnsi"/>
                <w:b/>
                <w:lang w:val="en-GB"/>
              </w:rPr>
              <w:t>Aim of the course:</w:t>
            </w:r>
            <w:r w:rsidRPr="00AE222B">
              <w:rPr>
                <w:rStyle w:val="Lbjegyzet-hivatkozs"/>
                <w:rFonts w:asciiTheme="minorHAnsi" w:hAnsiTheme="minorHAnsi" w:cstheme="minorHAnsi"/>
                <w:b/>
                <w:lang w:val="en-GB"/>
              </w:rPr>
              <w:footnoteReference w:id="18"/>
            </w:r>
          </w:p>
        </w:tc>
        <w:tc>
          <w:tcPr>
            <w:tcW w:w="7087" w:type="dxa"/>
            <w:gridSpan w:val="3"/>
            <w:vAlign w:val="center"/>
          </w:tcPr>
          <w:p w14:paraId="0F5A86E4" w14:textId="43D8D474" w:rsidR="002829E9" w:rsidRDefault="00AC61E8" w:rsidP="0027750E">
            <w:pPr>
              <w:spacing w:before="60" w:after="60"/>
              <w:jc w:val="both"/>
              <w:rPr>
                <w:rFonts w:asciiTheme="minorHAnsi" w:hAnsiTheme="minorHAnsi" w:cstheme="minorHAnsi"/>
                <w:lang w:val="en-US"/>
              </w:rPr>
            </w:pPr>
            <w:r w:rsidRPr="00AC61E8">
              <w:rPr>
                <w:rFonts w:asciiTheme="minorHAnsi" w:hAnsiTheme="minorHAnsi" w:cstheme="minorHAnsi"/>
                <w:lang w:val="en-US"/>
              </w:rPr>
              <w:t>Although it became established in the field of health care, the term compliance in its current sense first began to gain currency in the United States with the adoption of Anglo-Saxon legal terminology beginning in the 20th century. As a consequence of its rapid expansion, compliance has now become a highly sector-specific field in the world.</w:t>
            </w:r>
          </w:p>
          <w:p w14:paraId="799AFBDE" w14:textId="77777777" w:rsidR="00AC61E8" w:rsidRPr="00AE222B" w:rsidRDefault="00AC61E8" w:rsidP="0027750E">
            <w:pPr>
              <w:spacing w:before="60" w:after="60"/>
              <w:jc w:val="both"/>
              <w:rPr>
                <w:rFonts w:asciiTheme="minorHAnsi" w:hAnsiTheme="minorHAnsi" w:cstheme="minorHAnsi"/>
                <w:lang w:val="en-US"/>
              </w:rPr>
            </w:pPr>
          </w:p>
          <w:p w14:paraId="6D34A240" w14:textId="797C7B38" w:rsidR="00AC61E8" w:rsidRDefault="00AC61E8" w:rsidP="00BF500F">
            <w:pPr>
              <w:spacing w:before="60" w:after="60"/>
              <w:jc w:val="both"/>
              <w:rPr>
                <w:rFonts w:asciiTheme="minorHAnsi" w:hAnsiTheme="minorHAnsi" w:cstheme="minorHAnsi"/>
                <w:lang w:val="en-US"/>
              </w:rPr>
            </w:pPr>
            <w:r w:rsidRPr="00AC61E8">
              <w:rPr>
                <w:rFonts w:asciiTheme="minorHAnsi" w:hAnsiTheme="minorHAnsi" w:cstheme="minorHAnsi"/>
                <w:lang w:val="en-US"/>
              </w:rPr>
              <w:t xml:space="preserve">The aim of the </w:t>
            </w:r>
            <w:r w:rsidR="008C0A0A" w:rsidRPr="008C0A0A">
              <w:rPr>
                <w:rFonts w:asciiTheme="minorHAnsi" w:hAnsiTheme="minorHAnsi" w:cstheme="minorHAnsi"/>
                <w:lang w:val="en-US"/>
              </w:rPr>
              <w:t xml:space="preserve">specialised college </w:t>
            </w:r>
            <w:r w:rsidRPr="00AC61E8">
              <w:rPr>
                <w:rFonts w:asciiTheme="minorHAnsi" w:hAnsiTheme="minorHAnsi" w:cstheme="minorHAnsi"/>
                <w:lang w:val="en-US"/>
              </w:rPr>
              <w:t>is to give students an insight into compliance, including one of the three core areas of compliance: financial and tax compliance. After the basic issues and concepts have been laid down, the basic (legal) sources of compliance, their practical application and possible shortcomings and difficulties in the most important areas (banking sector, large companies) will be discussed in a practice-oriented way, using examples.</w:t>
            </w:r>
          </w:p>
          <w:p w14:paraId="3FDED809" w14:textId="77777777" w:rsidR="00AC61E8" w:rsidRDefault="00AC61E8" w:rsidP="00BF500F">
            <w:pPr>
              <w:spacing w:before="60" w:after="60"/>
              <w:jc w:val="both"/>
              <w:rPr>
                <w:rFonts w:asciiTheme="minorHAnsi" w:hAnsiTheme="minorHAnsi" w:cstheme="minorHAnsi"/>
                <w:lang w:val="en-US"/>
              </w:rPr>
            </w:pPr>
          </w:p>
          <w:p w14:paraId="42899458" w14:textId="65B61516" w:rsidR="00AC61E8" w:rsidRDefault="00AC61E8" w:rsidP="00BF500F">
            <w:pPr>
              <w:spacing w:before="60" w:after="60"/>
              <w:jc w:val="both"/>
              <w:rPr>
                <w:rFonts w:asciiTheme="minorHAnsi" w:hAnsiTheme="minorHAnsi" w:cstheme="minorHAnsi"/>
                <w:lang w:val="en-US"/>
              </w:rPr>
            </w:pPr>
            <w:r w:rsidRPr="00AC61E8">
              <w:rPr>
                <w:rFonts w:asciiTheme="minorHAnsi" w:hAnsiTheme="minorHAnsi" w:cstheme="minorHAnsi"/>
                <w:lang w:val="en-US"/>
              </w:rPr>
              <w:t xml:space="preserve">In this </w:t>
            </w:r>
            <w:r w:rsidR="008C0A0A" w:rsidRPr="008C0A0A">
              <w:rPr>
                <w:rFonts w:asciiTheme="minorHAnsi" w:hAnsiTheme="minorHAnsi" w:cstheme="minorHAnsi"/>
                <w:lang w:val="en-US"/>
              </w:rPr>
              <w:t>specialised college</w:t>
            </w:r>
            <w:r w:rsidRPr="00AC61E8">
              <w:rPr>
                <w:rFonts w:asciiTheme="minorHAnsi" w:hAnsiTheme="minorHAnsi" w:cstheme="minorHAnsi"/>
                <w:lang w:val="en-US"/>
              </w:rPr>
              <w:t xml:space="preserve">, we will review the appropriate culture and methods of each company/bank, starting from the development of compliance, through international and European tax law knowledge, with a special focus on the interesting tax law issues and tax law conflicts </w:t>
            </w:r>
            <w:r w:rsidRPr="00AC61E8">
              <w:rPr>
                <w:rFonts w:asciiTheme="minorHAnsi" w:hAnsiTheme="minorHAnsi" w:cstheme="minorHAnsi"/>
                <w:lang w:val="en-US"/>
              </w:rPr>
              <w:lastRenderedPageBreak/>
              <w:t>arising from the presence of offshore companies, which we can (also) use our tax law compliance knowledge to resolve.</w:t>
            </w:r>
          </w:p>
          <w:p w14:paraId="6A66D36A" w14:textId="77777777" w:rsidR="002F0523" w:rsidRDefault="002F0523" w:rsidP="00BF500F">
            <w:pPr>
              <w:spacing w:before="60" w:after="60"/>
              <w:jc w:val="both"/>
              <w:rPr>
                <w:rFonts w:asciiTheme="minorHAnsi" w:hAnsiTheme="minorHAnsi" w:cstheme="minorHAnsi"/>
                <w:lang w:val="en-US"/>
              </w:rPr>
            </w:pPr>
          </w:p>
          <w:p w14:paraId="1EF58005" w14:textId="36AA3F55" w:rsidR="00DB3BF0" w:rsidRPr="002F0523" w:rsidRDefault="002F0523" w:rsidP="002F0523">
            <w:pPr>
              <w:spacing w:before="60" w:after="60"/>
              <w:jc w:val="both"/>
              <w:rPr>
                <w:rFonts w:asciiTheme="minorHAnsi" w:hAnsiTheme="minorHAnsi" w:cstheme="minorHAnsi"/>
                <w:lang w:val="en-US"/>
              </w:rPr>
            </w:pPr>
            <w:r w:rsidRPr="002F0523">
              <w:rPr>
                <w:rFonts w:asciiTheme="minorHAnsi" w:hAnsiTheme="minorHAnsi" w:cstheme="minorHAnsi"/>
                <w:lang w:val="en-US"/>
              </w:rPr>
              <w:t xml:space="preserve">The </w:t>
            </w:r>
            <w:r w:rsidR="008C0A0A" w:rsidRPr="008C0A0A">
              <w:rPr>
                <w:rFonts w:asciiTheme="minorHAnsi" w:hAnsiTheme="minorHAnsi" w:cstheme="minorHAnsi"/>
                <w:lang w:val="en-US"/>
              </w:rPr>
              <w:t xml:space="preserve">specialised college </w:t>
            </w:r>
            <w:r w:rsidRPr="002F0523">
              <w:rPr>
                <w:rFonts w:asciiTheme="minorHAnsi" w:hAnsiTheme="minorHAnsi" w:cstheme="minorHAnsi"/>
                <w:lang w:val="en-US"/>
              </w:rPr>
              <w:t xml:space="preserve">can provide particularly useful knowledge for students who plan to work in the compliance field after their studies (or even in parallel). The </w:t>
            </w:r>
            <w:r w:rsidR="008C0A0A" w:rsidRPr="008C0A0A">
              <w:rPr>
                <w:rFonts w:asciiTheme="minorHAnsi" w:hAnsiTheme="minorHAnsi" w:cstheme="minorHAnsi"/>
                <w:lang w:val="en-US"/>
              </w:rPr>
              <w:t xml:space="preserve">specialised college </w:t>
            </w:r>
            <w:r w:rsidRPr="002F0523">
              <w:rPr>
                <w:rFonts w:asciiTheme="minorHAnsi" w:hAnsiTheme="minorHAnsi" w:cstheme="minorHAnsi"/>
                <w:lang w:val="en-US"/>
              </w:rPr>
              <w:t>can also help them to understand which factors are essential and indispensable for compliance in practice as part of corporate culture.</w:t>
            </w:r>
          </w:p>
        </w:tc>
      </w:tr>
      <w:tr w:rsidR="002829E9" w:rsidRPr="00AE222B" w14:paraId="233944A3" w14:textId="77777777" w:rsidTr="00BF500F">
        <w:tc>
          <w:tcPr>
            <w:tcW w:w="2764" w:type="dxa"/>
            <w:shd w:val="clear" w:color="auto" w:fill="D6E3BC" w:themeFill="accent3" w:themeFillTint="66"/>
            <w:vAlign w:val="center"/>
          </w:tcPr>
          <w:p w14:paraId="7C4B760B" w14:textId="77777777" w:rsidR="002829E9" w:rsidRPr="002F0523" w:rsidRDefault="002829E9" w:rsidP="0027750E">
            <w:pPr>
              <w:rPr>
                <w:rFonts w:asciiTheme="minorHAnsi" w:hAnsiTheme="minorHAnsi" w:cstheme="minorHAnsi"/>
                <w:b/>
                <w:lang w:val="en-GB"/>
              </w:rPr>
            </w:pPr>
            <w:r w:rsidRPr="002F0523">
              <w:rPr>
                <w:rFonts w:asciiTheme="minorHAnsi" w:hAnsiTheme="minorHAnsi" w:cstheme="minorHAnsi"/>
                <w:b/>
                <w:lang w:val="en-GB"/>
              </w:rPr>
              <w:lastRenderedPageBreak/>
              <w:t>Outline of the course:</w:t>
            </w:r>
            <w:r w:rsidRPr="002F0523">
              <w:rPr>
                <w:rStyle w:val="Lbjegyzet-hivatkozs"/>
                <w:rFonts w:asciiTheme="minorHAnsi" w:hAnsiTheme="minorHAnsi" w:cstheme="minorHAnsi"/>
                <w:b/>
                <w:lang w:val="en-GB"/>
              </w:rPr>
              <w:footnoteReference w:id="19"/>
            </w:r>
          </w:p>
        </w:tc>
        <w:tc>
          <w:tcPr>
            <w:tcW w:w="7087" w:type="dxa"/>
            <w:gridSpan w:val="3"/>
            <w:vAlign w:val="center"/>
          </w:tcPr>
          <w:p w14:paraId="01CD1752" w14:textId="77777777" w:rsidR="00CB013E" w:rsidRPr="00CB013E" w:rsidRDefault="00B82B6C" w:rsidP="00B82B6C">
            <w:pPr>
              <w:pStyle w:val="Listaszerbekezds"/>
              <w:numPr>
                <w:ilvl w:val="0"/>
                <w:numId w:val="10"/>
              </w:numPr>
              <w:rPr>
                <w:rFonts w:cstheme="minorHAnsi"/>
                <w:sz w:val="24"/>
                <w:szCs w:val="24"/>
                <w:lang w:val="en-US"/>
              </w:rPr>
            </w:pPr>
            <w:r w:rsidRPr="00CB013E">
              <w:rPr>
                <w:rFonts w:cstheme="minorHAnsi"/>
                <w:sz w:val="24"/>
                <w:szCs w:val="24"/>
                <w:lang w:val="en-US"/>
              </w:rPr>
              <w:t>Introduction to the basics of complianc</w:t>
            </w:r>
            <w:r w:rsidR="00CB013E" w:rsidRPr="00CB013E">
              <w:rPr>
                <w:rFonts w:cstheme="minorHAnsi"/>
                <w:sz w:val="24"/>
                <w:szCs w:val="24"/>
                <w:lang w:val="en-US"/>
              </w:rPr>
              <w:t>e</w:t>
            </w:r>
          </w:p>
          <w:p w14:paraId="6FE72278" w14:textId="77777777" w:rsidR="00CB013E" w:rsidRPr="00CB013E" w:rsidRDefault="00B82B6C" w:rsidP="00B82B6C">
            <w:pPr>
              <w:pStyle w:val="Listaszerbekezds"/>
              <w:numPr>
                <w:ilvl w:val="0"/>
                <w:numId w:val="10"/>
              </w:numPr>
              <w:rPr>
                <w:rFonts w:cstheme="minorHAnsi"/>
                <w:sz w:val="24"/>
                <w:szCs w:val="24"/>
                <w:lang w:val="en-US"/>
              </w:rPr>
            </w:pPr>
            <w:r w:rsidRPr="00CB013E">
              <w:rPr>
                <w:rFonts w:cstheme="minorHAnsi"/>
                <w:sz w:val="24"/>
                <w:szCs w:val="24"/>
                <w:lang w:val="en-US"/>
              </w:rPr>
              <w:t xml:space="preserve"> Modern understanding of the concept of compliance</w:t>
            </w:r>
          </w:p>
          <w:p w14:paraId="665B48FF" w14:textId="77777777" w:rsidR="00CB013E" w:rsidRPr="00CB013E" w:rsidRDefault="00B82B6C" w:rsidP="00B82B6C">
            <w:pPr>
              <w:pStyle w:val="Listaszerbekezds"/>
              <w:numPr>
                <w:ilvl w:val="0"/>
                <w:numId w:val="10"/>
              </w:numPr>
              <w:rPr>
                <w:rFonts w:cstheme="minorHAnsi"/>
                <w:sz w:val="24"/>
                <w:szCs w:val="24"/>
                <w:lang w:val="en-US"/>
              </w:rPr>
            </w:pPr>
            <w:r w:rsidRPr="00CB013E">
              <w:rPr>
                <w:rFonts w:cstheme="minorHAnsi"/>
                <w:sz w:val="24"/>
                <w:szCs w:val="24"/>
                <w:lang w:val="en-US"/>
              </w:rPr>
              <w:t xml:space="preserve"> Hard compliance- Soft compliance boundaries</w:t>
            </w:r>
          </w:p>
          <w:p w14:paraId="3C01A82E" w14:textId="77777777" w:rsidR="00CB013E" w:rsidRPr="00CB013E" w:rsidRDefault="00B82B6C" w:rsidP="00B82B6C">
            <w:pPr>
              <w:pStyle w:val="Listaszerbekezds"/>
              <w:numPr>
                <w:ilvl w:val="0"/>
                <w:numId w:val="10"/>
              </w:numPr>
              <w:rPr>
                <w:rFonts w:cstheme="minorHAnsi"/>
                <w:sz w:val="24"/>
                <w:szCs w:val="24"/>
                <w:lang w:val="en-US"/>
              </w:rPr>
            </w:pPr>
            <w:r w:rsidRPr="00CB013E">
              <w:rPr>
                <w:rFonts w:cstheme="minorHAnsi"/>
                <w:sz w:val="24"/>
                <w:szCs w:val="24"/>
                <w:lang w:val="en-US"/>
              </w:rPr>
              <w:t xml:space="preserve"> International tax law bases and sources</w:t>
            </w:r>
          </w:p>
          <w:p w14:paraId="3BD388DE" w14:textId="77777777" w:rsidR="00CB013E" w:rsidRPr="00CB013E" w:rsidRDefault="00B82B6C" w:rsidP="00B82B6C">
            <w:pPr>
              <w:pStyle w:val="Listaszerbekezds"/>
              <w:numPr>
                <w:ilvl w:val="0"/>
                <w:numId w:val="10"/>
              </w:numPr>
              <w:rPr>
                <w:rFonts w:cstheme="minorHAnsi"/>
                <w:sz w:val="24"/>
                <w:szCs w:val="24"/>
                <w:lang w:val="en-US"/>
              </w:rPr>
            </w:pPr>
            <w:r w:rsidRPr="00CB013E">
              <w:rPr>
                <w:rFonts w:cstheme="minorHAnsi"/>
                <w:sz w:val="24"/>
                <w:szCs w:val="24"/>
                <w:lang w:val="en-US"/>
              </w:rPr>
              <w:t>Tax law conflicts and different ways of resolving them</w:t>
            </w:r>
          </w:p>
          <w:p w14:paraId="4C1ABECC" w14:textId="77777777" w:rsidR="00CB013E" w:rsidRPr="00CB013E" w:rsidRDefault="00B82B6C" w:rsidP="00B82B6C">
            <w:pPr>
              <w:pStyle w:val="Listaszerbekezds"/>
              <w:numPr>
                <w:ilvl w:val="0"/>
                <w:numId w:val="10"/>
              </w:numPr>
              <w:rPr>
                <w:rFonts w:cstheme="minorHAnsi"/>
                <w:sz w:val="24"/>
                <w:szCs w:val="24"/>
                <w:lang w:val="en-US"/>
              </w:rPr>
            </w:pPr>
            <w:r w:rsidRPr="00CB013E">
              <w:rPr>
                <w:rFonts w:cstheme="minorHAnsi"/>
                <w:sz w:val="24"/>
                <w:szCs w:val="24"/>
                <w:lang w:val="en-US"/>
              </w:rPr>
              <w:t>Distinguishing between the legality and illegality of offshore and offshore conduct</w:t>
            </w:r>
          </w:p>
          <w:p w14:paraId="5C05C158" w14:textId="77777777" w:rsidR="00CB013E" w:rsidRPr="00CB013E" w:rsidRDefault="00B82B6C" w:rsidP="00B82B6C">
            <w:pPr>
              <w:pStyle w:val="Listaszerbekezds"/>
              <w:numPr>
                <w:ilvl w:val="0"/>
                <w:numId w:val="10"/>
              </w:numPr>
              <w:rPr>
                <w:rFonts w:cstheme="minorHAnsi"/>
                <w:sz w:val="24"/>
                <w:szCs w:val="24"/>
                <w:lang w:val="en-US"/>
              </w:rPr>
            </w:pPr>
            <w:r w:rsidRPr="00CB013E">
              <w:rPr>
                <w:rFonts w:cstheme="minorHAnsi"/>
                <w:sz w:val="24"/>
                <w:szCs w:val="24"/>
                <w:lang w:val="en-US"/>
              </w:rPr>
              <w:t xml:space="preserve"> Theoretical principles of financial and tax compliance</w:t>
            </w:r>
          </w:p>
          <w:p w14:paraId="7C96B43A" w14:textId="77777777" w:rsidR="00CB013E" w:rsidRPr="00CB013E" w:rsidRDefault="00B82B6C" w:rsidP="00B82B6C">
            <w:pPr>
              <w:pStyle w:val="Listaszerbekezds"/>
              <w:numPr>
                <w:ilvl w:val="0"/>
                <w:numId w:val="10"/>
              </w:numPr>
              <w:rPr>
                <w:rFonts w:cstheme="minorHAnsi"/>
                <w:sz w:val="24"/>
                <w:szCs w:val="24"/>
                <w:lang w:val="en-US"/>
              </w:rPr>
            </w:pPr>
            <w:r w:rsidRPr="00CB013E">
              <w:rPr>
                <w:rFonts w:cstheme="minorHAnsi"/>
                <w:sz w:val="24"/>
                <w:szCs w:val="24"/>
                <w:lang w:val="en-US"/>
              </w:rPr>
              <w:t xml:space="preserve"> Banking compliance and the issues within its direct competence</w:t>
            </w:r>
          </w:p>
          <w:p w14:paraId="3D30336A" w14:textId="77777777" w:rsidR="00CB013E" w:rsidRPr="00CB013E" w:rsidRDefault="00B82B6C" w:rsidP="00B82B6C">
            <w:pPr>
              <w:pStyle w:val="Listaszerbekezds"/>
              <w:numPr>
                <w:ilvl w:val="0"/>
                <w:numId w:val="10"/>
              </w:numPr>
              <w:rPr>
                <w:rFonts w:cstheme="minorHAnsi"/>
                <w:sz w:val="24"/>
                <w:szCs w:val="24"/>
                <w:lang w:val="en-US"/>
              </w:rPr>
            </w:pPr>
            <w:r w:rsidRPr="00CB013E">
              <w:rPr>
                <w:rFonts w:cstheme="minorHAnsi"/>
                <w:sz w:val="24"/>
                <w:szCs w:val="24"/>
                <w:lang w:val="en-US"/>
              </w:rPr>
              <w:t xml:space="preserve"> </w:t>
            </w:r>
            <w:r w:rsidR="00CB013E" w:rsidRPr="00CB013E">
              <w:rPr>
                <w:rFonts w:cstheme="minorHAnsi"/>
                <w:sz w:val="24"/>
                <w:szCs w:val="24"/>
                <w:lang w:val="en-US"/>
              </w:rPr>
              <w:t>E</w:t>
            </w:r>
            <w:r w:rsidRPr="00CB013E">
              <w:rPr>
                <w:rFonts w:cstheme="minorHAnsi"/>
                <w:sz w:val="24"/>
                <w:szCs w:val="24"/>
                <w:lang w:val="en-US"/>
              </w:rPr>
              <w:t>conomic sanctions, their types and effects (with particular reference to financial sanctions)</w:t>
            </w:r>
          </w:p>
          <w:p w14:paraId="4C3F409B" w14:textId="77777777" w:rsidR="00CB013E" w:rsidRPr="00CB013E" w:rsidRDefault="00CB013E" w:rsidP="0027750E">
            <w:pPr>
              <w:pStyle w:val="Listaszerbekezds"/>
              <w:numPr>
                <w:ilvl w:val="0"/>
                <w:numId w:val="10"/>
              </w:numPr>
              <w:rPr>
                <w:rFonts w:cstheme="minorHAnsi"/>
                <w:sz w:val="24"/>
                <w:szCs w:val="24"/>
                <w:lang w:val="en-US"/>
              </w:rPr>
            </w:pPr>
            <w:r w:rsidRPr="00CB013E">
              <w:rPr>
                <w:rFonts w:cstheme="minorHAnsi"/>
                <w:sz w:val="24"/>
                <w:szCs w:val="24"/>
                <w:lang w:val="en-US"/>
              </w:rPr>
              <w:t>C</w:t>
            </w:r>
            <w:r w:rsidR="00B82B6C" w:rsidRPr="00CB013E">
              <w:rPr>
                <w:rFonts w:cstheme="minorHAnsi"/>
                <w:sz w:val="24"/>
                <w:szCs w:val="24"/>
                <w:lang w:val="en-US"/>
              </w:rPr>
              <w:t>urrent measures affecting the banking sector in the light of the various sanctions (wars)</w:t>
            </w:r>
          </w:p>
          <w:p w14:paraId="73F543DC" w14:textId="2FE3ABB6" w:rsidR="002F0523" w:rsidRPr="00CB013E" w:rsidRDefault="00B82B6C" w:rsidP="0027750E">
            <w:pPr>
              <w:pStyle w:val="Listaszerbekezds"/>
              <w:numPr>
                <w:ilvl w:val="0"/>
                <w:numId w:val="10"/>
              </w:numPr>
              <w:rPr>
                <w:rFonts w:cstheme="minorHAnsi"/>
                <w:lang w:val="en-US"/>
              </w:rPr>
            </w:pPr>
            <w:r w:rsidRPr="00CB013E">
              <w:rPr>
                <w:rFonts w:cstheme="minorHAnsi"/>
                <w:sz w:val="24"/>
                <w:szCs w:val="24"/>
                <w:lang w:val="en-US"/>
              </w:rPr>
              <w:t xml:space="preserve"> Financial and tax compliance in practice, practical examples</w:t>
            </w:r>
          </w:p>
        </w:tc>
      </w:tr>
      <w:tr w:rsidR="002829E9" w:rsidRPr="00AE222B" w14:paraId="240754BB" w14:textId="77777777" w:rsidTr="00BF500F">
        <w:tc>
          <w:tcPr>
            <w:tcW w:w="2764" w:type="dxa"/>
            <w:shd w:val="clear" w:color="auto" w:fill="D6E3BC" w:themeFill="accent3" w:themeFillTint="66"/>
            <w:vAlign w:val="center"/>
          </w:tcPr>
          <w:p w14:paraId="670AE27A" w14:textId="77777777" w:rsidR="002829E9" w:rsidRPr="00AE222B" w:rsidRDefault="002829E9" w:rsidP="0027750E">
            <w:pPr>
              <w:spacing w:before="60" w:after="60"/>
              <w:rPr>
                <w:rFonts w:asciiTheme="minorHAnsi" w:hAnsiTheme="minorHAnsi" w:cstheme="minorHAnsi"/>
                <w:b/>
                <w:lang w:val="en-GB"/>
              </w:rPr>
            </w:pPr>
            <w:r w:rsidRPr="00AE222B">
              <w:rPr>
                <w:rFonts w:asciiTheme="minorHAnsi" w:hAnsiTheme="minorHAnsi" w:cstheme="minorHAnsi"/>
                <w:b/>
                <w:lang w:val="en-GB"/>
              </w:rPr>
              <w:t>Testing and evaluation:</w:t>
            </w:r>
            <w:r w:rsidRPr="00AE222B">
              <w:rPr>
                <w:rStyle w:val="Lbjegyzet-hivatkozs"/>
                <w:rFonts w:asciiTheme="minorHAnsi" w:hAnsiTheme="minorHAnsi" w:cstheme="minorHAnsi"/>
                <w:b/>
                <w:lang w:val="en-GB"/>
              </w:rPr>
              <w:footnoteReference w:id="20"/>
            </w:r>
          </w:p>
        </w:tc>
        <w:tc>
          <w:tcPr>
            <w:tcW w:w="7087" w:type="dxa"/>
            <w:gridSpan w:val="3"/>
            <w:vAlign w:val="center"/>
          </w:tcPr>
          <w:p w14:paraId="279F442E" w14:textId="77777777" w:rsidR="002829E9" w:rsidRPr="00AE222B" w:rsidRDefault="002829E9" w:rsidP="0027750E">
            <w:pPr>
              <w:spacing w:before="60" w:after="60"/>
              <w:rPr>
                <w:rFonts w:asciiTheme="minorHAnsi" w:hAnsiTheme="minorHAnsi" w:cstheme="minorHAnsi"/>
                <w:lang w:val="en-GB"/>
              </w:rPr>
            </w:pPr>
            <w:r w:rsidRPr="00AE222B">
              <w:rPr>
                <w:rFonts w:asciiTheme="minorHAnsi" w:hAnsiTheme="minorHAnsi" w:cstheme="minorHAnsi"/>
                <w:lang w:val="en-GB"/>
              </w:rPr>
              <w:t>Active class participation and assignments to be handed in.</w:t>
            </w:r>
          </w:p>
        </w:tc>
      </w:tr>
      <w:tr w:rsidR="002829E9" w:rsidRPr="00AE222B" w14:paraId="44073E94" w14:textId="77777777" w:rsidTr="00BF500F">
        <w:tc>
          <w:tcPr>
            <w:tcW w:w="2764" w:type="dxa"/>
            <w:shd w:val="clear" w:color="auto" w:fill="D6E3BC" w:themeFill="accent3" w:themeFillTint="66"/>
            <w:vAlign w:val="center"/>
          </w:tcPr>
          <w:p w14:paraId="484A505E" w14:textId="77777777" w:rsidR="002829E9" w:rsidRPr="00AE222B" w:rsidRDefault="002829E9" w:rsidP="0027750E">
            <w:pPr>
              <w:spacing w:before="60" w:after="60"/>
              <w:jc w:val="both"/>
              <w:rPr>
                <w:rFonts w:asciiTheme="minorHAnsi" w:hAnsiTheme="minorHAnsi" w:cstheme="minorHAnsi"/>
                <w:b/>
                <w:lang w:val="en-GB"/>
              </w:rPr>
            </w:pPr>
            <w:r w:rsidRPr="00AE222B">
              <w:rPr>
                <w:rFonts w:asciiTheme="minorHAnsi" w:hAnsiTheme="minorHAnsi" w:cstheme="minorHAnsi"/>
                <w:b/>
                <w:lang w:val="en-GB"/>
              </w:rPr>
              <w:t>Course materials:</w:t>
            </w:r>
            <w:r w:rsidRPr="00AE222B">
              <w:rPr>
                <w:rStyle w:val="Lbjegyzet-hivatkozs"/>
                <w:rFonts w:asciiTheme="minorHAnsi" w:hAnsiTheme="minorHAnsi" w:cstheme="minorHAnsi"/>
                <w:b/>
                <w:lang w:val="en-GB"/>
              </w:rPr>
              <w:footnoteReference w:id="21"/>
            </w:r>
          </w:p>
        </w:tc>
        <w:tc>
          <w:tcPr>
            <w:tcW w:w="7087" w:type="dxa"/>
            <w:gridSpan w:val="3"/>
            <w:vAlign w:val="center"/>
          </w:tcPr>
          <w:p w14:paraId="3A286E57" w14:textId="77777777" w:rsidR="00710DCE" w:rsidRPr="00710DCE" w:rsidRDefault="00710DCE" w:rsidP="00710DCE">
            <w:pPr>
              <w:spacing w:before="60" w:after="60"/>
              <w:jc w:val="both"/>
              <w:rPr>
                <w:rFonts w:asciiTheme="minorHAnsi" w:hAnsiTheme="minorHAnsi" w:cstheme="minorHAnsi"/>
                <w:lang w:val="en-GB"/>
              </w:rPr>
            </w:pPr>
            <w:r w:rsidRPr="00710DCE">
              <w:rPr>
                <w:rFonts w:asciiTheme="minorHAnsi" w:hAnsiTheme="minorHAnsi" w:cstheme="minorHAnsi"/>
                <w:lang w:val="en-GB"/>
              </w:rPr>
              <w:t>The material covered in the lesson is part of the curriculum.</w:t>
            </w:r>
          </w:p>
          <w:p w14:paraId="3C1DC823" w14:textId="77777777" w:rsidR="00710DCE" w:rsidRPr="00710DCE" w:rsidRDefault="00710DCE" w:rsidP="00710DCE">
            <w:pPr>
              <w:spacing w:before="60" w:after="60"/>
              <w:jc w:val="both"/>
              <w:rPr>
                <w:rFonts w:asciiTheme="minorHAnsi" w:hAnsiTheme="minorHAnsi" w:cstheme="minorHAnsi"/>
                <w:lang w:val="en-GB"/>
              </w:rPr>
            </w:pPr>
          </w:p>
          <w:p w14:paraId="5D93B9F5" w14:textId="77777777" w:rsidR="00710DCE" w:rsidRPr="00710DCE" w:rsidRDefault="00710DCE" w:rsidP="00710DCE">
            <w:pPr>
              <w:spacing w:before="60" w:after="60"/>
              <w:jc w:val="both"/>
              <w:rPr>
                <w:rFonts w:asciiTheme="minorHAnsi" w:hAnsiTheme="minorHAnsi" w:cstheme="minorHAnsi"/>
                <w:lang w:val="en-GB"/>
              </w:rPr>
            </w:pPr>
            <w:r w:rsidRPr="00710DCE">
              <w:rPr>
                <w:rFonts w:asciiTheme="minorHAnsi" w:hAnsiTheme="minorHAnsi" w:cstheme="minorHAnsi"/>
                <w:lang w:val="en-GB"/>
              </w:rPr>
              <w:t>Recommended literature:</w:t>
            </w:r>
          </w:p>
          <w:p w14:paraId="0751E4A4" w14:textId="77777777" w:rsidR="00710DCE" w:rsidRPr="00710DCE" w:rsidRDefault="00710DCE" w:rsidP="00710DCE">
            <w:pPr>
              <w:spacing w:before="60" w:after="60"/>
              <w:jc w:val="both"/>
              <w:rPr>
                <w:rFonts w:asciiTheme="minorHAnsi" w:hAnsiTheme="minorHAnsi" w:cstheme="minorHAnsi"/>
                <w:lang w:val="en-GB"/>
              </w:rPr>
            </w:pPr>
          </w:p>
          <w:p w14:paraId="5107CF5E" w14:textId="77777777" w:rsidR="00BF70FF" w:rsidRDefault="00BF70FF" w:rsidP="00BF70FF">
            <w:pPr>
              <w:shd w:val="clear" w:color="auto" w:fill="FFFFFF"/>
              <w:spacing w:line="255" w:lineRule="atLeast"/>
              <w:jc w:val="both"/>
              <w:textAlignment w:val="baseline"/>
              <w:rPr>
                <w:rFonts w:asciiTheme="minorHAnsi" w:hAnsiTheme="minorHAnsi" w:cstheme="minorHAnsi"/>
              </w:rPr>
            </w:pPr>
            <w:r w:rsidRPr="00EC0B6F">
              <w:rPr>
                <w:rFonts w:asciiTheme="minorHAnsi" w:hAnsiTheme="minorHAnsi" w:cstheme="minorHAnsi"/>
              </w:rPr>
              <w:t xml:space="preserve">Jacsó Judit: A compliance fogalmáról és szerepéről a gazdasági életben, Miskolci Jogi Szemle, 2019/1. Különszám. </w:t>
            </w:r>
            <w:hyperlink r:id="rId9" w:history="1">
              <w:r w:rsidRPr="00480497">
                <w:rPr>
                  <w:rStyle w:val="Hiperhivatkozs"/>
                  <w:rFonts w:asciiTheme="minorHAnsi" w:hAnsiTheme="minorHAnsi" w:cstheme="minorHAnsi"/>
                </w:rPr>
                <w:t>https://www.mjsz.uni-miskolc.hu/files/8169/11_jacsojudit.pdf</w:t>
              </w:r>
            </w:hyperlink>
          </w:p>
          <w:p w14:paraId="33AB36C5" w14:textId="77777777" w:rsidR="00BF70FF" w:rsidRPr="00EC0B6F" w:rsidRDefault="00BF70FF" w:rsidP="00BF70FF">
            <w:pPr>
              <w:shd w:val="clear" w:color="auto" w:fill="FFFFFF"/>
              <w:spacing w:line="255" w:lineRule="atLeast"/>
              <w:jc w:val="both"/>
              <w:textAlignment w:val="baseline"/>
              <w:rPr>
                <w:rFonts w:asciiTheme="minorHAnsi" w:hAnsiTheme="minorHAnsi" w:cstheme="minorHAnsi"/>
              </w:rPr>
            </w:pPr>
          </w:p>
          <w:p w14:paraId="4A60F371" w14:textId="77777777" w:rsidR="00BF70FF" w:rsidRDefault="00BF70FF" w:rsidP="00BF70FF">
            <w:pPr>
              <w:shd w:val="clear" w:color="auto" w:fill="FFFFFF"/>
              <w:spacing w:line="255" w:lineRule="atLeast"/>
              <w:jc w:val="both"/>
              <w:textAlignment w:val="baseline"/>
              <w:rPr>
                <w:rFonts w:asciiTheme="minorHAnsi" w:hAnsiTheme="minorHAnsi" w:cstheme="minorHAnsi"/>
              </w:rPr>
            </w:pPr>
            <w:r w:rsidRPr="00EC0B6F">
              <w:rPr>
                <w:rFonts w:asciiTheme="minorHAnsi" w:hAnsiTheme="minorHAnsi" w:cstheme="minorHAnsi"/>
              </w:rPr>
              <w:t xml:space="preserve">Erdős Éva: Nemzetközi, illetve európai adójogi konfliktusok és kezelésének módjai. Publicationes Universitatis Miskolcinensis, Sectio </w:t>
            </w:r>
            <w:r w:rsidRPr="00EC0B6F">
              <w:rPr>
                <w:rFonts w:asciiTheme="minorHAnsi" w:hAnsiTheme="minorHAnsi" w:cstheme="minorHAnsi"/>
              </w:rPr>
              <w:lastRenderedPageBreak/>
              <w:t>Juridica et Politica Tomus XXV/1. Miskolc University Press, 2007. 267-289. o.</w:t>
            </w:r>
          </w:p>
          <w:p w14:paraId="046801A8" w14:textId="77777777" w:rsidR="00BF70FF" w:rsidRPr="00EC0B6F" w:rsidRDefault="00BF70FF" w:rsidP="00BF70FF">
            <w:pPr>
              <w:shd w:val="clear" w:color="auto" w:fill="FFFFFF"/>
              <w:spacing w:line="255" w:lineRule="atLeast"/>
              <w:jc w:val="both"/>
              <w:textAlignment w:val="baseline"/>
              <w:rPr>
                <w:rFonts w:asciiTheme="minorHAnsi" w:hAnsiTheme="minorHAnsi" w:cstheme="minorHAnsi"/>
              </w:rPr>
            </w:pPr>
          </w:p>
          <w:p w14:paraId="25144813" w14:textId="77777777" w:rsidR="00BF70FF" w:rsidRDefault="00BF70FF" w:rsidP="00BF70FF">
            <w:pPr>
              <w:shd w:val="clear" w:color="auto" w:fill="FFFFFF"/>
              <w:spacing w:line="255" w:lineRule="atLeast"/>
              <w:jc w:val="both"/>
              <w:textAlignment w:val="baseline"/>
              <w:rPr>
                <w:rFonts w:asciiTheme="minorHAnsi" w:hAnsiTheme="minorHAnsi" w:cstheme="minorHAnsi"/>
              </w:rPr>
            </w:pPr>
            <w:r w:rsidRPr="00EC0B6F">
              <w:rPr>
                <w:rFonts w:asciiTheme="minorHAnsi" w:hAnsiTheme="minorHAnsi" w:cstheme="minorHAnsi"/>
              </w:rPr>
              <w:t>Brother Layman: Az offshore halála, Harmadik, módosított, e-könyv (ebook/ibook) kiadás, 2011. december</w:t>
            </w:r>
          </w:p>
          <w:p w14:paraId="161DC3AB" w14:textId="77777777" w:rsidR="00BF70FF" w:rsidRPr="00EC0B6F" w:rsidRDefault="00BF70FF" w:rsidP="00BF70FF">
            <w:pPr>
              <w:shd w:val="clear" w:color="auto" w:fill="FFFFFF"/>
              <w:spacing w:line="255" w:lineRule="atLeast"/>
              <w:jc w:val="both"/>
              <w:textAlignment w:val="baseline"/>
              <w:rPr>
                <w:rFonts w:asciiTheme="minorHAnsi" w:hAnsiTheme="minorHAnsi" w:cstheme="minorHAnsi"/>
              </w:rPr>
            </w:pPr>
          </w:p>
          <w:p w14:paraId="0EE82488" w14:textId="77777777" w:rsidR="00BF70FF" w:rsidRDefault="00BF70FF" w:rsidP="00BF70FF">
            <w:pPr>
              <w:shd w:val="clear" w:color="auto" w:fill="FFFFFF"/>
              <w:spacing w:line="255" w:lineRule="atLeast"/>
              <w:jc w:val="both"/>
              <w:textAlignment w:val="baseline"/>
              <w:rPr>
                <w:rFonts w:asciiTheme="minorHAnsi" w:hAnsiTheme="minorHAnsi" w:cstheme="minorHAnsi"/>
              </w:rPr>
            </w:pPr>
            <w:r w:rsidRPr="00EC0B6F">
              <w:rPr>
                <w:rFonts w:asciiTheme="minorHAnsi" w:hAnsiTheme="minorHAnsi" w:cstheme="minorHAnsi"/>
              </w:rPr>
              <w:t>A compliance szerepe a közösségi értékek és érdekek védelmében - Elmélet és gyakorlat</w:t>
            </w:r>
          </w:p>
          <w:p w14:paraId="7ACE2BBA" w14:textId="77777777" w:rsidR="00BF70FF" w:rsidRDefault="00BF70FF" w:rsidP="00BF70FF">
            <w:pPr>
              <w:shd w:val="clear" w:color="auto" w:fill="FFFFFF"/>
              <w:spacing w:line="255" w:lineRule="atLeast"/>
              <w:jc w:val="both"/>
              <w:textAlignment w:val="baseline"/>
              <w:rPr>
                <w:rFonts w:asciiTheme="minorHAnsi" w:hAnsiTheme="minorHAnsi" w:cstheme="minorHAnsi"/>
              </w:rPr>
            </w:pPr>
            <w:r w:rsidRPr="00EC0B6F">
              <w:rPr>
                <w:rFonts w:asciiTheme="minorHAnsi" w:hAnsiTheme="minorHAnsi" w:cstheme="minorHAnsi"/>
              </w:rPr>
              <w:t>Kocziszky György - Kardkovács Kolos, AKADÉMIAI KIADÓ online megjelenés éve:2020</w:t>
            </w:r>
          </w:p>
          <w:p w14:paraId="527072DC" w14:textId="77777777" w:rsidR="00BF70FF" w:rsidRPr="00EC0B6F" w:rsidRDefault="00BF70FF" w:rsidP="00BF70FF">
            <w:pPr>
              <w:shd w:val="clear" w:color="auto" w:fill="FFFFFF"/>
              <w:spacing w:line="255" w:lineRule="atLeast"/>
              <w:jc w:val="both"/>
              <w:textAlignment w:val="baseline"/>
              <w:rPr>
                <w:rFonts w:asciiTheme="minorHAnsi" w:hAnsiTheme="minorHAnsi" w:cstheme="minorHAnsi"/>
              </w:rPr>
            </w:pPr>
          </w:p>
          <w:p w14:paraId="0656BF0E" w14:textId="77777777" w:rsidR="002829E9" w:rsidRDefault="00BF70FF" w:rsidP="00BF70FF">
            <w:pPr>
              <w:shd w:val="clear" w:color="auto" w:fill="FFFFFF"/>
              <w:spacing w:line="255" w:lineRule="atLeast"/>
              <w:jc w:val="both"/>
              <w:textAlignment w:val="baseline"/>
              <w:rPr>
                <w:rFonts w:asciiTheme="minorHAnsi" w:hAnsiTheme="minorHAnsi" w:cstheme="minorHAnsi"/>
              </w:rPr>
            </w:pPr>
            <w:r w:rsidRPr="00EC0B6F">
              <w:rPr>
                <w:rFonts w:asciiTheme="minorHAnsi" w:hAnsiTheme="minorHAnsi" w:cstheme="minorHAnsi"/>
              </w:rPr>
              <w:t>Bankmenedzsment banküzemtan, szerkesztette: Kovács Levente/Marsi Erika, Magyar Bankszövetség,</w:t>
            </w:r>
            <w:r>
              <w:rPr>
                <w:rFonts w:asciiTheme="minorHAnsi" w:hAnsiTheme="minorHAnsi" w:cstheme="minorHAnsi"/>
              </w:rPr>
              <w:t xml:space="preserve"> </w:t>
            </w:r>
            <w:r w:rsidRPr="00EC0B6F">
              <w:rPr>
                <w:rFonts w:asciiTheme="minorHAnsi" w:hAnsiTheme="minorHAnsi" w:cstheme="minorHAnsi"/>
              </w:rPr>
              <w:t>Budapest, 2018</w:t>
            </w:r>
          </w:p>
          <w:p w14:paraId="429E0A8B" w14:textId="13BE7FB9" w:rsidR="00B82B6C" w:rsidRPr="00BF70FF" w:rsidRDefault="00B82B6C" w:rsidP="00BF70FF">
            <w:pPr>
              <w:shd w:val="clear" w:color="auto" w:fill="FFFFFF"/>
              <w:spacing w:line="255" w:lineRule="atLeast"/>
              <w:jc w:val="both"/>
              <w:textAlignment w:val="baseline"/>
              <w:rPr>
                <w:rFonts w:asciiTheme="minorHAnsi" w:hAnsiTheme="minorHAnsi" w:cstheme="minorHAnsi"/>
              </w:rPr>
            </w:pPr>
          </w:p>
        </w:tc>
      </w:tr>
    </w:tbl>
    <w:p w14:paraId="7B997D31" w14:textId="296097FF" w:rsidR="003D2D02" w:rsidRDefault="003D2D02" w:rsidP="004F2AE9"/>
    <w:sectPr w:rsidR="003D2D02" w:rsidSect="00DB3BF0">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8477E" w14:textId="77777777" w:rsidR="00C808A2" w:rsidRDefault="00C808A2" w:rsidP="00791B0A">
      <w:r>
        <w:separator/>
      </w:r>
    </w:p>
  </w:endnote>
  <w:endnote w:type="continuationSeparator" w:id="0">
    <w:p w14:paraId="47C0A02B" w14:textId="77777777" w:rsidR="00C808A2" w:rsidRDefault="00C808A2" w:rsidP="0079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ED7C" w14:textId="77777777" w:rsidR="00C808A2" w:rsidRDefault="00C808A2" w:rsidP="00791B0A">
      <w:r>
        <w:separator/>
      </w:r>
    </w:p>
  </w:footnote>
  <w:footnote w:type="continuationSeparator" w:id="0">
    <w:p w14:paraId="10C22EE8" w14:textId="77777777" w:rsidR="00C808A2" w:rsidRDefault="00C808A2" w:rsidP="00791B0A">
      <w:r>
        <w:continuationSeparator/>
      </w:r>
    </w:p>
  </w:footnote>
  <w:footnote w:id="1">
    <w:p w14:paraId="18A1611B" w14:textId="77777777" w:rsidR="00DD2FF5" w:rsidRPr="00F46DDF" w:rsidRDefault="00DD2FF5" w:rsidP="00DD2FF5">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Pr>
          <w:rFonts w:asciiTheme="minorHAnsi" w:hAnsiTheme="minorHAnsi" w:cstheme="minorHAnsi"/>
          <w:b/>
        </w:rPr>
        <w:t>Szint</w:t>
      </w:r>
      <w:r w:rsidRPr="00F46DDF">
        <w:rPr>
          <w:rFonts w:asciiTheme="minorHAnsi" w:hAnsiTheme="minorHAnsi" w:cstheme="minorHAnsi"/>
          <w:b/>
        </w:rPr>
        <w:t>:</w:t>
      </w:r>
      <w:r>
        <w:rPr>
          <w:rFonts w:asciiTheme="minorHAnsi" w:hAnsiTheme="minorHAnsi" w:cstheme="minorHAnsi"/>
        </w:rPr>
        <w:t>1-10: amely félévhez a tárgy a mintatanterv szerint tartozik, vagy amelyen hallgatása egyébként ajánlott</w:t>
      </w:r>
      <w:r w:rsidRPr="00F46DDF">
        <w:rPr>
          <w:rFonts w:asciiTheme="minorHAnsi" w:hAnsiTheme="minorHAnsi" w:cstheme="minorHAnsi"/>
        </w:rPr>
        <w:t>.</w:t>
      </w:r>
    </w:p>
  </w:footnote>
  <w:footnote w:id="2">
    <w:p w14:paraId="021708BA" w14:textId="77777777" w:rsidR="00DD2FF5" w:rsidRPr="00F46DDF" w:rsidRDefault="00DD2FF5" w:rsidP="00DD2FF5">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b/>
        </w:rPr>
        <w:t>Előfeltételt</w:t>
      </w:r>
      <w:r w:rsidRPr="00F46DDF">
        <w:rPr>
          <w:rFonts w:asciiTheme="minorHAnsi" w:hAnsiTheme="minorHAnsi" w:cstheme="minorHAnsi"/>
        </w:rPr>
        <w:t xml:space="preserve"> meghatározni opcionális. Megadható például előfeltételként valamely tárgy előhallgatása vagy párhuzamos hallgatása; minimális kreditszám. Az erre vonatkozó szűrőt a Tanulmányi Osztály tudja beállítani.</w:t>
      </w:r>
    </w:p>
  </w:footnote>
  <w:footnote w:id="3">
    <w:p w14:paraId="48B678B9" w14:textId="77777777" w:rsidR="00DD2FF5" w:rsidRPr="00F46DDF" w:rsidRDefault="00DD2FF5" w:rsidP="00DD2FF5">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b/>
        </w:rPr>
        <w:t>Követelmény típus:</w:t>
      </w:r>
      <w:r w:rsidRPr="00F46DDF">
        <w:rPr>
          <w:rFonts w:asciiTheme="minorHAnsi" w:hAnsiTheme="minorHAnsi" w:cstheme="minorHAnsi"/>
        </w:rPr>
        <w:t xml:space="preserve"> kötelezően választhatónál „Évközi jegy” (ötfokozatú)”, szabadon választhatónál „Beszámoló (háromfokozatú)”.</w:t>
      </w:r>
    </w:p>
  </w:footnote>
  <w:footnote w:id="4">
    <w:p w14:paraId="1B42310C" w14:textId="77777777" w:rsidR="00DD2FF5" w:rsidRPr="00F46DDF" w:rsidRDefault="00DD2FF5" w:rsidP="00DD2FF5">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b/>
        </w:rPr>
        <w:t>Óraszám:</w:t>
      </w:r>
      <w:r w:rsidRPr="00F46DDF">
        <w:rPr>
          <w:rFonts w:asciiTheme="minorHAnsi" w:hAnsiTheme="minorHAnsi" w:cstheme="minorHAnsi"/>
        </w:rPr>
        <w:t xml:space="preserve"> kötelezően választhatónál nappalin 2 óra/hét, levelezőn 3 óra/félév. Szabadon választhatónál nappalin 2 óra/hét, levelezőn 2 óra/félév.</w:t>
      </w:r>
    </w:p>
  </w:footnote>
  <w:footnote w:id="5">
    <w:p w14:paraId="556049B0" w14:textId="77777777" w:rsidR="00DD2FF5" w:rsidRPr="00F46DDF" w:rsidRDefault="00DD2FF5" w:rsidP="00DD2FF5">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b/>
        </w:rPr>
        <w:t>Óratípus:</w:t>
      </w:r>
      <w:r w:rsidRPr="00F46DDF">
        <w:rPr>
          <w:rFonts w:asciiTheme="minorHAnsi" w:hAnsiTheme="minorHAnsi" w:cstheme="minorHAnsi"/>
        </w:rPr>
        <w:t xml:space="preserve"> kötelezően választhatónál „Előadás”, szabadon választhatónál „Gyakorlat”.</w:t>
      </w:r>
    </w:p>
  </w:footnote>
  <w:footnote w:id="6">
    <w:p w14:paraId="69F7C4D8" w14:textId="77777777" w:rsidR="00DD2FF5" w:rsidRPr="00F46DDF" w:rsidRDefault="00DD2FF5" w:rsidP="00DD2FF5">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b/>
        </w:rPr>
        <w:t>Kredit:</w:t>
      </w:r>
      <w:r w:rsidRPr="00F46DDF">
        <w:rPr>
          <w:rFonts w:asciiTheme="minorHAnsi" w:hAnsiTheme="minorHAnsi" w:cstheme="minorHAnsi"/>
        </w:rPr>
        <w:t xml:space="preserve"> kötelezően és szabadon választhatóknál egyaránt 2 kredit.</w:t>
      </w:r>
    </w:p>
  </w:footnote>
  <w:footnote w:id="7">
    <w:p w14:paraId="61477F7D" w14:textId="77777777" w:rsidR="00DD2FF5" w:rsidRPr="00F46DDF" w:rsidRDefault="00DD2FF5" w:rsidP="00DD2FF5">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b/>
        </w:rPr>
        <w:t>Felelős szervezet neve:</w:t>
      </w:r>
      <w:r w:rsidRPr="00F46DDF">
        <w:rPr>
          <w:rFonts w:asciiTheme="minorHAnsi" w:hAnsiTheme="minorHAnsi" w:cstheme="minorHAnsi"/>
        </w:rPr>
        <w:t xml:space="preserve"> konkrét tanszék, intézet, stb.</w:t>
      </w:r>
    </w:p>
  </w:footnote>
  <w:footnote w:id="8">
    <w:p w14:paraId="0EF2C344" w14:textId="77777777" w:rsidR="00DD2FF5" w:rsidRPr="00F46DDF" w:rsidRDefault="00DD2FF5" w:rsidP="00DD2FF5">
      <w:pPr>
        <w:jc w:val="both"/>
        <w:rPr>
          <w:rFonts w:asciiTheme="minorHAnsi" w:hAnsiTheme="minorHAnsi" w:cstheme="minorHAnsi"/>
          <w:sz w:val="20"/>
          <w:szCs w:val="20"/>
        </w:rPr>
      </w:pPr>
      <w:r w:rsidRPr="00F46DDF">
        <w:rPr>
          <w:rStyle w:val="Lbjegyzet-hivatkozs"/>
          <w:rFonts w:asciiTheme="minorHAnsi" w:hAnsiTheme="minorHAnsi" w:cstheme="minorHAnsi"/>
          <w:sz w:val="20"/>
          <w:szCs w:val="20"/>
        </w:rPr>
        <w:footnoteRef/>
      </w:r>
      <w:r w:rsidRPr="00F46DDF">
        <w:rPr>
          <w:rFonts w:asciiTheme="minorHAnsi" w:hAnsiTheme="minorHAnsi" w:cstheme="minorHAnsi"/>
          <w:b/>
          <w:sz w:val="20"/>
          <w:szCs w:val="20"/>
        </w:rPr>
        <w:t>Oktatás célja</w:t>
      </w:r>
      <w:r w:rsidRPr="00F46DDF">
        <w:rPr>
          <w:rFonts w:asciiTheme="minorHAnsi" w:hAnsiTheme="minorHAnsi" w:cstheme="minorHAnsi"/>
          <w:sz w:val="20"/>
          <w:szCs w:val="20"/>
        </w:rPr>
        <w:t xml:space="preserve"> (kellően alapos kifejtéssel): a </w:t>
      </w:r>
      <w:r w:rsidRPr="00F46DDF">
        <w:rPr>
          <w:rFonts w:asciiTheme="minorHAnsi" w:hAnsiTheme="minorHAnsi" w:cstheme="minorHAnsi"/>
          <w:b/>
          <w:sz w:val="20"/>
          <w:szCs w:val="20"/>
        </w:rPr>
        <w:t>képzési és kimeneti követelményhez (KKK) igazodva</w:t>
      </w:r>
      <w:r w:rsidRPr="00F46DDF">
        <w:rPr>
          <w:rFonts w:asciiTheme="minorHAnsi" w:hAnsiTheme="minorHAnsi" w:cstheme="minorHAnsi"/>
          <w:sz w:val="20"/>
          <w:szCs w:val="20"/>
        </w:rPr>
        <w:t xml:space="preserve">, így pl. jogász osztatlan szakon a </w:t>
      </w:r>
      <w:r w:rsidRPr="00F46DDF">
        <w:rPr>
          <w:rFonts w:asciiTheme="minorHAnsi" w:hAnsiTheme="minorHAnsi" w:cstheme="minorHAnsi"/>
          <w:i/>
          <w:sz w:val="20"/>
          <w:szCs w:val="20"/>
        </w:rPr>
        <w:t>18/2016. (VIII. 5.) EMMI rendelet</w:t>
      </w:r>
      <w:r w:rsidRPr="00F46DDF">
        <w:rPr>
          <w:rFonts w:asciiTheme="minorHAnsi" w:hAnsiTheme="minorHAnsi" w:cstheme="minorHAnsi"/>
          <w:sz w:val="20"/>
          <w:szCs w:val="20"/>
        </w:rPr>
        <w:t xml:space="preserve"> 4. melléklet V./2. fejezet 7.1.1. pontban felsorolt tudás-, képesség-, attitűd-, autonómia- és felelősségelemek közül melyek átadásához, fejlesztéséhez járul hozzá az adott tárgy és hogyan. Itt kell megadni azt is, hogy a KKK 8.1.1. pontjában meghatározott kategóriák közül leginkább melyikbe tartozik az adott tárgy (társadalomtudományi alapismeretek, jogász szakterület-specifikus szakmai ismeretek, az alapvető szakmai ismeretekhez kapcsolódó választható ismeretkörök, stb.).</w:t>
      </w:r>
    </w:p>
  </w:footnote>
  <w:footnote w:id="9">
    <w:p w14:paraId="1239CDEA" w14:textId="77777777" w:rsidR="00DD2FF5" w:rsidRPr="00F46DDF" w:rsidRDefault="00DD2FF5" w:rsidP="00DD2FF5">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b/>
        </w:rPr>
        <w:t>Tantárgy tartalma:</w:t>
      </w:r>
      <w:r w:rsidRPr="00F46DDF">
        <w:rPr>
          <w:rFonts w:asciiTheme="minorHAnsi" w:hAnsiTheme="minorHAnsi" w:cstheme="minorHAnsi"/>
        </w:rPr>
        <w:t xml:space="preserve"> itt kell megadni mintegy 10-12 pontban a tantárgy tematikáját (tematikus elemeit).</w:t>
      </w:r>
      <w:r>
        <w:rPr>
          <w:rFonts w:asciiTheme="minorHAnsi" w:hAnsiTheme="minorHAnsi" w:cstheme="minorHAnsi"/>
        </w:rPr>
        <w:t xml:space="preserve"> Nem dátum szerint kell megadni, hanem sorszámozva!</w:t>
      </w:r>
    </w:p>
  </w:footnote>
  <w:footnote w:id="10">
    <w:p w14:paraId="4E9D450D" w14:textId="77777777" w:rsidR="00DD2FF5" w:rsidRPr="00F46DDF" w:rsidRDefault="00DD2FF5" w:rsidP="00DD2FF5">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b/>
        </w:rPr>
        <w:t>Számonkérési és értékelési rendszere:</w:t>
      </w:r>
      <w:r w:rsidRPr="00F46DDF">
        <w:rPr>
          <w:rFonts w:asciiTheme="minorHAnsi" w:hAnsiTheme="minorHAnsi" w:cstheme="minorHAnsi"/>
        </w:rPr>
        <w:t xml:space="preserve"> a fentebb meghatározott követelmény típuson túl itt kell részletezni, hogy miként történik a számonkérés. </w:t>
      </w:r>
      <w:r>
        <w:rPr>
          <w:rFonts w:asciiTheme="minorHAnsi" w:hAnsiTheme="minorHAnsi" w:cstheme="minorHAnsi"/>
        </w:rPr>
        <w:t xml:space="preserve">Írásbeli, szóbeli vagy kombinált vizsga? </w:t>
      </w:r>
      <w:r w:rsidRPr="00F46DDF">
        <w:rPr>
          <w:rFonts w:asciiTheme="minorHAnsi" w:hAnsiTheme="minorHAnsi" w:cstheme="minorHAnsi"/>
        </w:rPr>
        <w:t>Milyen félévközi tanulmányi követelmény van (pl. házi dolgozat, prezentáció)</w:t>
      </w:r>
      <w:r>
        <w:rPr>
          <w:rFonts w:asciiTheme="minorHAnsi" w:hAnsiTheme="minorHAnsi" w:cstheme="minorHAnsi"/>
        </w:rPr>
        <w:t>? M</w:t>
      </w:r>
      <w:r w:rsidRPr="00F46DDF">
        <w:rPr>
          <w:rFonts w:asciiTheme="minorHAnsi" w:hAnsiTheme="minorHAnsi" w:cstheme="minorHAnsi"/>
        </w:rPr>
        <w:t>eghatározott számú hiányzáshoz kapcsolódik-e szankció és milyen (pl. aláírás megtagadása, plusz feladat), s a minősítést mire kapja a hallgató, esetleg milyen részminősítésekből tevődik az össze</w:t>
      </w:r>
      <w:r>
        <w:rPr>
          <w:rFonts w:asciiTheme="minorHAnsi" w:hAnsiTheme="minorHAnsi" w:cstheme="minorHAnsi"/>
        </w:rPr>
        <w:t>?</w:t>
      </w:r>
      <w:r w:rsidRPr="00F46DDF">
        <w:rPr>
          <w:rFonts w:asciiTheme="minorHAnsi" w:hAnsiTheme="minorHAnsi" w:cstheme="minorHAnsi"/>
        </w:rPr>
        <w:t xml:space="preserve"> [Vö. TVSz 33. § (4) bek.].</w:t>
      </w:r>
    </w:p>
  </w:footnote>
  <w:footnote w:id="11">
    <w:p w14:paraId="026EE2A9" w14:textId="77777777" w:rsidR="00DD2FF5" w:rsidRPr="00F46DDF" w:rsidRDefault="00DD2FF5" w:rsidP="00DD2FF5">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b/>
        </w:rPr>
        <w:t>Irodalom:</w:t>
      </w:r>
      <w:r w:rsidRPr="00F46DDF">
        <w:rPr>
          <w:rFonts w:asciiTheme="minorHAnsi" w:hAnsiTheme="minorHAnsi" w:cstheme="minorHAnsi"/>
        </w:rPr>
        <w:t xml:space="preserve"> itt kell meghatározni a tananyagot, a kötelező és (opcionálisan) az ajánlott irodalmat. Érdemes utalni arra is, hogy az előadásokon elhangzottak is a kötelező tananyag részét képezik.</w:t>
      </w:r>
    </w:p>
  </w:footnote>
  <w:footnote w:id="12">
    <w:p w14:paraId="64F88390" w14:textId="77777777" w:rsidR="002829E9" w:rsidRPr="00F46DDF" w:rsidRDefault="002829E9" w:rsidP="002829E9">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Pr>
          <w:rFonts w:asciiTheme="minorHAnsi" w:hAnsiTheme="minorHAnsi" w:cstheme="minorHAnsi"/>
          <w:b/>
          <w:lang w:val="en-GB"/>
        </w:rPr>
        <w:t>Level</w:t>
      </w:r>
      <w:r w:rsidRPr="00F46DDF">
        <w:rPr>
          <w:rFonts w:asciiTheme="minorHAnsi" w:hAnsiTheme="minorHAnsi" w:cstheme="minorHAnsi"/>
          <w:b/>
          <w:lang w:val="en-GB"/>
        </w:rPr>
        <w:t>:</w:t>
      </w:r>
      <w:r>
        <w:rPr>
          <w:rFonts w:asciiTheme="minorHAnsi" w:hAnsiTheme="minorHAnsi" w:cstheme="minorHAnsi"/>
          <w:lang w:val="en-GB"/>
        </w:rPr>
        <w:t>1-10: the semester in which the course shall be announced according to the curriculum, or in which it is recommended for students to attend</w:t>
      </w:r>
      <w:r w:rsidRPr="00F46DDF">
        <w:rPr>
          <w:rFonts w:asciiTheme="minorHAnsi" w:hAnsiTheme="minorHAnsi" w:cstheme="minorHAnsi"/>
          <w:lang w:val="en-GB"/>
        </w:rPr>
        <w:t>.</w:t>
      </w:r>
    </w:p>
  </w:footnote>
  <w:footnote w:id="13">
    <w:p w14:paraId="2CDC1650" w14:textId="77777777" w:rsidR="002829E9" w:rsidRPr="00F46DDF" w:rsidRDefault="002829E9" w:rsidP="002829E9">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b/>
          <w:lang w:val="en-GB"/>
        </w:rPr>
        <w:t>Prerequisites:</w:t>
      </w:r>
      <w:r w:rsidRPr="00F46DDF">
        <w:rPr>
          <w:rFonts w:asciiTheme="minorHAnsi" w:hAnsiTheme="minorHAnsi" w:cstheme="minorHAnsi"/>
          <w:lang w:val="en-GB"/>
        </w:rPr>
        <w:t>optional. E.g. preconditioned subject(s), subjects to be concurrently signed up; a minimum number of credits completed.</w:t>
      </w:r>
    </w:p>
  </w:footnote>
  <w:footnote w:id="14">
    <w:p w14:paraId="1250BD3A" w14:textId="77777777" w:rsidR="002829E9" w:rsidRPr="00F46DDF" w:rsidRDefault="002829E9" w:rsidP="002829E9">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b/>
          <w:lang w:val="en-GB"/>
        </w:rPr>
        <w:t>Requirement type:</w:t>
      </w:r>
      <w:r w:rsidRPr="00F46DDF">
        <w:rPr>
          <w:rFonts w:asciiTheme="minorHAnsi" w:hAnsiTheme="minorHAnsi" w:cstheme="minorHAnsi"/>
          <w:lang w:val="en-GB"/>
        </w:rPr>
        <w:t>in case of elective course-units („kötvál”)</w:t>
      </w:r>
      <w:r>
        <w:rPr>
          <w:rFonts w:asciiTheme="minorHAnsi" w:hAnsiTheme="minorHAnsi" w:cstheme="minorHAnsi"/>
          <w:lang w:val="en-GB"/>
        </w:rPr>
        <w:t>:</w:t>
      </w:r>
      <w:r w:rsidRPr="00F46DDF">
        <w:rPr>
          <w:rFonts w:asciiTheme="minorHAnsi" w:hAnsiTheme="minorHAnsi" w:cstheme="minorHAnsi"/>
          <w:lang w:val="en-GB"/>
        </w:rPr>
        <w:t xml:space="preserve"> „</w:t>
      </w:r>
      <w:r>
        <w:rPr>
          <w:rFonts w:asciiTheme="minorHAnsi" w:hAnsiTheme="minorHAnsi" w:cstheme="minorHAnsi"/>
          <w:lang w:val="en-GB"/>
        </w:rPr>
        <w:t>Mid-term grade (in five-grade system)”;</w:t>
      </w:r>
      <w:r w:rsidRPr="00F46DDF">
        <w:rPr>
          <w:rFonts w:asciiTheme="minorHAnsi" w:hAnsiTheme="minorHAnsi" w:cstheme="minorHAnsi"/>
          <w:lang w:val="en-GB"/>
        </w:rPr>
        <w:t xml:space="preserve"> in case of optional course units („szabvál”)</w:t>
      </w:r>
      <w:r>
        <w:rPr>
          <w:rFonts w:asciiTheme="minorHAnsi" w:hAnsiTheme="minorHAnsi" w:cstheme="minorHAnsi"/>
          <w:lang w:val="en-GB"/>
        </w:rPr>
        <w:t>:</w:t>
      </w:r>
      <w:r w:rsidRPr="00F46DDF">
        <w:rPr>
          <w:rFonts w:asciiTheme="minorHAnsi" w:hAnsiTheme="minorHAnsi" w:cstheme="minorHAnsi"/>
          <w:lang w:val="en-GB"/>
        </w:rPr>
        <w:t xml:space="preserve"> „</w:t>
      </w:r>
      <w:r>
        <w:rPr>
          <w:rFonts w:asciiTheme="minorHAnsi" w:hAnsiTheme="minorHAnsi" w:cstheme="minorHAnsi"/>
          <w:lang w:val="en-GB"/>
        </w:rPr>
        <w:t>Written assignment</w:t>
      </w:r>
      <w:r w:rsidRPr="00F46DDF">
        <w:rPr>
          <w:rFonts w:asciiTheme="minorHAnsi" w:hAnsiTheme="minorHAnsi" w:cstheme="minorHAnsi"/>
          <w:lang w:val="en-GB"/>
        </w:rPr>
        <w:t xml:space="preserve"> (in three-grade system)”.</w:t>
      </w:r>
    </w:p>
  </w:footnote>
  <w:footnote w:id="15">
    <w:p w14:paraId="3E781C75" w14:textId="77777777" w:rsidR="002829E9" w:rsidRPr="00F46DDF" w:rsidRDefault="002829E9" w:rsidP="002829E9">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b/>
          <w:lang w:val="en-GB"/>
        </w:rPr>
        <w:t>Number and type of classes:</w:t>
      </w:r>
      <w:r w:rsidRPr="00F46DDF">
        <w:rPr>
          <w:rFonts w:asciiTheme="minorHAnsi" w:hAnsiTheme="minorHAnsi" w:cstheme="minorHAnsi"/>
          <w:lang w:val="en-GB"/>
        </w:rPr>
        <w:t>in case of elective course-units („kötvál”) 2 hours/week for full-time students and 3 hours/semester for part-time students. In case of optional course units („szabvál”) 2 hours/week for full-time students and 2 hours/semester for part-time students.</w:t>
      </w:r>
    </w:p>
  </w:footnote>
  <w:footnote w:id="16">
    <w:p w14:paraId="20E88BCC" w14:textId="77777777" w:rsidR="002829E9" w:rsidRPr="00F46DDF" w:rsidRDefault="002829E9" w:rsidP="002829E9">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b/>
          <w:lang w:val="en-GB"/>
        </w:rPr>
        <w:t>Type of contact hours:</w:t>
      </w:r>
      <w:r w:rsidRPr="00F46DDF">
        <w:rPr>
          <w:rFonts w:asciiTheme="minorHAnsi" w:hAnsiTheme="minorHAnsi" w:cstheme="minorHAnsi"/>
          <w:lang w:val="en-GB"/>
        </w:rPr>
        <w:t>in case of elective course-units („kötvál”)</w:t>
      </w:r>
      <w:r>
        <w:rPr>
          <w:rFonts w:asciiTheme="minorHAnsi" w:hAnsiTheme="minorHAnsi" w:cstheme="minorHAnsi"/>
          <w:lang w:val="en-GB"/>
        </w:rPr>
        <w:t>: „Lecture”;</w:t>
      </w:r>
      <w:r w:rsidRPr="00F46DDF">
        <w:rPr>
          <w:rFonts w:asciiTheme="minorHAnsi" w:hAnsiTheme="minorHAnsi" w:cstheme="minorHAnsi"/>
          <w:lang w:val="en-GB"/>
        </w:rPr>
        <w:t xml:space="preserve"> in case of optional course units („szabvál”)</w:t>
      </w:r>
      <w:r>
        <w:rPr>
          <w:rFonts w:asciiTheme="minorHAnsi" w:hAnsiTheme="minorHAnsi" w:cstheme="minorHAnsi"/>
          <w:lang w:val="en-GB"/>
        </w:rPr>
        <w:t>:</w:t>
      </w:r>
      <w:r w:rsidRPr="00F46DDF">
        <w:rPr>
          <w:rFonts w:asciiTheme="minorHAnsi" w:hAnsiTheme="minorHAnsi" w:cstheme="minorHAnsi"/>
          <w:lang w:val="en-GB"/>
        </w:rPr>
        <w:t xml:space="preserve"> „Seminar”.</w:t>
      </w:r>
    </w:p>
  </w:footnote>
  <w:footnote w:id="17">
    <w:p w14:paraId="1447DC0A" w14:textId="77777777" w:rsidR="002829E9" w:rsidRPr="00F46DDF" w:rsidRDefault="002829E9" w:rsidP="002829E9">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b/>
          <w:lang w:val="en-GB"/>
        </w:rPr>
        <w:t>Credit:</w:t>
      </w:r>
      <w:r w:rsidRPr="00F46DDF">
        <w:rPr>
          <w:rFonts w:asciiTheme="minorHAnsi" w:hAnsiTheme="minorHAnsi" w:cstheme="minorHAnsi"/>
          <w:lang w:val="en-GB"/>
        </w:rPr>
        <w:t>2 credits both in case of elective course-units („kötvál”) and optional course units („szabvál”).</w:t>
      </w:r>
    </w:p>
  </w:footnote>
  <w:footnote w:id="18">
    <w:p w14:paraId="23D137B0" w14:textId="77777777" w:rsidR="002829E9" w:rsidRPr="00F46DDF" w:rsidRDefault="002829E9" w:rsidP="002829E9">
      <w:pPr>
        <w:jc w:val="both"/>
        <w:rPr>
          <w:rFonts w:asciiTheme="minorHAnsi" w:hAnsiTheme="minorHAnsi" w:cstheme="minorHAnsi"/>
          <w:sz w:val="20"/>
          <w:szCs w:val="20"/>
          <w:lang w:val="en-GB"/>
        </w:rPr>
      </w:pPr>
      <w:r w:rsidRPr="00F46DDF">
        <w:rPr>
          <w:rStyle w:val="Lbjegyzet-hivatkozs"/>
          <w:rFonts w:asciiTheme="minorHAnsi" w:hAnsiTheme="minorHAnsi" w:cstheme="minorHAnsi"/>
          <w:sz w:val="20"/>
          <w:szCs w:val="20"/>
          <w:lang w:val="en-GB"/>
        </w:rPr>
        <w:footnoteRef/>
      </w:r>
      <w:r w:rsidRPr="00F46DDF">
        <w:rPr>
          <w:rFonts w:asciiTheme="minorHAnsi" w:hAnsiTheme="minorHAnsi" w:cstheme="minorHAnsi"/>
          <w:b/>
          <w:sz w:val="20"/>
          <w:szCs w:val="20"/>
          <w:lang w:val="en-GB"/>
        </w:rPr>
        <w:t>Aim of the course:</w:t>
      </w:r>
      <w:r w:rsidRPr="00F46DDF">
        <w:rPr>
          <w:rFonts w:asciiTheme="minorHAnsi" w:hAnsiTheme="minorHAnsi" w:cstheme="minorHAnsi"/>
          <w:sz w:val="20"/>
          <w:szCs w:val="20"/>
          <w:lang w:val="en-GB"/>
        </w:rPr>
        <w:t>this is to be outlined in ac</w:t>
      </w:r>
      <w:r>
        <w:rPr>
          <w:rFonts w:asciiTheme="minorHAnsi" w:hAnsiTheme="minorHAnsi" w:cstheme="minorHAnsi"/>
          <w:sz w:val="20"/>
          <w:szCs w:val="20"/>
          <w:lang w:val="en-GB"/>
        </w:rPr>
        <w:t>cordance with the qualification</w:t>
      </w:r>
      <w:r w:rsidRPr="00F46DDF">
        <w:rPr>
          <w:rFonts w:asciiTheme="minorHAnsi" w:hAnsiTheme="minorHAnsi" w:cstheme="minorHAnsi"/>
          <w:sz w:val="20"/>
          <w:szCs w:val="20"/>
          <w:lang w:val="en-GB"/>
        </w:rPr>
        <w:t xml:space="preserve"> requirements. For the Law Master qualification requirements please study </w:t>
      </w:r>
      <w:r w:rsidRPr="00F46DDF">
        <w:rPr>
          <w:rFonts w:asciiTheme="minorHAnsi" w:hAnsiTheme="minorHAnsi" w:cstheme="minorHAnsi"/>
          <w:i/>
          <w:sz w:val="20"/>
          <w:szCs w:val="20"/>
          <w:lang w:val="en-GB"/>
        </w:rPr>
        <w:t xml:space="preserve">Decree No. 18/2016. (VIII. 5.) EMMI, </w:t>
      </w:r>
      <w:r w:rsidRPr="00F46DDF">
        <w:rPr>
          <w:rFonts w:asciiTheme="minorHAnsi" w:hAnsiTheme="minorHAnsi" w:cstheme="minorHAnsi"/>
          <w:sz w:val="20"/>
          <w:szCs w:val="20"/>
          <w:lang w:val="en-GB"/>
        </w:rPr>
        <w:t>Annex 4, Chapter V./2., 7.1.1. and 8.1.1.</w:t>
      </w:r>
    </w:p>
  </w:footnote>
  <w:footnote w:id="19">
    <w:p w14:paraId="2C521C6D" w14:textId="77777777" w:rsidR="002829E9" w:rsidRPr="00F46DDF" w:rsidRDefault="002829E9" w:rsidP="002829E9">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b/>
          <w:lang w:val="en-GB"/>
        </w:rPr>
        <w:t>Outline of the course:</w:t>
      </w:r>
      <w:r w:rsidRPr="00F46DDF">
        <w:rPr>
          <w:rFonts w:asciiTheme="minorHAnsi" w:hAnsiTheme="minorHAnsi" w:cstheme="minorHAnsi"/>
          <w:lang w:val="en-GB"/>
        </w:rPr>
        <w:t>please specify at least 10-12 thematic items.</w:t>
      </w:r>
      <w:r>
        <w:rPr>
          <w:rFonts w:asciiTheme="minorHAnsi" w:hAnsiTheme="minorHAnsi" w:cstheme="minorHAnsi"/>
          <w:lang w:val="en-GB"/>
        </w:rPr>
        <w:t xml:space="preserve"> Please don’t assign concrete dates to thedifferent items, but mark them with numbers!</w:t>
      </w:r>
    </w:p>
  </w:footnote>
  <w:footnote w:id="20">
    <w:p w14:paraId="651951FE" w14:textId="77777777" w:rsidR="002829E9" w:rsidRPr="00F46DDF" w:rsidRDefault="002829E9" w:rsidP="002829E9">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b/>
          <w:lang w:val="en-GB"/>
        </w:rPr>
        <w:t>Testing and evaluation:</w:t>
      </w:r>
      <w:r w:rsidRPr="00F46DDF">
        <w:rPr>
          <w:rFonts w:asciiTheme="minorHAnsi" w:hAnsiTheme="minorHAnsi" w:cstheme="minorHAnsi"/>
          <w:lang w:val="en-GB"/>
        </w:rPr>
        <w:t>please define how students will be examined and evaluated. Oral exam, written exam or combined exam? Are there any mid-semester requirements to be fulfilled? Is the absence from class sanctioned (and if yes, how)? Are there any partial qualifications?</w:t>
      </w:r>
    </w:p>
  </w:footnote>
  <w:footnote w:id="21">
    <w:p w14:paraId="176B79A8" w14:textId="77777777" w:rsidR="002829E9" w:rsidRDefault="002829E9" w:rsidP="002829E9">
      <w:pPr>
        <w:pStyle w:val="Lbjegyzetszveg"/>
        <w:jc w:val="both"/>
      </w:pPr>
      <w:r w:rsidRPr="00F46DDF">
        <w:rPr>
          <w:rStyle w:val="Lbjegyzet-hivatkozs"/>
          <w:rFonts w:asciiTheme="minorHAnsi" w:hAnsiTheme="minorHAnsi" w:cstheme="minorHAnsi"/>
          <w:lang w:val="en-GB"/>
        </w:rPr>
        <w:footnoteRef/>
      </w:r>
      <w:r w:rsidRPr="00F46DDF">
        <w:rPr>
          <w:rFonts w:asciiTheme="minorHAnsi" w:hAnsiTheme="minorHAnsi" w:cstheme="minorHAnsi"/>
          <w:b/>
          <w:lang w:val="en-GB"/>
        </w:rPr>
        <w:t>Course materials:</w:t>
      </w:r>
      <w:r>
        <w:rPr>
          <w:rFonts w:asciiTheme="minorHAnsi" w:hAnsiTheme="minorHAnsi" w:cstheme="minorHAnsi"/>
          <w:lang w:val="en-GB"/>
        </w:rPr>
        <w:t>compulsory</w:t>
      </w:r>
      <w:r w:rsidRPr="00F46DDF">
        <w:rPr>
          <w:rFonts w:asciiTheme="minorHAnsi" w:hAnsiTheme="minorHAnsi" w:cstheme="minorHAnsi"/>
          <w:lang w:val="en-GB"/>
        </w:rPr>
        <w:t xml:space="preserve"> (and </w:t>
      </w:r>
      <w:r>
        <w:rPr>
          <w:rFonts w:asciiTheme="minorHAnsi" w:hAnsiTheme="minorHAnsi" w:cstheme="minorHAnsi"/>
          <w:lang w:val="en-GB"/>
        </w:rPr>
        <w:t>recommended</w:t>
      </w:r>
      <w:r w:rsidRPr="00F46DDF">
        <w:rPr>
          <w:rFonts w:asciiTheme="minorHAnsi" w:hAnsiTheme="minorHAnsi" w:cstheme="minorHAnsi"/>
          <w:lang w:val="en-GB"/>
        </w:rPr>
        <w:t>) course materials.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08AB"/>
    <w:multiLevelType w:val="hybridMultilevel"/>
    <w:tmpl w:val="24649286"/>
    <w:lvl w:ilvl="0" w:tplc="4E2A3A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07F5D"/>
    <w:multiLevelType w:val="hybridMultilevel"/>
    <w:tmpl w:val="D25C99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B762264"/>
    <w:multiLevelType w:val="hybridMultilevel"/>
    <w:tmpl w:val="11B4AA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EA0938"/>
    <w:multiLevelType w:val="hybridMultilevel"/>
    <w:tmpl w:val="7CBCB3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09B6514"/>
    <w:multiLevelType w:val="hybridMultilevel"/>
    <w:tmpl w:val="1F4865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7AC624C"/>
    <w:multiLevelType w:val="hybridMultilevel"/>
    <w:tmpl w:val="0CA2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54EDA"/>
    <w:multiLevelType w:val="hybridMultilevel"/>
    <w:tmpl w:val="927AC3F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4AB7A33"/>
    <w:multiLevelType w:val="hybridMultilevel"/>
    <w:tmpl w:val="65D40D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A4B011E"/>
    <w:multiLevelType w:val="hybridMultilevel"/>
    <w:tmpl w:val="358486CE"/>
    <w:lvl w:ilvl="0" w:tplc="4E2A3A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514E9"/>
    <w:multiLevelType w:val="hybridMultilevel"/>
    <w:tmpl w:val="1F4628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9"/>
  </w:num>
  <w:num w:numId="5">
    <w:abstractNumId w:val="5"/>
  </w:num>
  <w:num w:numId="6">
    <w:abstractNumId w:val="0"/>
  </w:num>
  <w:num w:numId="7">
    <w:abstractNumId w:val="8"/>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8D"/>
    <w:rsid w:val="00077813"/>
    <w:rsid w:val="00083DB5"/>
    <w:rsid w:val="000D16CB"/>
    <w:rsid w:val="000F59DC"/>
    <w:rsid w:val="00107BB6"/>
    <w:rsid w:val="00111ECB"/>
    <w:rsid w:val="001217C5"/>
    <w:rsid w:val="001632C1"/>
    <w:rsid w:val="001667EC"/>
    <w:rsid w:val="00186AF4"/>
    <w:rsid w:val="001B4F34"/>
    <w:rsid w:val="001C4B9F"/>
    <w:rsid w:val="001D055E"/>
    <w:rsid w:val="00210E90"/>
    <w:rsid w:val="00211060"/>
    <w:rsid w:val="00224874"/>
    <w:rsid w:val="00256853"/>
    <w:rsid w:val="0027125E"/>
    <w:rsid w:val="00282848"/>
    <w:rsid w:val="002829E9"/>
    <w:rsid w:val="00296DBF"/>
    <w:rsid w:val="002F0523"/>
    <w:rsid w:val="002F2146"/>
    <w:rsid w:val="00330CBF"/>
    <w:rsid w:val="00376526"/>
    <w:rsid w:val="00396C14"/>
    <w:rsid w:val="003C5B9B"/>
    <w:rsid w:val="003D2D02"/>
    <w:rsid w:val="003E0C76"/>
    <w:rsid w:val="003F6718"/>
    <w:rsid w:val="00423C17"/>
    <w:rsid w:val="0043589E"/>
    <w:rsid w:val="004464B3"/>
    <w:rsid w:val="00481595"/>
    <w:rsid w:val="00483582"/>
    <w:rsid w:val="004C2DCF"/>
    <w:rsid w:val="004F2AE9"/>
    <w:rsid w:val="005204F2"/>
    <w:rsid w:val="0052347F"/>
    <w:rsid w:val="00541CF6"/>
    <w:rsid w:val="0055541C"/>
    <w:rsid w:val="00582917"/>
    <w:rsid w:val="00590B54"/>
    <w:rsid w:val="005C49CD"/>
    <w:rsid w:val="00605EA8"/>
    <w:rsid w:val="00655DC1"/>
    <w:rsid w:val="00695F73"/>
    <w:rsid w:val="00696F92"/>
    <w:rsid w:val="006E6ED4"/>
    <w:rsid w:val="006E791A"/>
    <w:rsid w:val="006F753E"/>
    <w:rsid w:val="00710DCE"/>
    <w:rsid w:val="00720C83"/>
    <w:rsid w:val="00734EBE"/>
    <w:rsid w:val="0075026C"/>
    <w:rsid w:val="0075351E"/>
    <w:rsid w:val="0075750F"/>
    <w:rsid w:val="00791B0A"/>
    <w:rsid w:val="00797AA8"/>
    <w:rsid w:val="007C5A3D"/>
    <w:rsid w:val="007D168A"/>
    <w:rsid w:val="007D3A26"/>
    <w:rsid w:val="007E7391"/>
    <w:rsid w:val="007F12FA"/>
    <w:rsid w:val="0080702A"/>
    <w:rsid w:val="008221C7"/>
    <w:rsid w:val="008313C4"/>
    <w:rsid w:val="008338F1"/>
    <w:rsid w:val="00834CD4"/>
    <w:rsid w:val="00846E33"/>
    <w:rsid w:val="00853298"/>
    <w:rsid w:val="0085373D"/>
    <w:rsid w:val="008C0A0A"/>
    <w:rsid w:val="008C5271"/>
    <w:rsid w:val="008D0218"/>
    <w:rsid w:val="008D41B1"/>
    <w:rsid w:val="008E3A93"/>
    <w:rsid w:val="008F0A59"/>
    <w:rsid w:val="008F2CBC"/>
    <w:rsid w:val="008F3771"/>
    <w:rsid w:val="00906671"/>
    <w:rsid w:val="00917A12"/>
    <w:rsid w:val="00927BFB"/>
    <w:rsid w:val="009302EF"/>
    <w:rsid w:val="00934972"/>
    <w:rsid w:val="009631B7"/>
    <w:rsid w:val="00983547"/>
    <w:rsid w:val="0098794C"/>
    <w:rsid w:val="00A36085"/>
    <w:rsid w:val="00A37C81"/>
    <w:rsid w:val="00A441FA"/>
    <w:rsid w:val="00A90A8D"/>
    <w:rsid w:val="00AC61E8"/>
    <w:rsid w:val="00AE06C7"/>
    <w:rsid w:val="00AF0CE4"/>
    <w:rsid w:val="00B02CFC"/>
    <w:rsid w:val="00B301C2"/>
    <w:rsid w:val="00B3745D"/>
    <w:rsid w:val="00B55826"/>
    <w:rsid w:val="00B64FFD"/>
    <w:rsid w:val="00B669BC"/>
    <w:rsid w:val="00B82B6C"/>
    <w:rsid w:val="00BC4388"/>
    <w:rsid w:val="00BF500F"/>
    <w:rsid w:val="00BF70FF"/>
    <w:rsid w:val="00C06535"/>
    <w:rsid w:val="00C27A30"/>
    <w:rsid w:val="00C35183"/>
    <w:rsid w:val="00C73378"/>
    <w:rsid w:val="00C808A2"/>
    <w:rsid w:val="00C87EFA"/>
    <w:rsid w:val="00CB013E"/>
    <w:rsid w:val="00CE5AD9"/>
    <w:rsid w:val="00CE7809"/>
    <w:rsid w:val="00D06F7E"/>
    <w:rsid w:val="00D60747"/>
    <w:rsid w:val="00D96FFE"/>
    <w:rsid w:val="00D971B0"/>
    <w:rsid w:val="00DB1F41"/>
    <w:rsid w:val="00DB3BF0"/>
    <w:rsid w:val="00DD2FF5"/>
    <w:rsid w:val="00DE0EE3"/>
    <w:rsid w:val="00DF2660"/>
    <w:rsid w:val="00DF2BBC"/>
    <w:rsid w:val="00E45CAC"/>
    <w:rsid w:val="00E460E7"/>
    <w:rsid w:val="00E52B29"/>
    <w:rsid w:val="00E8713D"/>
    <w:rsid w:val="00EA06EB"/>
    <w:rsid w:val="00EA4D99"/>
    <w:rsid w:val="00EB1920"/>
    <w:rsid w:val="00EB205B"/>
    <w:rsid w:val="00EC0B6F"/>
    <w:rsid w:val="00EE6300"/>
    <w:rsid w:val="00EE694B"/>
    <w:rsid w:val="00F46DDF"/>
    <w:rsid w:val="00F47254"/>
    <w:rsid w:val="00F52125"/>
    <w:rsid w:val="00F62B99"/>
    <w:rsid w:val="00F75ABC"/>
    <w:rsid w:val="00FB53F7"/>
    <w:rsid w:val="00FC275A"/>
    <w:rsid w:val="00FD3C06"/>
    <w:rsid w:val="00FF028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C95BC"/>
  <w15:docId w15:val="{B2FE0A7A-F5B9-444F-85AA-CCD12B43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90A8D"/>
    <w:rPr>
      <w:rFonts w:eastAsia="Times New Roman" w:cs="Times New Roman"/>
      <w:sz w:val="24"/>
      <w:szCs w:val="24"/>
    </w:rPr>
  </w:style>
  <w:style w:type="paragraph" w:styleId="Cmsor1">
    <w:name w:val="heading 1"/>
    <w:basedOn w:val="Norml"/>
    <w:next w:val="Norml"/>
    <w:link w:val="Cmsor1Char"/>
    <w:uiPriority w:val="9"/>
    <w:qFormat/>
    <w:rsid w:val="008338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CE5AD9"/>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eknormal">
    <w:name w:val="aeknormal"/>
    <w:basedOn w:val="Bekezdsalapbettpusa"/>
    <w:rsid w:val="00A37C81"/>
  </w:style>
  <w:style w:type="paragraph" w:styleId="Lbjegyzetszveg">
    <w:name w:val="footnote text"/>
    <w:basedOn w:val="Norml"/>
    <w:link w:val="LbjegyzetszvegChar"/>
    <w:uiPriority w:val="99"/>
    <w:unhideWhenUsed/>
    <w:rsid w:val="00791B0A"/>
    <w:rPr>
      <w:sz w:val="20"/>
      <w:szCs w:val="20"/>
    </w:rPr>
  </w:style>
  <w:style w:type="character" w:customStyle="1" w:styleId="LbjegyzetszvegChar">
    <w:name w:val="Lábjegyzetszöveg Char"/>
    <w:basedOn w:val="Bekezdsalapbettpusa"/>
    <w:link w:val="Lbjegyzetszveg"/>
    <w:uiPriority w:val="99"/>
    <w:rsid w:val="00791B0A"/>
    <w:rPr>
      <w:rFonts w:eastAsia="Times New Roman" w:cs="Times New Roman"/>
    </w:rPr>
  </w:style>
  <w:style w:type="character" w:styleId="Lbjegyzet-hivatkozs">
    <w:name w:val="footnote reference"/>
    <w:basedOn w:val="Bekezdsalapbettpusa"/>
    <w:uiPriority w:val="99"/>
    <w:semiHidden/>
    <w:unhideWhenUsed/>
    <w:rsid w:val="00791B0A"/>
    <w:rPr>
      <w:vertAlign w:val="superscript"/>
    </w:rPr>
  </w:style>
  <w:style w:type="character" w:styleId="Jegyzethivatkozs">
    <w:name w:val="annotation reference"/>
    <w:basedOn w:val="Bekezdsalapbettpusa"/>
    <w:uiPriority w:val="99"/>
    <w:semiHidden/>
    <w:unhideWhenUsed/>
    <w:rsid w:val="008D41B1"/>
    <w:rPr>
      <w:sz w:val="16"/>
      <w:szCs w:val="16"/>
    </w:rPr>
  </w:style>
  <w:style w:type="paragraph" w:styleId="Jegyzetszveg">
    <w:name w:val="annotation text"/>
    <w:basedOn w:val="Norml"/>
    <w:link w:val="JegyzetszvegChar"/>
    <w:uiPriority w:val="99"/>
    <w:semiHidden/>
    <w:unhideWhenUsed/>
    <w:rsid w:val="008D41B1"/>
    <w:rPr>
      <w:sz w:val="20"/>
      <w:szCs w:val="20"/>
    </w:rPr>
  </w:style>
  <w:style w:type="character" w:customStyle="1" w:styleId="JegyzetszvegChar">
    <w:name w:val="Jegyzetszöveg Char"/>
    <w:basedOn w:val="Bekezdsalapbettpusa"/>
    <w:link w:val="Jegyzetszveg"/>
    <w:uiPriority w:val="99"/>
    <w:semiHidden/>
    <w:rsid w:val="008D41B1"/>
    <w:rPr>
      <w:rFonts w:eastAsia="Times New Roman" w:cs="Times New Roman"/>
    </w:rPr>
  </w:style>
  <w:style w:type="paragraph" w:styleId="Megjegyzstrgya">
    <w:name w:val="annotation subject"/>
    <w:basedOn w:val="Jegyzetszveg"/>
    <w:next w:val="Jegyzetszveg"/>
    <w:link w:val="MegjegyzstrgyaChar"/>
    <w:uiPriority w:val="99"/>
    <w:semiHidden/>
    <w:unhideWhenUsed/>
    <w:rsid w:val="008D41B1"/>
    <w:rPr>
      <w:b/>
      <w:bCs/>
    </w:rPr>
  </w:style>
  <w:style w:type="character" w:customStyle="1" w:styleId="MegjegyzstrgyaChar">
    <w:name w:val="Megjegyzés tárgya Char"/>
    <w:basedOn w:val="JegyzetszvegChar"/>
    <w:link w:val="Megjegyzstrgya"/>
    <w:uiPriority w:val="99"/>
    <w:semiHidden/>
    <w:rsid w:val="008D41B1"/>
    <w:rPr>
      <w:rFonts w:eastAsia="Times New Roman" w:cs="Times New Roman"/>
      <w:b/>
      <w:bCs/>
    </w:rPr>
  </w:style>
  <w:style w:type="paragraph" w:styleId="Buborkszveg">
    <w:name w:val="Balloon Text"/>
    <w:basedOn w:val="Norml"/>
    <w:link w:val="BuborkszvegChar"/>
    <w:uiPriority w:val="99"/>
    <w:semiHidden/>
    <w:unhideWhenUsed/>
    <w:rsid w:val="008D41B1"/>
    <w:rPr>
      <w:rFonts w:ascii="Tahoma" w:hAnsi="Tahoma" w:cs="Tahoma"/>
      <w:sz w:val="16"/>
      <w:szCs w:val="16"/>
    </w:rPr>
  </w:style>
  <w:style w:type="character" w:customStyle="1" w:styleId="BuborkszvegChar">
    <w:name w:val="Buborékszöveg Char"/>
    <w:basedOn w:val="Bekezdsalapbettpusa"/>
    <w:link w:val="Buborkszveg"/>
    <w:uiPriority w:val="99"/>
    <w:semiHidden/>
    <w:rsid w:val="008D41B1"/>
    <w:rPr>
      <w:rFonts w:ascii="Tahoma" w:eastAsia="Times New Roman" w:hAnsi="Tahoma" w:cs="Tahoma"/>
      <w:sz w:val="16"/>
      <w:szCs w:val="16"/>
    </w:rPr>
  </w:style>
  <w:style w:type="paragraph" w:styleId="Listaszerbekezds">
    <w:name w:val="List Paragraph"/>
    <w:basedOn w:val="Norml"/>
    <w:uiPriority w:val="34"/>
    <w:qFormat/>
    <w:rsid w:val="00210E90"/>
    <w:pPr>
      <w:spacing w:after="200" w:line="276" w:lineRule="auto"/>
      <w:ind w:left="720"/>
      <w:contextualSpacing/>
    </w:pPr>
    <w:rPr>
      <w:rFonts w:asciiTheme="minorHAnsi" w:eastAsiaTheme="minorHAnsi" w:hAnsiTheme="minorHAnsi" w:cstheme="minorBidi"/>
      <w:sz w:val="22"/>
      <w:szCs w:val="22"/>
      <w:lang w:eastAsia="en-US"/>
    </w:rPr>
  </w:style>
  <w:style w:type="character" w:styleId="Hiperhivatkozs">
    <w:name w:val="Hyperlink"/>
    <w:basedOn w:val="Bekezdsalapbettpusa"/>
    <w:uiPriority w:val="99"/>
    <w:unhideWhenUsed/>
    <w:rsid w:val="00853298"/>
    <w:rPr>
      <w:color w:val="0000FF" w:themeColor="hyperlink"/>
      <w:u w:val="single"/>
    </w:rPr>
  </w:style>
  <w:style w:type="paragraph" w:styleId="NormlWeb">
    <w:name w:val="Normal (Web)"/>
    <w:basedOn w:val="Norml"/>
    <w:uiPriority w:val="99"/>
    <w:semiHidden/>
    <w:unhideWhenUsed/>
    <w:rsid w:val="00853298"/>
    <w:pPr>
      <w:spacing w:before="100" w:beforeAutospacing="1" w:after="100" w:afterAutospacing="1"/>
    </w:pPr>
  </w:style>
  <w:style w:type="character" w:customStyle="1" w:styleId="Cmsor2Char">
    <w:name w:val="Címsor 2 Char"/>
    <w:basedOn w:val="Bekezdsalapbettpusa"/>
    <w:link w:val="Cmsor2"/>
    <w:uiPriority w:val="9"/>
    <w:rsid w:val="00CE5AD9"/>
    <w:rPr>
      <w:rFonts w:eastAsia="Times New Roman" w:cs="Times New Roman"/>
      <w:b/>
      <w:bCs/>
      <w:sz w:val="36"/>
      <w:szCs w:val="36"/>
    </w:rPr>
  </w:style>
  <w:style w:type="character" w:styleId="Kiemels2">
    <w:name w:val="Strong"/>
    <w:basedOn w:val="Bekezdsalapbettpusa"/>
    <w:uiPriority w:val="22"/>
    <w:qFormat/>
    <w:rsid w:val="00CE5AD9"/>
    <w:rPr>
      <w:b/>
      <w:bCs/>
    </w:rPr>
  </w:style>
  <w:style w:type="paragraph" w:styleId="HTML-cm">
    <w:name w:val="HTML Address"/>
    <w:basedOn w:val="Norml"/>
    <w:link w:val="HTML-cmChar"/>
    <w:uiPriority w:val="99"/>
    <w:semiHidden/>
    <w:unhideWhenUsed/>
    <w:rsid w:val="00CE5AD9"/>
    <w:rPr>
      <w:i/>
      <w:iCs/>
    </w:rPr>
  </w:style>
  <w:style w:type="character" w:customStyle="1" w:styleId="HTML-cmChar">
    <w:name w:val="HTML-cím Char"/>
    <w:basedOn w:val="Bekezdsalapbettpusa"/>
    <w:link w:val="HTML-cm"/>
    <w:uiPriority w:val="99"/>
    <w:semiHidden/>
    <w:rsid w:val="00CE5AD9"/>
    <w:rPr>
      <w:rFonts w:eastAsia="Times New Roman" w:cs="Times New Roman"/>
      <w:i/>
      <w:iCs/>
      <w:sz w:val="24"/>
      <w:szCs w:val="24"/>
    </w:rPr>
  </w:style>
  <w:style w:type="character" w:styleId="Kiemels">
    <w:name w:val="Emphasis"/>
    <w:basedOn w:val="Bekezdsalapbettpusa"/>
    <w:uiPriority w:val="20"/>
    <w:qFormat/>
    <w:rsid w:val="00CE5AD9"/>
    <w:rPr>
      <w:i/>
      <w:iCs/>
    </w:rPr>
  </w:style>
  <w:style w:type="character" w:customStyle="1" w:styleId="Cmsor1Char">
    <w:name w:val="Címsor 1 Char"/>
    <w:basedOn w:val="Bekezdsalapbettpusa"/>
    <w:link w:val="Cmsor1"/>
    <w:uiPriority w:val="9"/>
    <w:rsid w:val="008338F1"/>
    <w:rPr>
      <w:rFonts w:asciiTheme="majorHAnsi" w:eastAsiaTheme="majorEastAsia" w:hAnsiTheme="majorHAnsi" w:cstheme="majorBidi"/>
      <w:color w:val="365F91" w:themeColor="accent1" w:themeShade="BF"/>
      <w:sz w:val="32"/>
      <w:szCs w:val="32"/>
    </w:rPr>
  </w:style>
  <w:style w:type="paragraph" w:styleId="Vltozat">
    <w:name w:val="Revision"/>
    <w:hidden/>
    <w:uiPriority w:val="99"/>
    <w:semiHidden/>
    <w:rsid w:val="00FB53F7"/>
    <w:rPr>
      <w:rFonts w:eastAsia="Times New Roman" w:cs="Times New Roman"/>
      <w:sz w:val="24"/>
      <w:szCs w:val="24"/>
    </w:rPr>
  </w:style>
  <w:style w:type="character" w:customStyle="1" w:styleId="Feloldatlanmegemlts1">
    <w:name w:val="Feloldatlan megemlítés1"/>
    <w:basedOn w:val="Bekezdsalapbettpusa"/>
    <w:uiPriority w:val="99"/>
    <w:semiHidden/>
    <w:unhideWhenUsed/>
    <w:rsid w:val="00EC0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5610">
      <w:bodyDiv w:val="1"/>
      <w:marLeft w:val="0"/>
      <w:marRight w:val="0"/>
      <w:marTop w:val="0"/>
      <w:marBottom w:val="0"/>
      <w:divBdr>
        <w:top w:val="none" w:sz="0" w:space="0" w:color="auto"/>
        <w:left w:val="none" w:sz="0" w:space="0" w:color="auto"/>
        <w:bottom w:val="none" w:sz="0" w:space="0" w:color="auto"/>
        <w:right w:val="none" w:sz="0" w:space="0" w:color="auto"/>
      </w:divBdr>
    </w:div>
    <w:div w:id="328800493">
      <w:bodyDiv w:val="1"/>
      <w:marLeft w:val="0"/>
      <w:marRight w:val="0"/>
      <w:marTop w:val="0"/>
      <w:marBottom w:val="0"/>
      <w:divBdr>
        <w:top w:val="none" w:sz="0" w:space="0" w:color="auto"/>
        <w:left w:val="none" w:sz="0" w:space="0" w:color="auto"/>
        <w:bottom w:val="none" w:sz="0" w:space="0" w:color="auto"/>
        <w:right w:val="none" w:sz="0" w:space="0" w:color="auto"/>
      </w:divBdr>
      <w:divsChild>
        <w:div w:id="1127502234">
          <w:marLeft w:val="0"/>
          <w:marRight w:val="0"/>
          <w:marTop w:val="0"/>
          <w:marBottom w:val="0"/>
          <w:divBdr>
            <w:top w:val="none" w:sz="0" w:space="0" w:color="auto"/>
            <w:left w:val="none" w:sz="0" w:space="0" w:color="auto"/>
            <w:bottom w:val="none" w:sz="0" w:space="0" w:color="auto"/>
            <w:right w:val="none" w:sz="0" w:space="0" w:color="auto"/>
          </w:divBdr>
        </w:div>
      </w:divsChild>
    </w:div>
    <w:div w:id="407769362">
      <w:bodyDiv w:val="1"/>
      <w:marLeft w:val="0"/>
      <w:marRight w:val="0"/>
      <w:marTop w:val="0"/>
      <w:marBottom w:val="0"/>
      <w:divBdr>
        <w:top w:val="none" w:sz="0" w:space="0" w:color="auto"/>
        <w:left w:val="none" w:sz="0" w:space="0" w:color="auto"/>
        <w:bottom w:val="none" w:sz="0" w:space="0" w:color="auto"/>
        <w:right w:val="none" w:sz="0" w:space="0" w:color="auto"/>
      </w:divBdr>
    </w:div>
    <w:div w:id="1487893898">
      <w:bodyDiv w:val="1"/>
      <w:marLeft w:val="0"/>
      <w:marRight w:val="0"/>
      <w:marTop w:val="0"/>
      <w:marBottom w:val="0"/>
      <w:divBdr>
        <w:top w:val="none" w:sz="0" w:space="0" w:color="auto"/>
        <w:left w:val="none" w:sz="0" w:space="0" w:color="auto"/>
        <w:bottom w:val="none" w:sz="0" w:space="0" w:color="auto"/>
        <w:right w:val="none" w:sz="0" w:space="0" w:color="auto"/>
      </w:divBdr>
    </w:div>
    <w:div w:id="2083602570">
      <w:bodyDiv w:val="1"/>
      <w:marLeft w:val="0"/>
      <w:marRight w:val="0"/>
      <w:marTop w:val="0"/>
      <w:marBottom w:val="0"/>
      <w:divBdr>
        <w:top w:val="none" w:sz="0" w:space="0" w:color="auto"/>
        <w:left w:val="none" w:sz="0" w:space="0" w:color="auto"/>
        <w:bottom w:val="none" w:sz="0" w:space="0" w:color="auto"/>
        <w:right w:val="none" w:sz="0" w:space="0" w:color="auto"/>
      </w:divBdr>
      <w:divsChild>
        <w:div w:id="1193610182">
          <w:marLeft w:val="0"/>
          <w:marRight w:val="0"/>
          <w:marTop w:val="120"/>
          <w:marBottom w:val="360"/>
          <w:divBdr>
            <w:top w:val="none" w:sz="0" w:space="0" w:color="auto"/>
            <w:left w:val="none" w:sz="0" w:space="0" w:color="auto"/>
            <w:bottom w:val="none" w:sz="0" w:space="0" w:color="auto"/>
            <w:right w:val="none" w:sz="0" w:space="0" w:color="auto"/>
          </w:divBdr>
          <w:divsChild>
            <w:div w:id="427425964">
              <w:marLeft w:val="0"/>
              <w:marRight w:val="0"/>
              <w:marTop w:val="0"/>
              <w:marBottom w:val="0"/>
              <w:divBdr>
                <w:top w:val="none" w:sz="0" w:space="0" w:color="auto"/>
                <w:left w:val="none" w:sz="0" w:space="0" w:color="auto"/>
                <w:bottom w:val="none" w:sz="0" w:space="0" w:color="auto"/>
                <w:right w:val="none" w:sz="0" w:space="0" w:color="auto"/>
              </w:divBdr>
              <w:divsChild>
                <w:div w:id="224223129">
                  <w:marLeft w:val="0"/>
                  <w:marRight w:val="0"/>
                  <w:marTop w:val="0"/>
                  <w:marBottom w:val="0"/>
                  <w:divBdr>
                    <w:top w:val="none" w:sz="0" w:space="0" w:color="auto"/>
                    <w:left w:val="none" w:sz="0" w:space="0" w:color="auto"/>
                    <w:bottom w:val="none" w:sz="0" w:space="0" w:color="auto"/>
                    <w:right w:val="none" w:sz="0" w:space="0" w:color="auto"/>
                  </w:divBdr>
                  <w:divsChild>
                    <w:div w:id="1014772154">
                      <w:marLeft w:val="0"/>
                      <w:marRight w:val="0"/>
                      <w:marTop w:val="0"/>
                      <w:marBottom w:val="495"/>
                      <w:divBdr>
                        <w:top w:val="none" w:sz="0" w:space="0" w:color="auto"/>
                        <w:left w:val="none" w:sz="0" w:space="0" w:color="auto"/>
                        <w:bottom w:val="none" w:sz="0" w:space="0" w:color="auto"/>
                        <w:right w:val="none" w:sz="0" w:space="0" w:color="auto"/>
                      </w:divBdr>
                      <w:divsChild>
                        <w:div w:id="969440239">
                          <w:marLeft w:val="0"/>
                          <w:marRight w:val="0"/>
                          <w:marTop w:val="0"/>
                          <w:marBottom w:val="0"/>
                          <w:divBdr>
                            <w:top w:val="none" w:sz="0" w:space="0" w:color="auto"/>
                            <w:left w:val="none" w:sz="0" w:space="0" w:color="auto"/>
                            <w:bottom w:val="none" w:sz="0" w:space="0" w:color="auto"/>
                            <w:right w:val="none" w:sz="0" w:space="0" w:color="auto"/>
                          </w:divBdr>
                        </w:div>
                      </w:divsChild>
                    </w:div>
                    <w:div w:id="1692879107">
                      <w:marLeft w:val="0"/>
                      <w:marRight w:val="0"/>
                      <w:marTop w:val="0"/>
                      <w:marBottom w:val="0"/>
                      <w:divBdr>
                        <w:top w:val="none" w:sz="0" w:space="0" w:color="auto"/>
                        <w:left w:val="none" w:sz="0" w:space="0" w:color="auto"/>
                        <w:bottom w:val="none" w:sz="0" w:space="0" w:color="auto"/>
                        <w:right w:val="none" w:sz="0" w:space="0" w:color="auto"/>
                      </w:divBdr>
                      <w:divsChild>
                        <w:div w:id="2047094837">
                          <w:marLeft w:val="0"/>
                          <w:marRight w:val="-240"/>
                          <w:marTop w:val="0"/>
                          <w:marBottom w:val="0"/>
                          <w:divBdr>
                            <w:top w:val="none" w:sz="0" w:space="0" w:color="auto"/>
                            <w:left w:val="none" w:sz="0" w:space="0" w:color="auto"/>
                            <w:bottom w:val="none" w:sz="0" w:space="0" w:color="auto"/>
                            <w:right w:val="none" w:sz="0" w:space="0" w:color="auto"/>
                          </w:divBdr>
                          <w:divsChild>
                            <w:div w:id="1880165403">
                              <w:marLeft w:val="0"/>
                              <w:marRight w:val="15"/>
                              <w:marTop w:val="0"/>
                              <w:marBottom w:val="0"/>
                              <w:divBdr>
                                <w:top w:val="none" w:sz="0" w:space="0" w:color="auto"/>
                                <w:left w:val="none" w:sz="0" w:space="0" w:color="auto"/>
                                <w:bottom w:val="none" w:sz="0" w:space="0" w:color="auto"/>
                                <w:right w:val="none" w:sz="0" w:space="0" w:color="auto"/>
                              </w:divBdr>
                              <w:divsChild>
                                <w:div w:id="1867134005">
                                  <w:marLeft w:val="0"/>
                                  <w:marRight w:val="0"/>
                                  <w:marTop w:val="0"/>
                                  <w:marBottom w:val="0"/>
                                  <w:divBdr>
                                    <w:top w:val="none" w:sz="0" w:space="0" w:color="auto"/>
                                    <w:left w:val="none" w:sz="0" w:space="0" w:color="auto"/>
                                    <w:bottom w:val="none" w:sz="0" w:space="0" w:color="auto"/>
                                    <w:right w:val="none" w:sz="0" w:space="0" w:color="auto"/>
                                  </w:divBdr>
                                  <w:divsChild>
                                    <w:div w:id="512502099">
                                      <w:marLeft w:val="0"/>
                                      <w:marRight w:val="0"/>
                                      <w:marTop w:val="0"/>
                                      <w:marBottom w:val="0"/>
                                      <w:divBdr>
                                        <w:top w:val="none" w:sz="0" w:space="0" w:color="auto"/>
                                        <w:left w:val="none" w:sz="0" w:space="0" w:color="auto"/>
                                        <w:bottom w:val="none" w:sz="0" w:space="0" w:color="auto"/>
                                        <w:right w:val="none" w:sz="0" w:space="0" w:color="auto"/>
                                      </w:divBdr>
                                      <w:divsChild>
                                        <w:div w:id="14344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205903">
          <w:marLeft w:val="0"/>
          <w:marRight w:val="0"/>
          <w:marTop w:val="0"/>
          <w:marBottom w:val="0"/>
          <w:divBdr>
            <w:top w:val="none" w:sz="0" w:space="0" w:color="auto"/>
            <w:left w:val="none" w:sz="0" w:space="0" w:color="auto"/>
            <w:bottom w:val="none" w:sz="0" w:space="0" w:color="auto"/>
            <w:right w:val="none" w:sz="0" w:space="0" w:color="auto"/>
          </w:divBdr>
          <w:divsChild>
            <w:div w:id="328489646">
              <w:marLeft w:val="300"/>
              <w:marRight w:val="300"/>
              <w:marTop w:val="0"/>
              <w:marBottom w:val="0"/>
              <w:divBdr>
                <w:top w:val="none" w:sz="0" w:space="0" w:color="auto"/>
                <w:left w:val="none" w:sz="0" w:space="0" w:color="auto"/>
                <w:bottom w:val="none" w:sz="0" w:space="0" w:color="auto"/>
                <w:right w:val="none" w:sz="0" w:space="0" w:color="auto"/>
              </w:divBdr>
              <w:divsChild>
                <w:div w:id="1330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DFACA-5C0D-4777-969C-2261FAA3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940</Words>
  <Characters>6286</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Laci</dc:creator>
  <cp:lastModifiedBy>Nemes Judit</cp:lastModifiedBy>
  <cp:revision>2</cp:revision>
  <dcterms:created xsi:type="dcterms:W3CDTF">2023-10-24T08:28:00Z</dcterms:created>
  <dcterms:modified xsi:type="dcterms:W3CDTF">2023-10-24T08:28:00Z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45de50595a45644507a87d20af10e515466565adc5de6c79905e6d51ef2f493c</vt:lpwstr>
  </property>
</Properties>
</file>