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C7276" w14:textId="6A361A51" w:rsidR="00902155" w:rsidRPr="0075522D" w:rsidRDefault="00902155" w:rsidP="00902155">
      <w:pPr>
        <w:jc w:val="center"/>
        <w:rPr>
          <w:rFonts w:ascii="Times New Roman" w:eastAsia="Calibri" w:hAnsi="Times New Roman" w:cs="Times New Roman"/>
          <w:b/>
          <w:bCs/>
        </w:rPr>
      </w:pPr>
      <w:r w:rsidRPr="0075522D">
        <w:rPr>
          <w:rFonts w:ascii="Times New Roman" w:eastAsia="Calibri" w:hAnsi="Times New Roman" w:cs="Times New Roman"/>
          <w:b/>
          <w:bCs/>
        </w:rPr>
        <w:t>V. rész</w:t>
      </w:r>
    </w:p>
    <w:p w14:paraId="685927DA" w14:textId="77777777" w:rsidR="00902155" w:rsidRPr="0075522D" w:rsidRDefault="00902155" w:rsidP="00902155">
      <w:pPr>
        <w:jc w:val="center"/>
        <w:rPr>
          <w:rFonts w:ascii="Times New Roman" w:eastAsia="Calibri" w:hAnsi="Times New Roman" w:cs="Times New Roman"/>
          <w:b/>
          <w:bCs/>
        </w:rPr>
      </w:pPr>
    </w:p>
    <w:p w14:paraId="1622CF4E" w14:textId="40440924" w:rsidR="00902155" w:rsidRPr="0075522D" w:rsidRDefault="00902155" w:rsidP="00902155">
      <w:pPr>
        <w:jc w:val="center"/>
        <w:rPr>
          <w:rFonts w:ascii="Times New Roman" w:eastAsia="Calibri" w:hAnsi="Times New Roman" w:cs="Times New Roman"/>
          <w:b/>
          <w:bCs/>
        </w:rPr>
      </w:pPr>
      <w:r w:rsidRPr="0075522D">
        <w:rPr>
          <w:rFonts w:ascii="Times New Roman" w:eastAsia="Calibri" w:hAnsi="Times New Roman" w:cs="Times New Roman"/>
          <w:b/>
          <w:bCs/>
        </w:rPr>
        <w:t>A szakszervezeti jogok</w:t>
      </w:r>
    </w:p>
    <w:p w14:paraId="30F04016" w14:textId="77777777" w:rsidR="00902155" w:rsidRPr="0075522D" w:rsidRDefault="00902155" w:rsidP="00902155">
      <w:pPr>
        <w:jc w:val="center"/>
        <w:rPr>
          <w:rFonts w:ascii="Times New Roman" w:eastAsia="Calibri" w:hAnsi="Times New Roman" w:cs="Times New Roman"/>
          <w:b/>
          <w:bCs/>
        </w:rPr>
      </w:pPr>
    </w:p>
    <w:p w14:paraId="2D2AE1D9" w14:textId="255FB75D" w:rsidR="004A6F02" w:rsidRPr="0075522D" w:rsidRDefault="00627904" w:rsidP="00902155">
      <w:pPr>
        <w:jc w:val="center"/>
        <w:rPr>
          <w:rFonts w:ascii="Times New Roman" w:eastAsia="Calibri" w:hAnsi="Times New Roman" w:cs="Times New Roman"/>
          <w:b/>
          <w:bCs/>
        </w:rPr>
      </w:pPr>
      <w:r w:rsidRPr="0075522D">
        <w:rPr>
          <w:rFonts w:ascii="Times New Roman" w:eastAsia="Calibri" w:hAnsi="Times New Roman" w:cs="Times New Roman"/>
          <w:b/>
          <w:bCs/>
        </w:rPr>
        <w:t>Szabó Imre Szilárd</w:t>
      </w:r>
      <w:r w:rsidR="00902155" w:rsidRPr="0075522D">
        <w:rPr>
          <w:rStyle w:val="Lbjegyzet-hivatkozs"/>
          <w:rFonts w:ascii="Times New Roman" w:eastAsia="Calibri" w:hAnsi="Times New Roman" w:cs="Times New Roman"/>
          <w:b/>
          <w:bCs/>
          <w:shd w:val="clear" w:color="auto" w:fill="FFFFFF"/>
          <w:lang w:eastAsia="hu-HU"/>
        </w:rPr>
        <w:footnoteReference w:id="1"/>
      </w:r>
      <w:r w:rsidRPr="0075522D">
        <w:rPr>
          <w:rFonts w:ascii="Times New Roman" w:eastAsia="Calibri" w:hAnsi="Times New Roman" w:cs="Times New Roman"/>
          <w:b/>
          <w:bCs/>
        </w:rPr>
        <w:t xml:space="preserve"> – Petrovics Zoltán</w:t>
      </w:r>
      <w:r w:rsidR="006B5569" w:rsidRPr="0075522D">
        <w:rPr>
          <w:rStyle w:val="Lbjegyzet-hivatkozs"/>
          <w:rFonts w:ascii="Times New Roman" w:eastAsia="Calibri" w:hAnsi="Times New Roman" w:cs="Times New Roman"/>
          <w:b/>
          <w:bCs/>
        </w:rPr>
        <w:footnoteReference w:id="2"/>
      </w:r>
    </w:p>
    <w:p w14:paraId="7D78927B" w14:textId="77777777" w:rsidR="00627904" w:rsidRPr="00902155" w:rsidRDefault="00627904" w:rsidP="00651AFA">
      <w:pPr>
        <w:jc w:val="both"/>
        <w:rPr>
          <w:rFonts w:ascii="Times New Roman" w:eastAsia="Calibri" w:hAnsi="Times New Roman" w:cs="Times New Roman"/>
        </w:rPr>
      </w:pPr>
    </w:p>
    <w:p w14:paraId="53127F32" w14:textId="740A72D2" w:rsidR="00B9587D" w:rsidRPr="00387794" w:rsidRDefault="00B9587D" w:rsidP="00651AFA">
      <w:pPr>
        <w:jc w:val="both"/>
        <w:rPr>
          <w:rFonts w:ascii="Times New Roman" w:hAnsi="Times New Roman" w:cs="Times New Roman"/>
          <w:b/>
          <w:bCs/>
          <w:color w:val="000000" w:themeColor="text1"/>
        </w:rPr>
      </w:pPr>
      <w:r w:rsidRPr="00387794">
        <w:rPr>
          <w:rFonts w:ascii="Times New Roman" w:hAnsi="Times New Roman" w:cs="Times New Roman"/>
          <w:b/>
          <w:bCs/>
          <w:color w:val="000000" w:themeColor="text1"/>
        </w:rPr>
        <w:t>1. Bevezetés</w:t>
      </w:r>
    </w:p>
    <w:p w14:paraId="554A85FD" w14:textId="77777777" w:rsidR="00B9587D" w:rsidRDefault="00B9587D" w:rsidP="00651AFA">
      <w:pPr>
        <w:jc w:val="both"/>
        <w:rPr>
          <w:rFonts w:ascii="Times New Roman" w:hAnsi="Times New Roman" w:cs="Times New Roman"/>
          <w:color w:val="000000" w:themeColor="text1"/>
        </w:rPr>
      </w:pPr>
    </w:p>
    <w:p w14:paraId="0DF3F97B" w14:textId="1420C5AF" w:rsidR="003C7F90" w:rsidRDefault="00815D97" w:rsidP="00815D97">
      <w:pPr>
        <w:jc w:val="both"/>
        <w:rPr>
          <w:rFonts w:ascii="Times New Roman" w:eastAsia="Times New Roman" w:hAnsi="Times New Roman" w:cs="Times New Roman"/>
          <w:color w:val="000000" w:themeColor="text1"/>
          <w:lang w:eastAsia="hu-HU"/>
        </w:rPr>
      </w:pPr>
      <w:r>
        <w:rPr>
          <w:rFonts w:ascii="Times New Roman" w:eastAsia="Times New Roman" w:hAnsi="Times New Roman" w:cs="Times New Roman"/>
          <w:color w:val="000000" w:themeColor="text1"/>
          <w:lang w:eastAsia="hu-HU"/>
        </w:rPr>
        <w:t>A 2012. évi I. törvény (Mt.) a korábbi szabályozáshoz képest</w:t>
      </w:r>
      <w:r w:rsidRPr="0040118B">
        <w:rPr>
          <w:rFonts w:ascii="Times New Roman" w:eastAsia="Times New Roman" w:hAnsi="Times New Roman" w:cs="Times New Roman"/>
          <w:color w:val="000000" w:themeColor="text1"/>
          <w:lang w:eastAsia="hu-HU"/>
        </w:rPr>
        <w:t xml:space="preserve"> </w:t>
      </w:r>
      <w:r>
        <w:rPr>
          <w:rFonts w:ascii="Times New Roman" w:eastAsia="Times New Roman" w:hAnsi="Times New Roman" w:cs="Times New Roman"/>
          <w:color w:val="000000" w:themeColor="text1"/>
          <w:lang w:eastAsia="hu-HU"/>
        </w:rPr>
        <w:t>több ponton módosította a munkahelyi szinten működő</w:t>
      </w:r>
      <w:r w:rsidRPr="0040118B">
        <w:rPr>
          <w:rFonts w:ascii="Times New Roman" w:eastAsia="Times New Roman" w:hAnsi="Times New Roman" w:cs="Times New Roman"/>
          <w:color w:val="000000" w:themeColor="text1"/>
          <w:lang w:eastAsia="hu-HU"/>
        </w:rPr>
        <w:t xml:space="preserve"> szakszervezetek jog</w:t>
      </w:r>
      <w:r>
        <w:rPr>
          <w:rFonts w:ascii="Times New Roman" w:eastAsia="Times New Roman" w:hAnsi="Times New Roman" w:cs="Times New Roman"/>
          <w:color w:val="000000" w:themeColor="text1"/>
          <w:lang w:eastAsia="hu-HU"/>
        </w:rPr>
        <w:t xml:space="preserve">osultságait. </w:t>
      </w:r>
      <w:r w:rsidRPr="0040118B">
        <w:rPr>
          <w:rFonts w:ascii="Times New Roman" w:eastAsia="Times New Roman" w:hAnsi="Times New Roman" w:cs="Times New Roman"/>
          <w:color w:val="000000" w:themeColor="text1"/>
          <w:lang w:eastAsia="hu-HU"/>
        </w:rPr>
        <w:t xml:space="preserve">A szakszervezeti jogok szabályozásának minősége, az egyes jogosultságok terjedelme azért bír különös jelentőséggel, mert </w:t>
      </w:r>
      <w:r>
        <w:rPr>
          <w:rFonts w:ascii="Times New Roman" w:eastAsia="Times New Roman" w:hAnsi="Times New Roman" w:cs="Times New Roman"/>
          <w:color w:val="000000" w:themeColor="text1"/>
          <w:lang w:eastAsia="hu-HU"/>
        </w:rPr>
        <w:t>az</w:t>
      </w:r>
      <w:r w:rsidRPr="0040118B">
        <w:rPr>
          <w:rFonts w:ascii="Times New Roman" w:eastAsia="Times New Roman" w:hAnsi="Times New Roman" w:cs="Times New Roman"/>
          <w:color w:val="000000" w:themeColor="text1"/>
          <w:lang w:eastAsia="hu-HU"/>
        </w:rPr>
        <w:t xml:space="preserve"> közvetlenül befolyásolhat</w:t>
      </w:r>
      <w:r>
        <w:rPr>
          <w:rFonts w:ascii="Times New Roman" w:eastAsia="Times New Roman" w:hAnsi="Times New Roman" w:cs="Times New Roman"/>
          <w:color w:val="000000" w:themeColor="text1"/>
          <w:lang w:eastAsia="hu-HU"/>
        </w:rPr>
        <w:t>ja</w:t>
      </w:r>
      <w:r w:rsidRPr="0040118B">
        <w:rPr>
          <w:rFonts w:ascii="Times New Roman" w:eastAsia="Times New Roman" w:hAnsi="Times New Roman" w:cs="Times New Roman"/>
          <w:color w:val="000000" w:themeColor="text1"/>
          <w:lang w:eastAsia="hu-HU"/>
        </w:rPr>
        <w:t xml:space="preserve"> a szakszervezetek tárgyalási pozícióját</w:t>
      </w:r>
      <w:r>
        <w:rPr>
          <w:rFonts w:ascii="Times New Roman" w:eastAsia="Times New Roman" w:hAnsi="Times New Roman" w:cs="Times New Roman"/>
          <w:color w:val="000000" w:themeColor="text1"/>
          <w:lang w:eastAsia="hu-HU"/>
        </w:rPr>
        <w:t xml:space="preserve"> és alkuerejét </w:t>
      </w:r>
      <w:r w:rsidRPr="0040118B">
        <w:rPr>
          <w:rFonts w:ascii="Times New Roman" w:eastAsia="Times New Roman" w:hAnsi="Times New Roman" w:cs="Times New Roman"/>
          <w:color w:val="000000" w:themeColor="text1"/>
          <w:lang w:eastAsia="hu-HU"/>
        </w:rPr>
        <w:t>is.</w:t>
      </w:r>
    </w:p>
    <w:p w14:paraId="0A5E44F5" w14:textId="77777777" w:rsidR="00815D97" w:rsidRDefault="00815D97" w:rsidP="00CB2068">
      <w:pPr>
        <w:jc w:val="both"/>
        <w:rPr>
          <w:rFonts w:ascii="Times New Roman" w:eastAsia="Times New Roman" w:hAnsi="Times New Roman" w:cs="Times New Roman"/>
          <w:color w:val="000000" w:themeColor="text1"/>
          <w:lang w:eastAsia="hu-HU"/>
        </w:rPr>
      </w:pPr>
    </w:p>
    <w:p w14:paraId="7A57D785" w14:textId="1F0DAA2A" w:rsidR="00CB2068" w:rsidRDefault="000F6E3F" w:rsidP="00CB2068">
      <w:pPr>
        <w:jc w:val="both"/>
        <w:rPr>
          <w:rFonts w:ascii="Times New Roman" w:eastAsia="Times New Roman" w:hAnsi="Times New Roman" w:cs="Times New Roman"/>
          <w:color w:val="000000" w:themeColor="text1"/>
          <w:lang w:eastAsia="hu-HU"/>
        </w:rPr>
      </w:pPr>
      <w:r>
        <w:rPr>
          <w:rFonts w:ascii="Times New Roman" w:eastAsia="Times New Roman" w:hAnsi="Times New Roman" w:cs="Times New Roman"/>
          <w:color w:val="000000" w:themeColor="text1"/>
          <w:lang w:eastAsia="hu-HU"/>
        </w:rPr>
        <w:t>A 2012. évi</w:t>
      </w:r>
      <w:r w:rsidR="0090104D" w:rsidRPr="00CB2068">
        <w:rPr>
          <w:rFonts w:ascii="Times New Roman" w:eastAsia="Times New Roman" w:hAnsi="Times New Roman" w:cs="Times New Roman"/>
          <w:color w:val="000000" w:themeColor="text1"/>
          <w:lang w:eastAsia="hu-HU"/>
        </w:rPr>
        <w:t xml:space="preserve"> Mt. az alábbi </w:t>
      </w:r>
      <w:r>
        <w:rPr>
          <w:rFonts w:ascii="Times New Roman" w:eastAsia="Times New Roman" w:hAnsi="Times New Roman" w:cs="Times New Roman"/>
          <w:color w:val="000000" w:themeColor="text1"/>
          <w:lang w:eastAsia="hu-HU"/>
        </w:rPr>
        <w:t xml:space="preserve">(korábbi) </w:t>
      </w:r>
      <w:r w:rsidR="0090104D" w:rsidRPr="00CB2068">
        <w:rPr>
          <w:rFonts w:ascii="Times New Roman" w:eastAsia="Times New Roman" w:hAnsi="Times New Roman" w:cs="Times New Roman"/>
          <w:color w:val="000000" w:themeColor="text1"/>
          <w:lang w:eastAsia="hu-HU"/>
        </w:rPr>
        <w:t>szakszervezeti jogok korlátozását,</w:t>
      </w:r>
      <w:r w:rsidR="0071330A">
        <w:rPr>
          <w:rFonts w:ascii="Times New Roman" w:eastAsia="Times New Roman" w:hAnsi="Times New Roman" w:cs="Times New Roman"/>
          <w:color w:val="000000" w:themeColor="text1"/>
          <w:lang w:eastAsia="hu-HU"/>
        </w:rPr>
        <w:t xml:space="preserve"> </w:t>
      </w:r>
      <w:r w:rsidR="0090104D" w:rsidRPr="00CB2068">
        <w:rPr>
          <w:rFonts w:ascii="Times New Roman" w:eastAsia="Times New Roman" w:hAnsi="Times New Roman" w:cs="Times New Roman"/>
          <w:color w:val="000000" w:themeColor="text1"/>
          <w:lang w:eastAsia="hu-HU"/>
        </w:rPr>
        <w:t>megszűnését eredményezte:</w:t>
      </w:r>
      <w:r w:rsidR="005F18FB">
        <w:rPr>
          <w:rStyle w:val="Lbjegyzet-hivatkozs"/>
          <w:rFonts w:ascii="Times New Roman" w:eastAsia="Times New Roman" w:hAnsi="Times New Roman" w:cs="Times New Roman"/>
          <w:color w:val="000000" w:themeColor="text1"/>
          <w:lang w:eastAsia="hu-HU"/>
        </w:rPr>
        <w:footnoteReference w:id="3"/>
      </w:r>
    </w:p>
    <w:p w14:paraId="46635A89" w14:textId="0E63DA8B" w:rsidR="00CB2068" w:rsidRDefault="00CB2068" w:rsidP="00CB2068">
      <w:pPr>
        <w:jc w:val="both"/>
        <w:rPr>
          <w:rFonts w:ascii="Times New Roman" w:eastAsia="Times New Roman" w:hAnsi="Times New Roman" w:cs="Times New Roman"/>
          <w:color w:val="000000" w:themeColor="text1"/>
          <w:lang w:eastAsia="hu-HU"/>
        </w:rPr>
      </w:pPr>
      <w:r>
        <w:rPr>
          <w:rFonts w:ascii="Times New Roman" w:eastAsia="Times New Roman" w:hAnsi="Times New Roman" w:cs="Times New Roman"/>
          <w:color w:val="000000" w:themeColor="text1"/>
          <w:lang w:eastAsia="hu-HU"/>
        </w:rPr>
        <w:t xml:space="preserve">- </w:t>
      </w:r>
      <w:r w:rsidR="0090104D" w:rsidRPr="00CB2068">
        <w:rPr>
          <w:rFonts w:ascii="Times New Roman" w:eastAsia="Times New Roman" w:hAnsi="Times New Roman" w:cs="Times New Roman"/>
          <w:color w:val="000000" w:themeColor="text1"/>
          <w:lang w:eastAsia="hu-HU"/>
        </w:rPr>
        <w:t>Megszűnt az állami szervek</w:t>
      </w:r>
      <w:r w:rsidR="00AA6BE8">
        <w:rPr>
          <w:rFonts w:ascii="Times New Roman" w:eastAsia="Times New Roman" w:hAnsi="Times New Roman" w:cs="Times New Roman"/>
          <w:color w:val="000000" w:themeColor="text1"/>
          <w:lang w:eastAsia="hu-HU"/>
        </w:rPr>
        <w:t>.</w:t>
      </w:r>
      <w:r w:rsidR="0090104D" w:rsidRPr="00CB2068">
        <w:rPr>
          <w:rFonts w:ascii="Times New Roman" w:eastAsia="Times New Roman" w:hAnsi="Times New Roman" w:cs="Times New Roman"/>
          <w:color w:val="000000" w:themeColor="text1"/>
          <w:lang w:eastAsia="hu-HU"/>
        </w:rPr>
        <w:t xml:space="preserve"> </w:t>
      </w:r>
      <w:proofErr w:type="gramStart"/>
      <w:r w:rsidR="0090104D" w:rsidRPr="00CB2068">
        <w:rPr>
          <w:rFonts w:ascii="Times New Roman" w:eastAsia="Times New Roman" w:hAnsi="Times New Roman" w:cs="Times New Roman"/>
          <w:color w:val="000000" w:themeColor="text1"/>
          <w:lang w:eastAsia="hu-HU"/>
        </w:rPr>
        <w:t>a</w:t>
      </w:r>
      <w:proofErr w:type="gramEnd"/>
      <w:r w:rsidR="0090104D" w:rsidRPr="00CB2068">
        <w:rPr>
          <w:rFonts w:ascii="Times New Roman" w:eastAsia="Times New Roman" w:hAnsi="Times New Roman" w:cs="Times New Roman"/>
          <w:color w:val="000000" w:themeColor="text1"/>
          <w:lang w:eastAsia="hu-HU"/>
        </w:rPr>
        <w:t xml:space="preserve"> helyi önkormányzatok és a munkáltatók általános együttműködési kötelezettsége a szakszervezetekkel, amelynek keretében kötelesek voltak a szakszervezeti észrevételekre, javaslatokra 30 napon belül részletes indokolással válaszolni.</w:t>
      </w:r>
      <w:r w:rsidR="005F18FB">
        <w:rPr>
          <w:rStyle w:val="Lbjegyzet-hivatkozs"/>
          <w:rFonts w:ascii="Times New Roman" w:eastAsia="Times New Roman" w:hAnsi="Times New Roman" w:cs="Times New Roman"/>
          <w:color w:val="000000" w:themeColor="text1"/>
          <w:lang w:eastAsia="hu-HU"/>
        </w:rPr>
        <w:footnoteReference w:id="4"/>
      </w:r>
    </w:p>
    <w:p w14:paraId="0D01498B" w14:textId="182F8E23" w:rsidR="0090104D" w:rsidRPr="00CB2068" w:rsidRDefault="00CB2068" w:rsidP="00CB2068">
      <w:pPr>
        <w:jc w:val="both"/>
        <w:rPr>
          <w:rFonts w:ascii="Times New Roman" w:eastAsia="Times New Roman" w:hAnsi="Times New Roman" w:cs="Times New Roman"/>
          <w:color w:val="000000" w:themeColor="text1"/>
          <w:lang w:eastAsia="hu-HU"/>
        </w:rPr>
      </w:pPr>
      <w:r>
        <w:rPr>
          <w:rFonts w:ascii="Times New Roman" w:eastAsia="Times New Roman" w:hAnsi="Times New Roman" w:cs="Times New Roman"/>
          <w:color w:val="000000" w:themeColor="text1"/>
          <w:lang w:eastAsia="hu-HU"/>
        </w:rPr>
        <w:t>-</w:t>
      </w:r>
      <w:r w:rsidR="0090104D" w:rsidRPr="00CB2068">
        <w:rPr>
          <w:rFonts w:ascii="Times New Roman" w:eastAsia="Times New Roman" w:hAnsi="Times New Roman" w:cs="Times New Roman"/>
          <w:color w:val="000000" w:themeColor="text1"/>
          <w:lang w:eastAsia="hu-HU"/>
        </w:rPr>
        <w:t xml:space="preserve"> A  szakszervezeti tisztségviselők munkajogi védelme a korábbi szabálytól eltérően csak szigorúan korlátozott számú személyre terjed ki, szűkült a védelem az időtartam és a védelem </w:t>
      </w:r>
      <w:proofErr w:type="gramStart"/>
      <w:r w:rsidR="0090104D" w:rsidRPr="00CB2068">
        <w:rPr>
          <w:rFonts w:ascii="Times New Roman" w:eastAsia="Times New Roman" w:hAnsi="Times New Roman" w:cs="Times New Roman"/>
          <w:color w:val="000000" w:themeColor="text1"/>
          <w:lang w:eastAsia="hu-HU"/>
        </w:rPr>
        <w:t>körébe</w:t>
      </w:r>
      <w:proofErr w:type="gramEnd"/>
      <w:r w:rsidR="0090104D" w:rsidRPr="00CB2068">
        <w:rPr>
          <w:rFonts w:ascii="Times New Roman" w:eastAsia="Times New Roman" w:hAnsi="Times New Roman" w:cs="Times New Roman"/>
          <w:color w:val="000000" w:themeColor="text1"/>
          <w:lang w:eastAsia="hu-HU"/>
        </w:rPr>
        <w:t xml:space="preserve"> eső munkáltatói intézkedések tekintetében is.</w:t>
      </w:r>
      <w:r w:rsidR="002578B5">
        <w:rPr>
          <w:rStyle w:val="Lbjegyzet-hivatkozs"/>
          <w:rFonts w:ascii="Times New Roman" w:eastAsia="Times New Roman" w:hAnsi="Times New Roman" w:cs="Times New Roman"/>
          <w:color w:val="000000" w:themeColor="text1"/>
          <w:lang w:eastAsia="hu-HU"/>
        </w:rPr>
        <w:footnoteReference w:id="5"/>
      </w:r>
    </w:p>
    <w:p w14:paraId="00598E35" w14:textId="5CE07E4D" w:rsidR="00EB2C6E" w:rsidRDefault="00EB2C6E" w:rsidP="00CB2068">
      <w:pPr>
        <w:jc w:val="both"/>
        <w:rPr>
          <w:rFonts w:ascii="Times New Roman" w:eastAsia="Times New Roman" w:hAnsi="Times New Roman" w:cs="Times New Roman"/>
          <w:color w:val="000000" w:themeColor="text1"/>
          <w:lang w:eastAsia="hu-HU"/>
        </w:rPr>
      </w:pPr>
      <w:r>
        <w:rPr>
          <w:rFonts w:ascii="Times New Roman" w:eastAsia="Times New Roman" w:hAnsi="Times New Roman" w:cs="Times New Roman"/>
          <w:color w:val="000000" w:themeColor="text1"/>
          <w:lang w:eastAsia="hu-HU"/>
        </w:rPr>
        <w:t xml:space="preserve">- </w:t>
      </w:r>
      <w:r w:rsidR="00B50BC4" w:rsidRPr="00CB2068">
        <w:rPr>
          <w:rFonts w:ascii="Times New Roman" w:eastAsia="Times New Roman" w:hAnsi="Times New Roman" w:cs="Times New Roman"/>
          <w:color w:val="000000" w:themeColor="text1"/>
          <w:lang w:eastAsia="hu-HU"/>
        </w:rPr>
        <w:t>Csökkent a munkaidő-kedvezmény mértéke.</w:t>
      </w:r>
      <w:r w:rsidR="00F83B8E">
        <w:rPr>
          <w:rStyle w:val="Lbjegyzet-hivatkozs"/>
          <w:rFonts w:ascii="Times New Roman" w:eastAsia="Times New Roman" w:hAnsi="Times New Roman" w:cs="Times New Roman"/>
          <w:color w:val="000000" w:themeColor="text1"/>
          <w:lang w:eastAsia="hu-HU"/>
        </w:rPr>
        <w:footnoteReference w:id="6"/>
      </w:r>
    </w:p>
    <w:p w14:paraId="6D928848" w14:textId="6289F3DA" w:rsidR="00EB2C6E" w:rsidRDefault="00EB2C6E" w:rsidP="00CB2068">
      <w:pPr>
        <w:jc w:val="both"/>
        <w:rPr>
          <w:rFonts w:ascii="Times New Roman" w:eastAsia="Times New Roman" w:hAnsi="Times New Roman" w:cs="Times New Roman"/>
          <w:color w:val="000000" w:themeColor="text1"/>
          <w:lang w:eastAsia="hu-HU"/>
        </w:rPr>
      </w:pPr>
      <w:r>
        <w:rPr>
          <w:rFonts w:ascii="Times New Roman" w:eastAsia="Times New Roman" w:hAnsi="Times New Roman" w:cs="Times New Roman"/>
          <w:color w:val="000000" w:themeColor="text1"/>
          <w:lang w:eastAsia="hu-HU"/>
        </w:rPr>
        <w:t>- A</w:t>
      </w:r>
      <w:r w:rsidR="00B50BC4" w:rsidRPr="00CB2068">
        <w:rPr>
          <w:rFonts w:ascii="Times New Roman" w:eastAsia="Times New Roman" w:hAnsi="Times New Roman" w:cs="Times New Roman"/>
          <w:color w:val="000000" w:themeColor="text1"/>
          <w:lang w:eastAsia="hu-HU"/>
        </w:rPr>
        <w:t>  szakszervezet által fel nem használt munkaidő</w:t>
      </w:r>
      <w:r>
        <w:rPr>
          <w:rFonts w:ascii="Times New Roman" w:eastAsia="Times New Roman" w:hAnsi="Times New Roman" w:cs="Times New Roman"/>
          <w:color w:val="000000" w:themeColor="text1"/>
          <w:lang w:eastAsia="hu-HU"/>
        </w:rPr>
        <w:t>k</w:t>
      </w:r>
      <w:r w:rsidR="00B50BC4" w:rsidRPr="00CB2068">
        <w:rPr>
          <w:rFonts w:ascii="Times New Roman" w:eastAsia="Times New Roman" w:hAnsi="Times New Roman" w:cs="Times New Roman"/>
          <w:color w:val="000000" w:themeColor="text1"/>
          <w:lang w:eastAsia="hu-HU"/>
        </w:rPr>
        <w:t>edvezmény elveszik, mivel azt – a korábbi szabállyal szemben</w:t>
      </w:r>
      <w:r w:rsidR="00426553">
        <w:rPr>
          <w:rStyle w:val="Lbjegyzet-hivatkozs"/>
          <w:rFonts w:ascii="Times New Roman" w:eastAsia="Times New Roman" w:hAnsi="Times New Roman" w:cs="Times New Roman"/>
          <w:color w:val="000000" w:themeColor="text1"/>
          <w:lang w:eastAsia="hu-HU"/>
        </w:rPr>
        <w:footnoteReference w:id="7"/>
      </w:r>
      <w:r w:rsidR="00B50BC4" w:rsidRPr="00CB2068">
        <w:rPr>
          <w:rFonts w:ascii="Times New Roman" w:eastAsia="Times New Roman" w:hAnsi="Times New Roman" w:cs="Times New Roman"/>
          <w:color w:val="000000" w:themeColor="text1"/>
          <w:lang w:eastAsia="hu-HU"/>
        </w:rPr>
        <w:t xml:space="preserve"> – megváltani nem lehet.</w:t>
      </w:r>
      <w:r w:rsidR="005B5CB9">
        <w:rPr>
          <w:rStyle w:val="Lbjegyzet-hivatkozs"/>
          <w:rFonts w:ascii="Times New Roman" w:eastAsia="Times New Roman" w:hAnsi="Times New Roman" w:cs="Times New Roman"/>
          <w:color w:val="000000" w:themeColor="text1"/>
          <w:lang w:eastAsia="hu-HU"/>
        </w:rPr>
        <w:footnoteReference w:id="8"/>
      </w:r>
    </w:p>
    <w:p w14:paraId="1ED448B7" w14:textId="45796C9B" w:rsidR="008573BE" w:rsidRDefault="00EB2C6E" w:rsidP="00CB2068">
      <w:pPr>
        <w:jc w:val="both"/>
        <w:rPr>
          <w:rFonts w:ascii="Times New Roman" w:eastAsia="Times New Roman" w:hAnsi="Times New Roman" w:cs="Times New Roman"/>
          <w:color w:val="000000" w:themeColor="text1"/>
          <w:lang w:eastAsia="hu-HU"/>
        </w:rPr>
      </w:pPr>
      <w:r>
        <w:rPr>
          <w:rFonts w:ascii="Times New Roman" w:eastAsia="Times New Roman" w:hAnsi="Times New Roman" w:cs="Times New Roman"/>
          <w:color w:val="000000" w:themeColor="text1"/>
          <w:lang w:eastAsia="hu-HU"/>
        </w:rPr>
        <w:t xml:space="preserve">- </w:t>
      </w:r>
      <w:r w:rsidR="00B50BC4" w:rsidRPr="00CB2068">
        <w:rPr>
          <w:rFonts w:ascii="Times New Roman" w:eastAsia="Times New Roman" w:hAnsi="Times New Roman" w:cs="Times New Roman"/>
          <w:color w:val="000000" w:themeColor="text1"/>
          <w:lang w:eastAsia="hu-HU"/>
        </w:rPr>
        <w:t>Megszűnt a szakszervezeti kifogás jogintézménye.</w:t>
      </w:r>
      <w:r w:rsidR="005B5CB9">
        <w:rPr>
          <w:rStyle w:val="Lbjegyzet-hivatkozs"/>
          <w:rFonts w:ascii="Times New Roman" w:eastAsia="Times New Roman" w:hAnsi="Times New Roman" w:cs="Times New Roman"/>
          <w:color w:val="000000" w:themeColor="text1"/>
          <w:lang w:eastAsia="hu-HU"/>
        </w:rPr>
        <w:footnoteReference w:id="9"/>
      </w:r>
    </w:p>
    <w:p w14:paraId="4C985B13" w14:textId="4CE0D160" w:rsidR="008573BE" w:rsidRDefault="008573BE" w:rsidP="00CB2068">
      <w:pPr>
        <w:jc w:val="both"/>
        <w:rPr>
          <w:rFonts w:ascii="Times New Roman" w:eastAsia="Times New Roman" w:hAnsi="Times New Roman" w:cs="Times New Roman"/>
          <w:color w:val="000000" w:themeColor="text1"/>
          <w:lang w:eastAsia="hu-HU"/>
        </w:rPr>
      </w:pPr>
      <w:r>
        <w:rPr>
          <w:rFonts w:ascii="Times New Roman" w:eastAsia="Times New Roman" w:hAnsi="Times New Roman" w:cs="Times New Roman"/>
          <w:color w:val="000000" w:themeColor="text1"/>
          <w:lang w:eastAsia="hu-HU"/>
        </w:rPr>
        <w:t xml:space="preserve">- </w:t>
      </w:r>
      <w:r w:rsidR="00B50BC4" w:rsidRPr="00CB2068">
        <w:rPr>
          <w:rFonts w:ascii="Times New Roman" w:eastAsia="Times New Roman" w:hAnsi="Times New Roman" w:cs="Times New Roman"/>
          <w:color w:val="000000" w:themeColor="text1"/>
          <w:lang w:eastAsia="hu-HU"/>
        </w:rPr>
        <w:t>A munkaviszony kezdetekor adandó írásos tájékoztatóban a munkáltatónak nem kell információt adnia a munkahelyen működő szakszervezet nevéről.</w:t>
      </w:r>
      <w:r w:rsidR="005B5CB9">
        <w:rPr>
          <w:rStyle w:val="Lbjegyzet-hivatkozs"/>
          <w:rFonts w:ascii="Times New Roman" w:eastAsia="Times New Roman" w:hAnsi="Times New Roman" w:cs="Times New Roman"/>
          <w:color w:val="000000" w:themeColor="text1"/>
          <w:lang w:eastAsia="hu-HU"/>
        </w:rPr>
        <w:footnoteReference w:id="10"/>
      </w:r>
    </w:p>
    <w:p w14:paraId="09A052F6" w14:textId="13C1F3F5" w:rsidR="008573BE" w:rsidRDefault="008573BE" w:rsidP="00CB2068">
      <w:pPr>
        <w:jc w:val="both"/>
        <w:rPr>
          <w:rFonts w:ascii="Times New Roman" w:eastAsia="Times New Roman" w:hAnsi="Times New Roman" w:cs="Times New Roman"/>
          <w:color w:val="000000" w:themeColor="text1"/>
          <w:lang w:eastAsia="hu-HU"/>
        </w:rPr>
      </w:pPr>
      <w:r>
        <w:rPr>
          <w:rFonts w:ascii="Times New Roman" w:eastAsia="Times New Roman" w:hAnsi="Times New Roman" w:cs="Times New Roman"/>
          <w:color w:val="000000" w:themeColor="text1"/>
          <w:lang w:eastAsia="hu-HU"/>
        </w:rPr>
        <w:t>-</w:t>
      </w:r>
      <w:r w:rsidR="00B50BC4" w:rsidRPr="00CB2068">
        <w:rPr>
          <w:rFonts w:ascii="Times New Roman" w:eastAsia="Times New Roman" w:hAnsi="Times New Roman" w:cs="Times New Roman"/>
          <w:color w:val="000000" w:themeColor="text1"/>
          <w:lang w:eastAsia="hu-HU"/>
        </w:rPr>
        <w:t xml:space="preserve"> A szakszervezeti jogok megsértése esetén megszűnt a lehetőség arra, hogy a szakszervezet hatósági eljárásban keressen jogorvoslatot. Így 2012 előtt a munkaügyi ellenőrzés kiterjedt a szakszervezeti tisztségviselők védelmére, a munkaidő-kedvezményre és a szakszervezeti kifogásra vonatkozó szabályok megtartásának ellenőrzésére is.</w:t>
      </w:r>
      <w:r w:rsidR="005B5CB9">
        <w:rPr>
          <w:rStyle w:val="Lbjegyzet-hivatkozs"/>
          <w:rFonts w:ascii="Times New Roman" w:eastAsia="Times New Roman" w:hAnsi="Times New Roman" w:cs="Times New Roman"/>
          <w:color w:val="000000" w:themeColor="text1"/>
          <w:lang w:eastAsia="hu-HU"/>
        </w:rPr>
        <w:footnoteReference w:id="11"/>
      </w:r>
    </w:p>
    <w:p w14:paraId="4226A252" w14:textId="4441734B" w:rsidR="00546C7D" w:rsidRDefault="008573BE" w:rsidP="00CB2068">
      <w:pPr>
        <w:jc w:val="both"/>
        <w:rPr>
          <w:rFonts w:ascii="Times New Roman" w:eastAsia="Times New Roman" w:hAnsi="Times New Roman" w:cs="Times New Roman"/>
          <w:color w:val="000000" w:themeColor="text1"/>
          <w:lang w:eastAsia="hu-HU"/>
        </w:rPr>
      </w:pPr>
      <w:r>
        <w:rPr>
          <w:rFonts w:ascii="Times New Roman" w:eastAsia="Times New Roman" w:hAnsi="Times New Roman" w:cs="Times New Roman"/>
          <w:color w:val="000000" w:themeColor="text1"/>
          <w:lang w:eastAsia="hu-HU"/>
        </w:rPr>
        <w:t xml:space="preserve">- </w:t>
      </w:r>
      <w:r w:rsidR="00B50BC4" w:rsidRPr="00CB2068">
        <w:rPr>
          <w:rFonts w:ascii="Times New Roman" w:eastAsia="Times New Roman" w:hAnsi="Times New Roman" w:cs="Times New Roman"/>
          <w:color w:val="000000" w:themeColor="text1"/>
          <w:lang w:eastAsia="hu-HU"/>
        </w:rPr>
        <w:t xml:space="preserve">Szintén 2012-ig a munkaügyi kapcsolatok rendezetlenségét, és így a munkáltató állami támogatásokból való kizárását vonta magával a szakszervezet szervezését biztosító szabályok megsértése, a kifogással érintett intézkedés végrehajtása vagy a szakszervezeti tisztségviselőt </w:t>
      </w:r>
      <w:r w:rsidR="00B50BC4" w:rsidRPr="00CB2068">
        <w:rPr>
          <w:rFonts w:ascii="Times New Roman" w:eastAsia="Times New Roman" w:hAnsi="Times New Roman" w:cs="Times New Roman"/>
          <w:color w:val="000000" w:themeColor="text1"/>
          <w:lang w:eastAsia="hu-HU"/>
        </w:rPr>
        <w:lastRenderedPageBreak/>
        <w:t>megillető munkajogi védelem figyelmen kívül hagyása miatt alkalmazott bírósági</w:t>
      </w:r>
      <w:r w:rsidR="00546C7D">
        <w:rPr>
          <w:rFonts w:ascii="Times New Roman" w:eastAsia="Times New Roman" w:hAnsi="Times New Roman" w:cs="Times New Roman"/>
          <w:color w:val="000000" w:themeColor="text1"/>
          <w:lang w:eastAsia="hu-HU"/>
        </w:rPr>
        <w:t xml:space="preserve"> </w:t>
      </w:r>
      <w:r w:rsidR="00B50BC4" w:rsidRPr="00CB2068">
        <w:rPr>
          <w:rFonts w:ascii="Times New Roman" w:eastAsia="Times New Roman" w:hAnsi="Times New Roman" w:cs="Times New Roman"/>
          <w:color w:val="000000" w:themeColor="text1"/>
          <w:lang w:eastAsia="hu-HU"/>
        </w:rPr>
        <w:t>vagy hatósági szankció.</w:t>
      </w:r>
      <w:r w:rsidR="00384F97">
        <w:rPr>
          <w:rStyle w:val="Lbjegyzet-hivatkozs"/>
          <w:rFonts w:ascii="Times New Roman" w:eastAsia="Times New Roman" w:hAnsi="Times New Roman" w:cs="Times New Roman"/>
          <w:color w:val="000000" w:themeColor="text1"/>
          <w:lang w:eastAsia="hu-HU"/>
        </w:rPr>
        <w:footnoteReference w:id="12"/>
      </w:r>
    </w:p>
    <w:p w14:paraId="68073EC3" w14:textId="3492C70C" w:rsidR="0090104D" w:rsidRPr="00CB2068" w:rsidRDefault="00546C7D" w:rsidP="00CB2068">
      <w:pPr>
        <w:jc w:val="both"/>
        <w:rPr>
          <w:rFonts w:ascii="Times New Roman" w:eastAsia="Times New Roman" w:hAnsi="Times New Roman" w:cs="Times New Roman"/>
          <w:color w:val="000000" w:themeColor="text1"/>
          <w:lang w:eastAsia="hu-HU"/>
        </w:rPr>
      </w:pPr>
      <w:r>
        <w:rPr>
          <w:rFonts w:ascii="Times New Roman" w:eastAsia="Times New Roman" w:hAnsi="Times New Roman" w:cs="Times New Roman"/>
          <w:color w:val="000000" w:themeColor="text1"/>
          <w:lang w:eastAsia="hu-HU"/>
        </w:rPr>
        <w:t xml:space="preserve">- </w:t>
      </w:r>
      <w:r w:rsidR="00B50BC4" w:rsidRPr="00CB2068">
        <w:rPr>
          <w:rFonts w:ascii="Times New Roman" w:eastAsia="Times New Roman" w:hAnsi="Times New Roman" w:cs="Times New Roman"/>
          <w:color w:val="000000" w:themeColor="text1"/>
          <w:lang w:eastAsia="hu-HU"/>
        </w:rPr>
        <w:t>2012. április 15-ig a rendezett munkaügyi kapcsolatok követelményét sértő magatartások egyben szabálysértésnek is minősültek, ami miatt százezer forintig terjedő pénzbírság kiszabásának volt helye</w:t>
      </w:r>
      <w:r w:rsidR="00BD67C0">
        <w:rPr>
          <w:rFonts w:ascii="Times New Roman" w:eastAsia="Times New Roman" w:hAnsi="Times New Roman" w:cs="Times New Roman"/>
          <w:color w:val="000000" w:themeColor="text1"/>
          <w:lang w:eastAsia="hu-HU"/>
        </w:rPr>
        <w:t>.</w:t>
      </w:r>
      <w:r w:rsidR="00384F97">
        <w:rPr>
          <w:rStyle w:val="Lbjegyzet-hivatkozs"/>
          <w:rFonts w:ascii="Times New Roman" w:eastAsia="Times New Roman" w:hAnsi="Times New Roman" w:cs="Times New Roman"/>
          <w:color w:val="000000" w:themeColor="text1"/>
          <w:lang w:eastAsia="hu-HU"/>
        </w:rPr>
        <w:footnoteReference w:id="13"/>
      </w:r>
      <w:r w:rsidR="00667EA4">
        <w:rPr>
          <w:rFonts w:ascii="Times New Roman" w:eastAsia="Times New Roman" w:hAnsi="Times New Roman" w:cs="Times New Roman"/>
          <w:color w:val="000000" w:themeColor="text1"/>
          <w:lang w:eastAsia="hu-HU"/>
        </w:rPr>
        <w:t>”</w:t>
      </w:r>
      <w:r w:rsidR="00AA3B40">
        <w:rPr>
          <w:rStyle w:val="Lbjegyzet-hivatkozs"/>
          <w:rFonts w:ascii="Times New Roman" w:eastAsia="Times New Roman" w:hAnsi="Times New Roman" w:cs="Times New Roman"/>
          <w:color w:val="000000" w:themeColor="text1"/>
          <w:lang w:eastAsia="hu-HU"/>
        </w:rPr>
        <w:footnoteReference w:id="14"/>
      </w:r>
    </w:p>
    <w:p w14:paraId="2B98328D" w14:textId="77777777" w:rsidR="008573BE" w:rsidRPr="00ED10A6" w:rsidRDefault="008573BE" w:rsidP="00CB2068">
      <w:pPr>
        <w:jc w:val="both"/>
        <w:rPr>
          <w:rFonts w:ascii="Times New Roman" w:eastAsia="Times New Roman" w:hAnsi="Times New Roman" w:cs="Times New Roman"/>
          <w:color w:val="000000" w:themeColor="text1"/>
          <w:lang w:eastAsia="hu-HU"/>
        </w:rPr>
      </w:pPr>
    </w:p>
    <w:p w14:paraId="6C9A062D" w14:textId="011F7BE1" w:rsidR="0075522D" w:rsidRDefault="00627904" w:rsidP="00387794">
      <w:pPr>
        <w:widowControl w:val="0"/>
        <w:jc w:val="both"/>
        <w:rPr>
          <w:rFonts w:ascii="Times New Roman" w:eastAsia="Calibri" w:hAnsi="Times New Roman" w:cs="Times New Roman"/>
        </w:rPr>
      </w:pPr>
      <w:r w:rsidRPr="00902155">
        <w:rPr>
          <w:rFonts w:ascii="Times New Roman" w:eastAsia="Calibri" w:hAnsi="Times New Roman" w:cs="Times New Roman"/>
        </w:rPr>
        <w:t>A</w:t>
      </w:r>
      <w:r w:rsidR="007F27FF">
        <w:rPr>
          <w:rFonts w:ascii="Times New Roman" w:eastAsia="Calibri" w:hAnsi="Times New Roman" w:cs="Times New Roman"/>
        </w:rPr>
        <w:t>z</w:t>
      </w:r>
      <w:r w:rsidRPr="00902155">
        <w:rPr>
          <w:rFonts w:ascii="Times New Roman" w:eastAsia="Calibri" w:hAnsi="Times New Roman" w:cs="Times New Roman"/>
        </w:rPr>
        <w:t xml:space="preserve"> Mt. kollektív munkajogi változásait élesen kritizálta az összes szakszervezeti konföderáció.</w:t>
      </w:r>
      <w:r w:rsidRPr="00902155">
        <w:rPr>
          <w:rFonts w:ascii="Times New Roman" w:eastAsia="Calibri" w:hAnsi="Times New Roman" w:cs="Times New Roman"/>
          <w:vertAlign w:val="superscript"/>
        </w:rPr>
        <w:footnoteReference w:id="15"/>
      </w:r>
      <w:r w:rsidRPr="00902155">
        <w:rPr>
          <w:rFonts w:ascii="Times New Roman" w:eastAsia="Calibri" w:hAnsi="Times New Roman" w:cs="Times New Roman"/>
        </w:rPr>
        <w:t xml:space="preserve"> A szakszervezetek elsősorban korábbi jogaik elvételéről,</w:t>
      </w:r>
      <w:r w:rsidRPr="00902155">
        <w:rPr>
          <w:rFonts w:ascii="Times New Roman" w:eastAsia="Calibri" w:hAnsi="Times New Roman" w:cs="Times New Roman"/>
          <w:vertAlign w:val="superscript"/>
        </w:rPr>
        <w:footnoteReference w:id="16"/>
      </w:r>
      <w:r w:rsidRPr="00902155">
        <w:rPr>
          <w:rFonts w:ascii="Times New Roman" w:eastAsia="Calibri" w:hAnsi="Times New Roman" w:cs="Times New Roman"/>
        </w:rPr>
        <w:t xml:space="preserve"> visszavágásáról,</w:t>
      </w:r>
      <w:r w:rsidRPr="00902155">
        <w:rPr>
          <w:rFonts w:ascii="Times New Roman" w:eastAsia="Calibri" w:hAnsi="Times New Roman" w:cs="Times New Roman"/>
          <w:vertAlign w:val="superscript"/>
        </w:rPr>
        <w:footnoteReference w:id="17"/>
      </w:r>
      <w:r w:rsidRPr="00902155">
        <w:rPr>
          <w:rFonts w:ascii="Times New Roman" w:eastAsia="Calibri" w:hAnsi="Times New Roman" w:cs="Times New Roman"/>
        </w:rPr>
        <w:t xml:space="preserve"> végső soron szerepük marginalizálódásáról</w:t>
      </w:r>
      <w:r w:rsidRPr="00902155">
        <w:rPr>
          <w:rFonts w:ascii="Times New Roman" w:eastAsia="Calibri" w:hAnsi="Times New Roman" w:cs="Times New Roman"/>
          <w:vertAlign w:val="superscript"/>
        </w:rPr>
        <w:footnoteReference w:id="18"/>
      </w:r>
      <w:r w:rsidRPr="00902155">
        <w:rPr>
          <w:rFonts w:ascii="Times New Roman" w:eastAsia="Calibri" w:hAnsi="Times New Roman" w:cs="Times New Roman"/>
        </w:rPr>
        <w:t xml:space="preserve"> beszéltek.</w:t>
      </w:r>
      <w:r w:rsidR="00B950F1" w:rsidRPr="00902155">
        <w:rPr>
          <w:rFonts w:ascii="Times New Roman" w:eastAsia="Calibri" w:hAnsi="Times New Roman" w:cs="Times New Roman"/>
        </w:rPr>
        <w:t xml:space="preserve"> Előzetesen megjegyezzük, hogy a</w:t>
      </w:r>
      <w:r w:rsidR="004A6F02" w:rsidRPr="00902155">
        <w:rPr>
          <w:rFonts w:ascii="Times New Roman" w:eastAsia="Calibri" w:hAnsi="Times New Roman" w:cs="Times New Roman"/>
        </w:rPr>
        <w:t xml:space="preserve"> szakszervezeti jogok különböző aspektusai szoros kapcsolatban (átfedésben) vannak egymással, így egyes jogok érvényesülése értelemszerűen hatással van több másik </w:t>
      </w:r>
      <w:proofErr w:type="gramStart"/>
      <w:r w:rsidR="004A6F02" w:rsidRPr="00902155">
        <w:rPr>
          <w:rFonts w:ascii="Times New Roman" w:eastAsia="Calibri" w:hAnsi="Times New Roman" w:cs="Times New Roman"/>
        </w:rPr>
        <w:t>jog gyakorlati</w:t>
      </w:r>
      <w:proofErr w:type="gramEnd"/>
      <w:r w:rsidR="004A6F02" w:rsidRPr="00902155">
        <w:rPr>
          <w:rFonts w:ascii="Times New Roman" w:eastAsia="Calibri" w:hAnsi="Times New Roman" w:cs="Times New Roman"/>
        </w:rPr>
        <w:t xml:space="preserve"> megvalósulására. </w:t>
      </w:r>
      <w:proofErr w:type="gramStart"/>
      <w:r w:rsidR="004A6F02" w:rsidRPr="00902155">
        <w:rPr>
          <w:rFonts w:ascii="Times New Roman" w:eastAsia="Calibri" w:hAnsi="Times New Roman" w:cs="Times New Roman"/>
        </w:rPr>
        <w:t>A hatályos szabályozás „ellentmondásai” számos területen jelentkeznek a kollektív munkajog területén</w:t>
      </w:r>
      <w:r w:rsidR="0075522D">
        <w:rPr>
          <w:rFonts w:ascii="Times New Roman" w:eastAsia="Calibri" w:hAnsi="Times New Roman" w:cs="Times New Roman"/>
        </w:rPr>
        <w:t xml:space="preserve">, </w:t>
      </w:r>
      <w:r w:rsidR="0075522D" w:rsidRPr="00902155">
        <w:rPr>
          <w:rFonts w:ascii="Times New Roman" w:eastAsia="Calibri" w:hAnsi="Times New Roman" w:cs="Times New Roman"/>
        </w:rPr>
        <w:t>amelyek a kollektív munkajogi alanyok között jog- és érdekviták forrásait jelenthetik</w:t>
      </w:r>
      <w:r w:rsidR="0075522D">
        <w:rPr>
          <w:rFonts w:ascii="Times New Roman" w:eastAsia="Calibri" w:hAnsi="Times New Roman" w:cs="Times New Roman"/>
        </w:rPr>
        <w:t>, így</w:t>
      </w:r>
      <w:r w:rsidR="008F1108">
        <w:rPr>
          <w:rFonts w:ascii="Times New Roman" w:eastAsia="Calibri" w:hAnsi="Times New Roman" w:cs="Times New Roman"/>
        </w:rPr>
        <w:t xml:space="preserve"> </w:t>
      </w:r>
      <w:r w:rsidR="004A6F02" w:rsidRPr="00902155">
        <w:rPr>
          <w:rFonts w:ascii="Times New Roman" w:eastAsia="Calibri" w:hAnsi="Times New Roman" w:cs="Times New Roman"/>
        </w:rPr>
        <w:t>például</w:t>
      </w:r>
      <w:r w:rsidR="0075522D">
        <w:rPr>
          <w:rFonts w:ascii="Times New Roman" w:eastAsia="Calibri" w:hAnsi="Times New Roman" w:cs="Times New Roman"/>
        </w:rPr>
        <w:t>:</w:t>
      </w:r>
      <w:r w:rsidR="004A6F02" w:rsidRPr="00902155">
        <w:rPr>
          <w:rFonts w:ascii="Times New Roman" w:eastAsia="Calibri" w:hAnsi="Times New Roman" w:cs="Times New Roman"/>
        </w:rPr>
        <w:t xml:space="preserve"> a szakszervezeti taglétszám igazolására vonatkozó eljárások; a hatályos kollektív szerződés mellett kötési képességet szerző szakszervezet helyzetének ellentmondásossága; a kollektív szerződéskötési képesség elvesztése; a munkaidő-kedvezmény megállapítása, számítási módja, indokai, alkalmazási problémái vagy éppen a köztulajdonra vonatkozó eltérő szabályozás által teremtett „korlátok”.</w:t>
      </w:r>
      <w:proofErr w:type="gramEnd"/>
      <w:r w:rsidR="004A6F02" w:rsidRPr="00902155">
        <w:rPr>
          <w:rFonts w:ascii="Times New Roman" w:eastAsia="Calibri" w:hAnsi="Times New Roman" w:cs="Times New Roman"/>
        </w:rPr>
        <w:t xml:space="preserve"> </w:t>
      </w:r>
    </w:p>
    <w:p w14:paraId="6C52BEA4" w14:textId="77777777" w:rsidR="0075522D" w:rsidRDefault="0075522D" w:rsidP="00387794">
      <w:pPr>
        <w:widowControl w:val="0"/>
        <w:jc w:val="both"/>
        <w:rPr>
          <w:rFonts w:ascii="Times New Roman" w:eastAsia="Calibri" w:hAnsi="Times New Roman" w:cs="Times New Roman"/>
        </w:rPr>
      </w:pPr>
    </w:p>
    <w:p w14:paraId="10A8248F" w14:textId="13C89DE6" w:rsidR="00B950F1" w:rsidRDefault="000F6E3F" w:rsidP="00387794">
      <w:pPr>
        <w:widowControl w:val="0"/>
        <w:jc w:val="both"/>
        <w:rPr>
          <w:rFonts w:ascii="Times New Roman" w:eastAsia="Calibri" w:hAnsi="Times New Roman" w:cs="Times New Roman"/>
          <w:shd w:val="clear" w:color="auto" w:fill="FFFFFF"/>
          <w:lang w:eastAsia="hu-HU"/>
        </w:rPr>
      </w:pPr>
      <w:r>
        <w:rPr>
          <w:rFonts w:ascii="Times New Roman" w:eastAsia="Calibri" w:hAnsi="Times New Roman" w:cs="Times New Roman"/>
        </w:rPr>
        <w:t>A</w:t>
      </w:r>
      <w:r w:rsidR="004A6F02" w:rsidRPr="00902155">
        <w:rPr>
          <w:rFonts w:ascii="Times New Roman" w:eastAsia="Calibri" w:hAnsi="Times New Roman" w:cs="Times New Roman"/>
        </w:rPr>
        <w:t xml:space="preserve">z Mt. szakszervezetekkel kapcsolatos fogalomhasználata több </w:t>
      </w:r>
      <w:r w:rsidR="004A6F02" w:rsidRPr="00902155">
        <w:rPr>
          <w:rFonts w:ascii="Times New Roman" w:eastAsia="Calibri" w:hAnsi="Times New Roman" w:cs="Times New Roman"/>
          <w:shd w:val="clear" w:color="auto" w:fill="FFFFFF"/>
          <w:lang w:eastAsia="hu-HU"/>
        </w:rPr>
        <w:t>elemében („tisztségviselő”, „felsőbb szerv”) elszigetelt, munkajogi tartalma bizonytalan és feloldatlan, ugyanakkor polgári jogi szempontból eltérő értelmezést is hordoz.</w:t>
      </w:r>
      <w:r w:rsidR="00492075" w:rsidRPr="00902155">
        <w:rPr>
          <w:rFonts w:ascii="Times New Roman" w:eastAsia="Calibri" w:hAnsi="Times New Roman" w:cs="Times New Roman"/>
          <w:shd w:val="clear" w:color="auto" w:fill="FFFFFF"/>
          <w:lang w:eastAsia="hu-HU"/>
        </w:rPr>
        <w:t xml:space="preserve"> Ezeknek átfogó felülvizsgála</w:t>
      </w:r>
      <w:r w:rsidR="005023C6">
        <w:rPr>
          <w:rFonts w:ascii="Times New Roman" w:eastAsia="Calibri" w:hAnsi="Times New Roman" w:cs="Times New Roman"/>
          <w:shd w:val="clear" w:color="auto" w:fill="FFFFFF"/>
          <w:lang w:eastAsia="hu-HU"/>
        </w:rPr>
        <w:t>ta</w:t>
      </w:r>
      <w:r w:rsidR="00492075" w:rsidRPr="00902155">
        <w:rPr>
          <w:rFonts w:ascii="Times New Roman" w:eastAsia="Calibri" w:hAnsi="Times New Roman" w:cs="Times New Roman"/>
          <w:shd w:val="clear" w:color="auto" w:fill="FFFFFF"/>
          <w:lang w:eastAsia="hu-HU"/>
        </w:rPr>
        <w:t xml:space="preserve"> </w:t>
      </w:r>
      <w:r w:rsidR="0075522D">
        <w:rPr>
          <w:rFonts w:ascii="Times New Roman" w:eastAsia="Calibri" w:hAnsi="Times New Roman" w:cs="Times New Roman"/>
          <w:shd w:val="clear" w:color="auto" w:fill="FFFFFF"/>
          <w:lang w:eastAsia="hu-HU"/>
        </w:rPr>
        <w:t xml:space="preserve">jelenleg is </w:t>
      </w:r>
      <w:r w:rsidR="00492075" w:rsidRPr="00902155">
        <w:rPr>
          <w:rFonts w:ascii="Times New Roman" w:eastAsia="Calibri" w:hAnsi="Times New Roman" w:cs="Times New Roman"/>
          <w:shd w:val="clear" w:color="auto" w:fill="FFFFFF"/>
          <w:lang w:eastAsia="hu-HU"/>
        </w:rPr>
        <w:t>lehetség</w:t>
      </w:r>
      <w:r w:rsidR="0075522D">
        <w:rPr>
          <w:rFonts w:ascii="Times New Roman" w:eastAsia="Calibri" w:hAnsi="Times New Roman" w:cs="Times New Roman"/>
          <w:shd w:val="clear" w:color="auto" w:fill="FFFFFF"/>
          <w:lang w:eastAsia="hu-HU"/>
        </w:rPr>
        <w:t>es</w:t>
      </w:r>
      <w:r w:rsidR="00690797">
        <w:rPr>
          <w:rFonts w:ascii="Times New Roman" w:eastAsia="Calibri" w:hAnsi="Times New Roman" w:cs="Times New Roman"/>
          <w:shd w:val="clear" w:color="auto" w:fill="FFFFFF"/>
          <w:lang w:eastAsia="hu-HU"/>
        </w:rPr>
        <w:t xml:space="preserve"> és indokolt</w:t>
      </w:r>
      <w:r w:rsidR="00F26E22">
        <w:rPr>
          <w:rFonts w:ascii="Times New Roman" w:eastAsia="Calibri" w:hAnsi="Times New Roman" w:cs="Times New Roman"/>
          <w:shd w:val="clear" w:color="auto" w:fill="FFFFFF"/>
          <w:lang w:eastAsia="hu-HU"/>
        </w:rPr>
        <w:t>, önmagában a joggyakorlat fejlesztése érdekében is</w:t>
      </w:r>
      <w:r w:rsidR="00492075" w:rsidRPr="00902155">
        <w:rPr>
          <w:rFonts w:ascii="Times New Roman" w:eastAsia="Calibri" w:hAnsi="Times New Roman" w:cs="Times New Roman"/>
          <w:shd w:val="clear" w:color="auto" w:fill="FFFFFF"/>
          <w:lang w:eastAsia="hu-HU"/>
        </w:rPr>
        <w:t>.</w:t>
      </w:r>
      <w:r w:rsidR="00B950F1" w:rsidRPr="00902155">
        <w:rPr>
          <w:rFonts w:ascii="Times New Roman" w:eastAsia="Calibri" w:hAnsi="Times New Roman" w:cs="Times New Roman"/>
          <w:shd w:val="clear" w:color="auto" w:fill="FFFFFF"/>
          <w:lang w:eastAsia="hu-HU"/>
        </w:rPr>
        <w:t xml:space="preserve"> </w:t>
      </w:r>
    </w:p>
    <w:p w14:paraId="1C37118C" w14:textId="77777777" w:rsidR="0075522D" w:rsidRPr="00902155" w:rsidRDefault="0075522D" w:rsidP="00387794">
      <w:pPr>
        <w:widowControl w:val="0"/>
        <w:jc w:val="both"/>
        <w:rPr>
          <w:rFonts w:ascii="Times New Roman" w:eastAsia="Calibri" w:hAnsi="Times New Roman" w:cs="Times New Roman"/>
          <w:shd w:val="clear" w:color="auto" w:fill="FFFFFF"/>
          <w:lang w:eastAsia="hu-HU"/>
        </w:rPr>
      </w:pPr>
    </w:p>
    <w:p w14:paraId="06D85F43" w14:textId="6701C10F" w:rsidR="004A6F02" w:rsidRDefault="0075522D" w:rsidP="00651AFA">
      <w:pPr>
        <w:jc w:val="both"/>
        <w:rPr>
          <w:rFonts w:ascii="Times New Roman" w:eastAsia="Calibri" w:hAnsi="Times New Roman" w:cs="Times New Roman"/>
        </w:rPr>
      </w:pPr>
      <w:r>
        <w:rPr>
          <w:rFonts w:ascii="Times New Roman" w:hAnsi="Times New Roman" w:cs="Times New Roman"/>
          <w:color w:val="000000"/>
        </w:rPr>
        <w:t>A</w:t>
      </w:r>
      <w:r w:rsidR="00902155">
        <w:rPr>
          <w:rFonts w:ascii="Times New Roman" w:hAnsi="Times New Roman" w:cs="Times New Roman"/>
          <w:color w:val="000000"/>
        </w:rPr>
        <w:t xml:space="preserve">z Mt.-ben </w:t>
      </w:r>
      <w:r w:rsidR="00B950F1" w:rsidRPr="00902155">
        <w:rPr>
          <w:rFonts w:ascii="Times New Roman" w:eastAsia="Calibri" w:hAnsi="Times New Roman" w:cs="Times New Roman"/>
          <w:shd w:val="clear" w:color="auto" w:fill="FFFFFF"/>
          <w:lang w:eastAsia="hu-HU"/>
        </w:rPr>
        <w:t>rögzített tételes jogok</w:t>
      </w:r>
      <w:r w:rsidR="00690797">
        <w:rPr>
          <w:rFonts w:ascii="Times New Roman" w:eastAsia="Calibri" w:hAnsi="Times New Roman" w:cs="Times New Roman"/>
          <w:shd w:val="clear" w:color="auto" w:fill="FFFFFF"/>
          <w:lang w:eastAsia="hu-HU"/>
        </w:rPr>
        <w:t xml:space="preserve"> </w:t>
      </w:r>
      <w:r w:rsidR="00B950F1" w:rsidRPr="00902155">
        <w:rPr>
          <w:rFonts w:ascii="Times New Roman" w:eastAsia="Calibri" w:hAnsi="Times New Roman" w:cs="Times New Roman"/>
          <w:shd w:val="clear" w:color="auto" w:fill="FFFFFF"/>
          <w:lang w:eastAsia="hu-HU"/>
        </w:rPr>
        <w:t xml:space="preserve">megfelelő </w:t>
      </w:r>
      <w:r w:rsidR="000F6E3F">
        <w:rPr>
          <w:rFonts w:ascii="Times New Roman" w:eastAsia="Calibri" w:hAnsi="Times New Roman" w:cs="Times New Roman"/>
          <w:shd w:val="clear" w:color="auto" w:fill="FFFFFF"/>
          <w:lang w:eastAsia="hu-HU"/>
        </w:rPr>
        <w:t xml:space="preserve">jogi </w:t>
      </w:r>
      <w:r w:rsidR="00B950F1" w:rsidRPr="00902155">
        <w:rPr>
          <w:rFonts w:ascii="Times New Roman" w:eastAsia="Calibri" w:hAnsi="Times New Roman" w:cs="Times New Roman"/>
          <w:shd w:val="clear" w:color="auto" w:fill="FFFFFF"/>
          <w:lang w:eastAsia="hu-HU"/>
        </w:rPr>
        <w:t xml:space="preserve">alapot </w:t>
      </w:r>
      <w:proofErr w:type="gramStart"/>
      <w:r w:rsidR="00B950F1" w:rsidRPr="00902155">
        <w:rPr>
          <w:rFonts w:ascii="Times New Roman" w:eastAsia="Calibri" w:hAnsi="Times New Roman" w:cs="Times New Roman"/>
          <w:shd w:val="clear" w:color="auto" w:fill="FFFFFF"/>
          <w:lang w:eastAsia="hu-HU"/>
        </w:rPr>
        <w:t>szolgál</w:t>
      </w:r>
      <w:r w:rsidR="00FF72F9">
        <w:rPr>
          <w:rFonts w:ascii="Times New Roman" w:eastAsia="Calibri" w:hAnsi="Times New Roman" w:cs="Times New Roman"/>
          <w:shd w:val="clear" w:color="auto" w:fill="FFFFFF"/>
          <w:lang w:eastAsia="hu-HU"/>
        </w:rPr>
        <w:t>tat</w:t>
      </w:r>
      <w:r w:rsidR="00902155" w:rsidRPr="00902155">
        <w:rPr>
          <w:rFonts w:ascii="Times New Roman" w:eastAsia="Calibri" w:hAnsi="Times New Roman" w:cs="Times New Roman"/>
          <w:shd w:val="clear" w:color="auto" w:fill="FFFFFF"/>
          <w:lang w:eastAsia="hu-HU"/>
        </w:rPr>
        <w:t>nak</w:t>
      </w:r>
      <w:proofErr w:type="gramEnd"/>
      <w:r w:rsidR="00B950F1" w:rsidRPr="00902155">
        <w:rPr>
          <w:rFonts w:ascii="Times New Roman" w:eastAsia="Calibri" w:hAnsi="Times New Roman" w:cs="Times New Roman"/>
          <w:shd w:val="clear" w:color="auto" w:fill="FFFFFF"/>
          <w:lang w:eastAsia="hu-HU"/>
        </w:rPr>
        <w:t xml:space="preserve"> a szakszervezek működésére, az érdekképviseletek </w:t>
      </w:r>
      <w:r w:rsidR="00902155">
        <w:rPr>
          <w:rFonts w:ascii="Times New Roman" w:eastAsia="Calibri" w:hAnsi="Times New Roman" w:cs="Times New Roman"/>
          <w:shd w:val="clear" w:color="auto" w:fill="FFFFFF"/>
          <w:lang w:eastAsia="hu-HU"/>
        </w:rPr>
        <w:t xml:space="preserve">átfogó </w:t>
      </w:r>
      <w:r w:rsidR="00B950F1" w:rsidRPr="00902155">
        <w:rPr>
          <w:rFonts w:ascii="Times New Roman" w:eastAsia="Calibri" w:hAnsi="Times New Roman" w:cs="Times New Roman"/>
          <w:shd w:val="clear" w:color="auto" w:fill="FFFFFF"/>
          <w:lang w:eastAsia="hu-HU"/>
        </w:rPr>
        <w:t xml:space="preserve">„válságának” </w:t>
      </w:r>
      <w:r>
        <w:rPr>
          <w:rFonts w:ascii="Times New Roman" w:eastAsia="Calibri" w:hAnsi="Times New Roman" w:cs="Times New Roman"/>
          <w:shd w:val="clear" w:color="auto" w:fill="FFFFFF"/>
          <w:lang w:eastAsia="hu-HU"/>
        </w:rPr>
        <w:t xml:space="preserve">oka </w:t>
      </w:r>
      <w:r w:rsidR="00902155">
        <w:rPr>
          <w:rFonts w:ascii="Times New Roman" w:eastAsia="Calibri" w:hAnsi="Times New Roman" w:cs="Times New Roman"/>
          <w:shd w:val="clear" w:color="auto" w:fill="FFFFFF"/>
          <w:lang w:eastAsia="hu-HU"/>
        </w:rPr>
        <w:t xml:space="preserve">elsősorban </w:t>
      </w:r>
      <w:r w:rsidR="00B950F1" w:rsidRPr="00902155">
        <w:rPr>
          <w:rFonts w:ascii="Times New Roman" w:eastAsia="Calibri" w:hAnsi="Times New Roman" w:cs="Times New Roman"/>
          <w:shd w:val="clear" w:color="auto" w:fill="FFFFFF"/>
          <w:lang w:eastAsia="hu-HU"/>
        </w:rPr>
        <w:t xml:space="preserve">nem a munkajogi </w:t>
      </w:r>
      <w:r w:rsidR="00B950F1" w:rsidRPr="00902155">
        <w:rPr>
          <w:rFonts w:ascii="Times New Roman" w:eastAsia="Calibri" w:hAnsi="Times New Roman" w:cs="Times New Roman"/>
          <w:shd w:val="clear" w:color="auto" w:fill="FFFFFF"/>
          <w:lang w:eastAsia="hu-HU"/>
        </w:rPr>
        <w:lastRenderedPageBreak/>
        <w:t>szabályozásban keresendő.</w:t>
      </w:r>
      <w:r w:rsidR="00902155">
        <w:rPr>
          <w:rStyle w:val="Lbjegyzet-hivatkozs"/>
          <w:rFonts w:ascii="Times New Roman" w:eastAsia="Calibri" w:hAnsi="Times New Roman" w:cs="Times New Roman"/>
          <w:shd w:val="clear" w:color="auto" w:fill="FFFFFF"/>
          <w:lang w:eastAsia="hu-HU"/>
        </w:rPr>
        <w:footnoteReference w:id="19"/>
      </w:r>
      <w:r w:rsidR="00B950F1" w:rsidRPr="00902155">
        <w:rPr>
          <w:rFonts w:ascii="Times New Roman" w:eastAsia="Calibri" w:hAnsi="Times New Roman" w:cs="Times New Roman"/>
          <w:shd w:val="clear" w:color="auto" w:fill="FFFFFF"/>
          <w:lang w:eastAsia="hu-HU"/>
        </w:rPr>
        <w:t xml:space="preserve"> </w:t>
      </w:r>
      <w:r w:rsidR="00E86F79" w:rsidRPr="00902155">
        <w:rPr>
          <w:rFonts w:ascii="Times New Roman" w:eastAsia="Calibri" w:hAnsi="Times New Roman" w:cs="Times New Roman"/>
        </w:rPr>
        <w:t xml:space="preserve">Fontosnak </w:t>
      </w:r>
      <w:r w:rsidR="00E86F79">
        <w:rPr>
          <w:rFonts w:ascii="Times New Roman" w:eastAsia="Calibri" w:hAnsi="Times New Roman" w:cs="Times New Roman"/>
        </w:rPr>
        <w:t>tartjuk azt is</w:t>
      </w:r>
      <w:r w:rsidR="00E86F79" w:rsidRPr="00902155">
        <w:rPr>
          <w:rFonts w:ascii="Times New Roman" w:eastAsia="Calibri" w:hAnsi="Times New Roman" w:cs="Times New Roman"/>
        </w:rPr>
        <w:t xml:space="preserve"> kiemelni, hogy a legtöbb </w:t>
      </w:r>
      <w:r w:rsidR="00E86F79">
        <w:rPr>
          <w:rFonts w:ascii="Times New Roman" w:eastAsia="Calibri" w:hAnsi="Times New Roman" w:cs="Times New Roman"/>
        </w:rPr>
        <w:t xml:space="preserve">tételes </w:t>
      </w:r>
      <w:r w:rsidR="00E86F79" w:rsidRPr="00902155">
        <w:rPr>
          <w:rFonts w:ascii="Times New Roman" w:eastAsia="Calibri" w:hAnsi="Times New Roman" w:cs="Times New Roman"/>
        </w:rPr>
        <w:t>szakszervezeti jogosítványt</w:t>
      </w:r>
      <w:r w:rsidR="00E86F79">
        <w:rPr>
          <w:rFonts w:ascii="Times New Roman" w:eastAsia="Calibri" w:hAnsi="Times New Roman" w:cs="Times New Roman"/>
        </w:rPr>
        <w:t xml:space="preserve"> álláspontunk szerint</w:t>
      </w:r>
      <w:r w:rsidR="00E86F79" w:rsidRPr="00902155">
        <w:rPr>
          <w:rFonts w:ascii="Times New Roman" w:eastAsia="Calibri" w:hAnsi="Times New Roman" w:cs="Times New Roman"/>
        </w:rPr>
        <w:t xml:space="preserve"> jogállás- és szektorsemlegesen lenne szükséges biztosítani</w:t>
      </w:r>
      <w:r w:rsidR="008F1108">
        <w:rPr>
          <w:rFonts w:ascii="Times New Roman" w:eastAsia="Calibri" w:hAnsi="Times New Roman" w:cs="Times New Roman"/>
        </w:rPr>
        <w:t xml:space="preserve"> a verseny és a közszféra területén</w:t>
      </w:r>
      <w:r w:rsidR="00E86F79" w:rsidRPr="00902155">
        <w:rPr>
          <w:rFonts w:ascii="Times New Roman" w:eastAsia="Calibri" w:hAnsi="Times New Roman" w:cs="Times New Roman"/>
        </w:rPr>
        <w:t>, a kollektív szerződéses szabályozás lehetőségeinek differenciálása mellett. Vélemény</w:t>
      </w:r>
      <w:r w:rsidR="00E86F79">
        <w:rPr>
          <w:rFonts w:ascii="Times New Roman" w:eastAsia="Calibri" w:hAnsi="Times New Roman" w:cs="Times New Roman"/>
        </w:rPr>
        <w:t>ünk</w:t>
      </w:r>
      <w:r w:rsidR="00E86F79" w:rsidRPr="00902155">
        <w:rPr>
          <w:rFonts w:ascii="Times New Roman" w:eastAsia="Calibri" w:hAnsi="Times New Roman" w:cs="Times New Roman"/>
        </w:rPr>
        <w:t xml:space="preserve"> szerint a jelenlegi szélsőséges különbségek (közszféra-versenyszféra) nehezen indokolhatóak, a közszolgálat esetében pedig a hatályos szabályozás bizonyos elemei kifejezetten ellentétesek a nemzetközi </w:t>
      </w:r>
      <w:r w:rsidR="00E86F79">
        <w:rPr>
          <w:rFonts w:ascii="Times New Roman" w:eastAsia="Calibri" w:hAnsi="Times New Roman" w:cs="Times New Roman"/>
        </w:rPr>
        <w:t>munkajogi szabályokkal is</w:t>
      </w:r>
      <w:r w:rsidR="00E86F79" w:rsidRPr="00902155">
        <w:rPr>
          <w:rFonts w:ascii="Times New Roman" w:eastAsia="Calibri" w:hAnsi="Times New Roman" w:cs="Times New Roman"/>
        </w:rPr>
        <w:t>.</w:t>
      </w:r>
    </w:p>
    <w:p w14:paraId="17CEEFDA" w14:textId="77777777" w:rsidR="00BC10A8" w:rsidRDefault="00BC10A8" w:rsidP="00387794">
      <w:pPr>
        <w:shd w:val="clear" w:color="auto" w:fill="FFFFFF"/>
        <w:jc w:val="both"/>
        <w:rPr>
          <w:rFonts w:ascii="Times New Roman" w:eastAsia="Times New Roman" w:hAnsi="Times New Roman" w:cs="Times New Roman"/>
          <w:lang w:eastAsia="hu-HU"/>
        </w:rPr>
      </w:pPr>
    </w:p>
    <w:p w14:paraId="6549DAE7" w14:textId="77777777" w:rsidR="00AF0F10" w:rsidRDefault="00AF0F10" w:rsidP="00AF0F10">
      <w:pPr>
        <w:jc w:val="both"/>
        <w:rPr>
          <w:rFonts w:ascii="Times New Roman" w:eastAsia="Times New Roman" w:hAnsi="Times New Roman" w:cs="Times New Roman"/>
          <w:color w:val="000000" w:themeColor="text1"/>
          <w:lang w:eastAsia="hu-HU"/>
        </w:rPr>
      </w:pPr>
      <w:r w:rsidRPr="00CB2068">
        <w:rPr>
          <w:rFonts w:ascii="Times New Roman" w:eastAsia="Times New Roman" w:hAnsi="Times New Roman" w:cs="Times New Roman"/>
          <w:color w:val="000000" w:themeColor="text1"/>
          <w:lang w:eastAsia="hu-HU"/>
        </w:rPr>
        <w:t>Megítélésünk szerint a szakszervezeti jogok szabályozását nem lenne célszerű visszaállítani a korábbi módon, különösen arra figyelemmel, hogy az a kollektív munkajog más szabályozási tárgyköreivel is szoros összefüggésben áll (így pl. a kollektív szerződéskötéssel vagy az érdekegyeztetésre irányadó rendelkezésekkel).</w:t>
      </w:r>
    </w:p>
    <w:p w14:paraId="00C01DF4" w14:textId="77777777" w:rsidR="00AF0F10" w:rsidRDefault="00AF0F10" w:rsidP="00387794">
      <w:pPr>
        <w:shd w:val="clear" w:color="auto" w:fill="FFFFFF"/>
        <w:jc w:val="both"/>
        <w:rPr>
          <w:rFonts w:ascii="Times New Roman" w:eastAsia="Times New Roman" w:hAnsi="Times New Roman" w:cs="Times New Roman"/>
          <w:lang w:eastAsia="hu-HU"/>
        </w:rPr>
      </w:pPr>
    </w:p>
    <w:p w14:paraId="12435587" w14:textId="12AECBC1" w:rsidR="008614CF" w:rsidRPr="00387794" w:rsidRDefault="00570C1F" w:rsidP="00387794">
      <w:pPr>
        <w:jc w:val="both"/>
        <w:rPr>
          <w:rFonts w:ascii="Times New Roman" w:eastAsia="Calibri" w:hAnsi="Times New Roman" w:cs="Times New Roman"/>
          <w:b/>
          <w:bCs/>
          <w:shd w:val="clear" w:color="auto" w:fill="FFFFFF"/>
          <w:lang w:eastAsia="hu-HU"/>
        </w:rPr>
      </w:pPr>
      <w:r>
        <w:rPr>
          <w:rFonts w:ascii="Times New Roman" w:eastAsia="Calibri" w:hAnsi="Times New Roman" w:cs="Times New Roman"/>
          <w:b/>
          <w:bCs/>
          <w:shd w:val="clear" w:color="auto" w:fill="FFFFFF"/>
          <w:lang w:eastAsia="hu-HU"/>
        </w:rPr>
        <w:t>2</w:t>
      </w:r>
      <w:r w:rsidR="008614CF" w:rsidRPr="00387794">
        <w:rPr>
          <w:rFonts w:ascii="Times New Roman" w:eastAsia="Calibri" w:hAnsi="Times New Roman" w:cs="Times New Roman"/>
          <w:b/>
          <w:bCs/>
          <w:shd w:val="clear" w:color="auto" w:fill="FFFFFF"/>
          <w:lang w:eastAsia="hu-HU"/>
        </w:rPr>
        <w:t xml:space="preserve">. Szakszervezet </w:t>
      </w:r>
      <w:r w:rsidR="008614CF" w:rsidRPr="00097C80">
        <w:rPr>
          <w:rFonts w:ascii="Times New Roman" w:eastAsia="Calibri" w:hAnsi="Times New Roman" w:cs="Times New Roman"/>
          <w:b/>
          <w:bCs/>
          <w:iCs/>
          <w:shd w:val="clear" w:color="auto" w:fill="FFFFFF"/>
          <w:lang w:eastAsia="hu-HU"/>
        </w:rPr>
        <w:t>versus</w:t>
      </w:r>
      <w:r w:rsidR="008614CF" w:rsidRPr="00387794">
        <w:rPr>
          <w:rFonts w:ascii="Times New Roman" w:eastAsia="Calibri" w:hAnsi="Times New Roman" w:cs="Times New Roman"/>
          <w:b/>
          <w:bCs/>
          <w:shd w:val="clear" w:color="auto" w:fill="FFFFFF"/>
          <w:lang w:eastAsia="hu-HU"/>
        </w:rPr>
        <w:t xml:space="preserve"> üzemi tanács</w:t>
      </w:r>
      <w:bookmarkStart w:id="0" w:name="_GoBack"/>
      <w:bookmarkEnd w:id="0"/>
    </w:p>
    <w:p w14:paraId="3E314CEA" w14:textId="77777777" w:rsidR="0022062A" w:rsidRPr="00387794" w:rsidRDefault="0022062A" w:rsidP="00387794">
      <w:pPr>
        <w:jc w:val="both"/>
        <w:rPr>
          <w:rFonts w:ascii="Times New Roman" w:eastAsia="Calibri" w:hAnsi="Times New Roman" w:cs="Times New Roman"/>
          <w:shd w:val="clear" w:color="auto" w:fill="FFFFFF"/>
          <w:lang w:eastAsia="hu-HU"/>
        </w:rPr>
      </w:pPr>
    </w:p>
    <w:p w14:paraId="48FC3634" w14:textId="7C2D73A0" w:rsidR="008F11EF" w:rsidRDefault="0022062A" w:rsidP="0088484D">
      <w:pPr>
        <w:jc w:val="both"/>
        <w:rPr>
          <w:rFonts w:ascii="Times New Roman" w:eastAsia="Calibri" w:hAnsi="Times New Roman" w:cs="Times New Roman"/>
          <w:shd w:val="clear" w:color="auto" w:fill="FFFFFF"/>
          <w:lang w:eastAsia="hu-HU"/>
        </w:rPr>
      </w:pPr>
      <w:r>
        <w:rPr>
          <w:rFonts w:ascii="Times New Roman" w:eastAsia="Calibri" w:hAnsi="Times New Roman" w:cs="Times New Roman"/>
          <w:shd w:val="clear" w:color="auto" w:fill="FFFFFF"/>
          <w:lang w:eastAsia="hu-HU"/>
        </w:rPr>
        <w:t>A</w:t>
      </w:r>
      <w:r w:rsidRPr="00387794">
        <w:rPr>
          <w:rFonts w:ascii="Times New Roman" w:eastAsia="Calibri" w:hAnsi="Times New Roman" w:cs="Times New Roman"/>
          <w:shd w:val="clear" w:color="auto" w:fill="FFFFFF"/>
          <w:lang w:eastAsia="hu-HU"/>
        </w:rPr>
        <w:t xml:space="preserve"> </w:t>
      </w:r>
      <w:r w:rsidR="00856619">
        <w:rPr>
          <w:rFonts w:ascii="Times New Roman" w:eastAsia="Calibri" w:hAnsi="Times New Roman" w:cs="Times New Roman"/>
          <w:shd w:val="clear" w:color="auto" w:fill="FFFFFF"/>
          <w:lang w:eastAsia="hu-HU"/>
        </w:rPr>
        <w:t xml:space="preserve">szakszervezetek szerepét munkahelyi szinten megítélésünk szerint csökkentette </w:t>
      </w:r>
      <w:r w:rsidR="00CD14A9">
        <w:rPr>
          <w:rFonts w:ascii="Times New Roman" w:eastAsia="Calibri" w:hAnsi="Times New Roman" w:cs="Times New Roman"/>
          <w:shd w:val="clear" w:color="auto" w:fill="FFFFFF"/>
          <w:lang w:eastAsia="hu-HU"/>
        </w:rPr>
        <w:t>egyes</w:t>
      </w:r>
      <w:r w:rsidR="00070577">
        <w:rPr>
          <w:rFonts w:ascii="Times New Roman" w:eastAsia="Calibri" w:hAnsi="Times New Roman" w:cs="Times New Roman"/>
          <w:shd w:val="clear" w:color="auto" w:fill="FFFFFF"/>
          <w:lang w:eastAsia="hu-HU"/>
        </w:rPr>
        <w:t xml:space="preserve"> jogosultságok üzemi tanácshoz történt átcsoportosítása. </w:t>
      </w:r>
      <w:r w:rsidR="00A55ABD">
        <w:rPr>
          <w:rFonts w:ascii="Times New Roman" w:eastAsia="Calibri" w:hAnsi="Times New Roman" w:cs="Times New Roman"/>
          <w:shd w:val="clear" w:color="auto" w:fill="FFFFFF"/>
          <w:lang w:eastAsia="hu-HU"/>
        </w:rPr>
        <w:t xml:space="preserve">A probléma nem újkeletű, ugyanis már az 1992. évi Mt. is megosztotta az érdekképviseleti jogosítványokat a két </w:t>
      </w:r>
      <w:r w:rsidR="0091221D">
        <w:rPr>
          <w:rFonts w:ascii="Times New Roman" w:eastAsia="Calibri" w:hAnsi="Times New Roman" w:cs="Times New Roman"/>
          <w:shd w:val="clear" w:color="auto" w:fill="FFFFFF"/>
          <w:lang w:eastAsia="hu-HU"/>
        </w:rPr>
        <w:t>intézmény között</w:t>
      </w:r>
      <w:r w:rsidR="001B5194">
        <w:rPr>
          <w:rFonts w:ascii="Times New Roman" w:eastAsia="Calibri" w:hAnsi="Times New Roman" w:cs="Times New Roman"/>
          <w:shd w:val="clear" w:color="auto" w:fill="FFFFFF"/>
          <w:lang w:eastAsia="hu-HU"/>
        </w:rPr>
        <w:t>.</w:t>
      </w:r>
      <w:r w:rsidR="0091221D">
        <w:rPr>
          <w:rFonts w:ascii="Times New Roman" w:eastAsia="Calibri" w:hAnsi="Times New Roman" w:cs="Times New Roman"/>
          <w:shd w:val="clear" w:color="auto" w:fill="FFFFFF"/>
          <w:lang w:eastAsia="hu-HU"/>
        </w:rPr>
        <w:t xml:space="preserve"> </w:t>
      </w:r>
      <w:r w:rsidR="008E7A69">
        <w:rPr>
          <w:rFonts w:ascii="Times New Roman" w:eastAsia="Calibri" w:hAnsi="Times New Roman" w:cs="Times New Roman"/>
          <w:shd w:val="clear" w:color="auto" w:fill="FFFFFF"/>
          <w:lang w:eastAsia="hu-HU"/>
        </w:rPr>
        <w:t xml:space="preserve">A </w:t>
      </w:r>
      <w:r w:rsidR="006B33BB">
        <w:rPr>
          <w:rFonts w:ascii="Times New Roman" w:eastAsia="Calibri" w:hAnsi="Times New Roman" w:cs="Times New Roman"/>
          <w:shd w:val="clear" w:color="auto" w:fill="FFFFFF"/>
          <w:lang w:eastAsia="hu-HU"/>
        </w:rPr>
        <w:t xml:space="preserve">szakszervezetek továbbra is abban érdekeltek, hogy valamiféleképpen </w:t>
      </w:r>
      <w:r w:rsidR="008211E4">
        <w:rPr>
          <w:rFonts w:ascii="Times New Roman" w:eastAsia="Calibri" w:hAnsi="Times New Roman" w:cs="Times New Roman"/>
          <w:shd w:val="clear" w:color="auto" w:fill="FFFFFF"/>
          <w:lang w:eastAsia="hu-HU"/>
        </w:rPr>
        <w:t xml:space="preserve">képesek legyenek </w:t>
      </w:r>
      <w:r w:rsidR="006B33BB">
        <w:rPr>
          <w:rFonts w:ascii="Times New Roman" w:eastAsia="Calibri" w:hAnsi="Times New Roman" w:cs="Times New Roman"/>
          <w:shd w:val="clear" w:color="auto" w:fill="FFFFFF"/>
          <w:lang w:eastAsia="hu-HU"/>
        </w:rPr>
        <w:t>befolyásol</w:t>
      </w:r>
      <w:r w:rsidR="008211E4">
        <w:rPr>
          <w:rFonts w:ascii="Times New Roman" w:eastAsia="Calibri" w:hAnsi="Times New Roman" w:cs="Times New Roman"/>
          <w:shd w:val="clear" w:color="auto" w:fill="FFFFFF"/>
          <w:lang w:eastAsia="hu-HU"/>
        </w:rPr>
        <w:t>ni az üzemi tanács</w:t>
      </w:r>
      <w:r w:rsidR="007B18E0">
        <w:rPr>
          <w:rFonts w:ascii="Times New Roman" w:eastAsia="Calibri" w:hAnsi="Times New Roman" w:cs="Times New Roman"/>
          <w:shd w:val="clear" w:color="auto" w:fill="FFFFFF"/>
          <w:lang w:eastAsia="hu-HU"/>
        </w:rPr>
        <w:t xml:space="preserve"> működését</w:t>
      </w:r>
      <w:r w:rsidR="006B33BB">
        <w:rPr>
          <w:rFonts w:ascii="Times New Roman" w:eastAsia="Calibri" w:hAnsi="Times New Roman" w:cs="Times New Roman"/>
          <w:shd w:val="clear" w:color="auto" w:fill="FFFFFF"/>
          <w:lang w:eastAsia="hu-HU"/>
        </w:rPr>
        <w:t xml:space="preserve">, </w:t>
      </w:r>
      <w:r w:rsidR="008E7A69">
        <w:rPr>
          <w:rFonts w:ascii="Times New Roman" w:eastAsia="Calibri" w:hAnsi="Times New Roman" w:cs="Times New Roman"/>
          <w:shd w:val="clear" w:color="auto" w:fill="FFFFFF"/>
          <w:lang w:eastAsia="hu-HU"/>
        </w:rPr>
        <w:t xml:space="preserve">és </w:t>
      </w:r>
      <w:r w:rsidR="002F40ED">
        <w:rPr>
          <w:rFonts w:ascii="Times New Roman" w:eastAsia="Calibri" w:hAnsi="Times New Roman" w:cs="Times New Roman"/>
          <w:shd w:val="clear" w:color="auto" w:fill="FFFFFF"/>
          <w:lang w:eastAsia="hu-HU"/>
        </w:rPr>
        <w:t xml:space="preserve">tisztségviselőik </w:t>
      </w:r>
      <w:r w:rsidR="008E7A69">
        <w:rPr>
          <w:rFonts w:ascii="Times New Roman" w:eastAsia="Calibri" w:hAnsi="Times New Roman" w:cs="Times New Roman"/>
          <w:shd w:val="clear" w:color="auto" w:fill="FFFFFF"/>
          <w:lang w:eastAsia="hu-HU"/>
        </w:rPr>
        <w:t xml:space="preserve">egyben tagjai legyenek </w:t>
      </w:r>
      <w:r w:rsidR="002F40ED">
        <w:rPr>
          <w:rFonts w:ascii="Times New Roman" w:eastAsia="Calibri" w:hAnsi="Times New Roman" w:cs="Times New Roman"/>
          <w:shd w:val="clear" w:color="auto" w:fill="FFFFFF"/>
          <w:lang w:eastAsia="hu-HU"/>
        </w:rPr>
        <w:t>az üzemi tanács</w:t>
      </w:r>
      <w:r w:rsidR="008E7A69">
        <w:rPr>
          <w:rFonts w:ascii="Times New Roman" w:eastAsia="Calibri" w:hAnsi="Times New Roman" w:cs="Times New Roman"/>
          <w:shd w:val="clear" w:color="auto" w:fill="FFFFFF"/>
          <w:lang w:eastAsia="hu-HU"/>
        </w:rPr>
        <w:t>nak is</w:t>
      </w:r>
      <w:r w:rsidR="002F40ED">
        <w:rPr>
          <w:rFonts w:ascii="Times New Roman" w:eastAsia="Calibri" w:hAnsi="Times New Roman" w:cs="Times New Roman"/>
          <w:shd w:val="clear" w:color="auto" w:fill="FFFFFF"/>
          <w:lang w:eastAsia="hu-HU"/>
        </w:rPr>
        <w:t>.</w:t>
      </w:r>
      <w:r w:rsidR="006B33BB">
        <w:rPr>
          <w:rFonts w:ascii="Times New Roman" w:eastAsia="Calibri" w:hAnsi="Times New Roman" w:cs="Times New Roman"/>
          <w:shd w:val="clear" w:color="auto" w:fill="FFFFFF"/>
          <w:lang w:eastAsia="hu-HU"/>
        </w:rPr>
        <w:t xml:space="preserve"> </w:t>
      </w:r>
    </w:p>
    <w:p w14:paraId="31B23909" w14:textId="77777777" w:rsidR="00E03061" w:rsidRDefault="00E03061" w:rsidP="0088484D">
      <w:pPr>
        <w:jc w:val="both"/>
        <w:rPr>
          <w:rFonts w:ascii="Times New Roman" w:eastAsia="Calibri" w:hAnsi="Times New Roman" w:cs="Times New Roman"/>
          <w:shd w:val="clear" w:color="auto" w:fill="FFFFFF"/>
          <w:lang w:eastAsia="hu-HU"/>
        </w:rPr>
      </w:pPr>
    </w:p>
    <w:p w14:paraId="4AB8F036" w14:textId="4081E0FE" w:rsidR="00A809B9" w:rsidRDefault="00EF77EB" w:rsidP="0088484D">
      <w:pPr>
        <w:jc w:val="both"/>
        <w:rPr>
          <w:rFonts w:ascii="Times New Roman" w:eastAsia="Calibri" w:hAnsi="Times New Roman" w:cs="Times New Roman"/>
          <w:shd w:val="clear" w:color="auto" w:fill="FFFFFF"/>
          <w:lang w:eastAsia="hu-HU"/>
        </w:rPr>
      </w:pPr>
      <w:r>
        <w:rPr>
          <w:rFonts w:ascii="Times New Roman" w:eastAsia="Calibri" w:hAnsi="Times New Roman" w:cs="Times New Roman"/>
          <w:shd w:val="clear" w:color="auto" w:fill="FFFFFF"/>
          <w:lang w:eastAsia="hu-HU"/>
        </w:rPr>
        <w:t>A</w:t>
      </w:r>
      <w:r w:rsidR="00715500">
        <w:rPr>
          <w:rFonts w:ascii="Times New Roman" w:eastAsia="Calibri" w:hAnsi="Times New Roman" w:cs="Times New Roman"/>
          <w:shd w:val="clear" w:color="auto" w:fill="FFFFFF"/>
          <w:lang w:eastAsia="hu-HU"/>
        </w:rPr>
        <w:t xml:space="preserve">z </w:t>
      </w:r>
      <w:r w:rsidRPr="00387794">
        <w:rPr>
          <w:rFonts w:ascii="Times New Roman" w:eastAsia="Calibri" w:hAnsi="Times New Roman" w:cs="Times New Roman"/>
          <w:shd w:val="clear" w:color="auto" w:fill="FFFFFF"/>
          <w:lang w:eastAsia="hu-HU"/>
        </w:rPr>
        <w:t xml:space="preserve">1992. évi Mt. </w:t>
      </w:r>
      <w:r w:rsidR="007F58B9">
        <w:rPr>
          <w:rFonts w:ascii="Times New Roman" w:eastAsia="Calibri" w:hAnsi="Times New Roman" w:cs="Times New Roman"/>
          <w:shd w:val="clear" w:color="auto" w:fill="FFFFFF"/>
          <w:lang w:eastAsia="hu-HU"/>
        </w:rPr>
        <w:t>szerint a s</w:t>
      </w:r>
      <w:r w:rsidR="007F58B9" w:rsidRPr="00387794">
        <w:rPr>
          <w:rFonts w:ascii="Times New Roman" w:eastAsia="Calibri" w:hAnsi="Times New Roman" w:cs="Times New Roman"/>
          <w:shd w:val="clear" w:color="auto" w:fill="FFFFFF"/>
          <w:lang w:eastAsia="hu-HU"/>
        </w:rPr>
        <w:t>zakszervezet jogosult volt ellenőrizni a munkakörülményekre vonatkozó szabályok megtartását</w:t>
      </w:r>
      <w:r w:rsidR="00F658C6">
        <w:rPr>
          <w:rFonts w:ascii="Times New Roman" w:eastAsia="Calibri" w:hAnsi="Times New Roman" w:cs="Times New Roman"/>
          <w:shd w:val="clear" w:color="auto" w:fill="FFFFFF"/>
          <w:lang w:eastAsia="hu-HU"/>
        </w:rPr>
        <w:t>,</w:t>
      </w:r>
      <w:r w:rsidR="00E061C6">
        <w:rPr>
          <w:rFonts w:ascii="Times New Roman" w:eastAsia="Calibri" w:hAnsi="Times New Roman" w:cs="Times New Roman"/>
          <w:shd w:val="clear" w:color="auto" w:fill="FFFFFF"/>
          <w:lang w:eastAsia="hu-HU"/>
        </w:rPr>
        <w:t xml:space="preserve"> ennek ker</w:t>
      </w:r>
      <w:r w:rsidR="00E061C6" w:rsidRPr="0040118B">
        <w:rPr>
          <w:rFonts w:ascii="Times New Roman" w:eastAsia="Calibri" w:hAnsi="Times New Roman" w:cs="Times New Roman"/>
          <w:shd w:val="clear" w:color="auto" w:fill="FFFFFF"/>
          <w:lang w:eastAsia="hu-HU"/>
        </w:rPr>
        <w:t>etében a munkaviszonyra vonatkozó szabályok végrehajtásáról az érintett szervtől tájékoztatást kérhet</w:t>
      </w:r>
      <w:r w:rsidR="00E061C6">
        <w:rPr>
          <w:rFonts w:ascii="Times New Roman" w:eastAsia="Calibri" w:hAnsi="Times New Roman" w:cs="Times New Roman"/>
          <w:shd w:val="clear" w:color="auto" w:fill="FFFFFF"/>
          <w:lang w:eastAsia="hu-HU"/>
        </w:rPr>
        <w:t>ett.</w:t>
      </w:r>
      <w:r w:rsidR="00F76A9A">
        <w:rPr>
          <w:rStyle w:val="Lbjegyzet-hivatkozs"/>
          <w:rFonts w:ascii="Times New Roman" w:eastAsia="Calibri" w:hAnsi="Times New Roman" w:cs="Times New Roman"/>
          <w:shd w:val="clear" w:color="auto" w:fill="FFFFFF"/>
          <w:lang w:eastAsia="hu-HU"/>
        </w:rPr>
        <w:footnoteReference w:id="20"/>
      </w:r>
      <w:r w:rsidR="00F658C6">
        <w:rPr>
          <w:rFonts w:ascii="Times New Roman" w:eastAsia="Calibri" w:hAnsi="Times New Roman" w:cs="Times New Roman"/>
          <w:shd w:val="clear" w:color="auto" w:fill="FFFFFF"/>
          <w:lang w:eastAsia="hu-HU"/>
        </w:rPr>
        <w:t xml:space="preserve"> </w:t>
      </w:r>
      <w:r w:rsidR="00E061C6">
        <w:rPr>
          <w:rFonts w:ascii="Times New Roman" w:eastAsia="Calibri" w:hAnsi="Times New Roman" w:cs="Times New Roman"/>
          <w:shd w:val="clear" w:color="auto" w:fill="FFFFFF"/>
          <w:lang w:eastAsia="hu-HU"/>
        </w:rPr>
        <w:t>A</w:t>
      </w:r>
      <w:r w:rsidR="00F658C6">
        <w:rPr>
          <w:rFonts w:ascii="Times New Roman" w:eastAsia="Calibri" w:hAnsi="Times New Roman" w:cs="Times New Roman"/>
          <w:shd w:val="clear" w:color="auto" w:fill="FFFFFF"/>
          <w:lang w:eastAsia="hu-HU"/>
        </w:rPr>
        <w:t xml:space="preserve"> hatályos Mt.</w:t>
      </w:r>
      <w:r w:rsidR="0088484D">
        <w:rPr>
          <w:rFonts w:ascii="Times New Roman" w:eastAsia="Calibri" w:hAnsi="Times New Roman" w:cs="Times New Roman"/>
          <w:shd w:val="clear" w:color="auto" w:fill="FFFFFF"/>
          <w:lang w:eastAsia="hu-HU"/>
        </w:rPr>
        <w:t xml:space="preserve"> a</w:t>
      </w:r>
      <w:r w:rsidR="005802E6" w:rsidRPr="00387794">
        <w:rPr>
          <w:rFonts w:ascii="Times New Roman" w:eastAsia="Calibri" w:hAnsi="Times New Roman" w:cs="Times New Roman"/>
          <w:shd w:val="clear" w:color="auto" w:fill="FFFFFF"/>
          <w:lang w:eastAsia="hu-HU"/>
        </w:rPr>
        <w:t>z üzemi tanács feladata</w:t>
      </w:r>
      <w:r w:rsidR="0088484D">
        <w:rPr>
          <w:rFonts w:ascii="Times New Roman" w:eastAsia="Calibri" w:hAnsi="Times New Roman" w:cs="Times New Roman"/>
          <w:shd w:val="clear" w:color="auto" w:fill="FFFFFF"/>
          <w:lang w:eastAsia="hu-HU"/>
        </w:rPr>
        <w:t>i közé sorolja</w:t>
      </w:r>
      <w:r w:rsidR="00916033">
        <w:rPr>
          <w:rFonts w:ascii="Times New Roman" w:eastAsia="Calibri" w:hAnsi="Times New Roman" w:cs="Times New Roman"/>
          <w:shd w:val="clear" w:color="auto" w:fill="FFFFFF"/>
          <w:lang w:eastAsia="hu-HU"/>
        </w:rPr>
        <w:t xml:space="preserve"> </w:t>
      </w:r>
      <w:r w:rsidR="005802E6" w:rsidRPr="00387794">
        <w:rPr>
          <w:rFonts w:ascii="Times New Roman" w:eastAsia="Calibri" w:hAnsi="Times New Roman" w:cs="Times New Roman"/>
          <w:shd w:val="clear" w:color="auto" w:fill="FFFFFF"/>
          <w:lang w:eastAsia="hu-HU"/>
        </w:rPr>
        <w:t>a munkaviszonyra vonatkozó szabályok megtartásának figyelemmel kisérés</w:t>
      </w:r>
      <w:r w:rsidR="0088484D">
        <w:rPr>
          <w:rFonts w:ascii="Times New Roman" w:eastAsia="Calibri" w:hAnsi="Times New Roman" w:cs="Times New Roman"/>
          <w:shd w:val="clear" w:color="auto" w:fill="FFFFFF"/>
          <w:lang w:eastAsia="hu-HU"/>
        </w:rPr>
        <w:t>ét.</w:t>
      </w:r>
      <w:r w:rsidR="0088484D">
        <w:rPr>
          <w:rStyle w:val="Lbjegyzet-hivatkozs"/>
          <w:rFonts w:ascii="Times New Roman" w:eastAsia="Calibri" w:hAnsi="Times New Roman" w:cs="Times New Roman"/>
          <w:shd w:val="clear" w:color="auto" w:fill="FFFFFF"/>
          <w:lang w:eastAsia="hu-HU"/>
        </w:rPr>
        <w:footnoteReference w:id="21"/>
      </w:r>
      <w:r w:rsidR="00CA667B">
        <w:rPr>
          <w:rFonts w:ascii="Times New Roman" w:eastAsia="Calibri" w:hAnsi="Times New Roman" w:cs="Times New Roman"/>
          <w:shd w:val="clear" w:color="auto" w:fill="FFFFFF"/>
          <w:lang w:eastAsia="hu-HU"/>
        </w:rPr>
        <w:t xml:space="preserve"> Azon túlmenően, hogy az ellenőrzési jogosultság figyelemmel kíséréssé szelídült, </w:t>
      </w:r>
      <w:r w:rsidR="00E862FA">
        <w:rPr>
          <w:rFonts w:ascii="Times New Roman" w:eastAsia="Calibri" w:hAnsi="Times New Roman" w:cs="Times New Roman"/>
          <w:shd w:val="clear" w:color="auto" w:fill="FFFFFF"/>
          <w:lang w:eastAsia="hu-HU"/>
        </w:rPr>
        <w:t>az elviekben „</w:t>
      </w:r>
      <w:proofErr w:type="spellStart"/>
      <w:r w:rsidR="003D5511">
        <w:rPr>
          <w:rFonts w:ascii="Times New Roman" w:eastAsia="Calibri" w:hAnsi="Times New Roman" w:cs="Times New Roman"/>
          <w:shd w:val="clear" w:color="auto" w:fill="FFFFFF"/>
          <w:lang w:eastAsia="hu-HU"/>
        </w:rPr>
        <w:t>participációt</w:t>
      </w:r>
      <w:proofErr w:type="spellEnd"/>
      <w:r w:rsidR="00E862FA">
        <w:rPr>
          <w:rFonts w:ascii="Times New Roman" w:eastAsia="Calibri" w:hAnsi="Times New Roman" w:cs="Times New Roman"/>
          <w:shd w:val="clear" w:color="auto" w:fill="FFFFFF"/>
          <w:lang w:eastAsia="hu-HU"/>
        </w:rPr>
        <w:t>”</w:t>
      </w:r>
      <w:r w:rsidR="00975DA2">
        <w:rPr>
          <w:rFonts w:ascii="Times New Roman" w:eastAsia="Calibri" w:hAnsi="Times New Roman" w:cs="Times New Roman"/>
          <w:shd w:val="clear" w:color="auto" w:fill="FFFFFF"/>
          <w:lang w:eastAsia="hu-HU"/>
        </w:rPr>
        <w:t xml:space="preserve"> megvalósító üzemi tanács </w:t>
      </w:r>
      <w:r w:rsidR="008F11EF">
        <w:rPr>
          <w:rFonts w:ascii="Times New Roman" w:eastAsia="Calibri" w:hAnsi="Times New Roman" w:cs="Times New Roman"/>
          <w:shd w:val="clear" w:color="auto" w:fill="FFFFFF"/>
          <w:lang w:eastAsia="hu-HU"/>
        </w:rPr>
        <w:t>további különös jogosultságokat e körben nem kapott.</w:t>
      </w:r>
    </w:p>
    <w:p w14:paraId="7EFD750A" w14:textId="77777777" w:rsidR="00E03061" w:rsidRDefault="00E03061" w:rsidP="0088484D">
      <w:pPr>
        <w:jc w:val="both"/>
        <w:rPr>
          <w:rFonts w:ascii="Times New Roman" w:eastAsia="Calibri" w:hAnsi="Times New Roman" w:cs="Times New Roman"/>
          <w:shd w:val="clear" w:color="auto" w:fill="FFFFFF"/>
          <w:lang w:eastAsia="hu-HU"/>
        </w:rPr>
      </w:pPr>
    </w:p>
    <w:p w14:paraId="0D810BEA" w14:textId="24163189" w:rsidR="00231176" w:rsidRDefault="0086235D" w:rsidP="0088484D">
      <w:pPr>
        <w:jc w:val="both"/>
        <w:rPr>
          <w:rFonts w:ascii="Times New Roman" w:eastAsia="Times New Roman" w:hAnsi="Times New Roman" w:cs="Times New Roman"/>
          <w:color w:val="000000" w:themeColor="text1"/>
          <w:lang w:eastAsia="hu-HU"/>
        </w:rPr>
      </w:pPr>
      <w:r>
        <w:rPr>
          <w:rFonts w:ascii="Times New Roman" w:eastAsia="Calibri" w:hAnsi="Times New Roman" w:cs="Times New Roman"/>
          <w:shd w:val="clear" w:color="auto" w:fill="FFFFFF"/>
          <w:lang w:eastAsia="hu-HU"/>
        </w:rPr>
        <w:t>A munkáltató c</w:t>
      </w:r>
      <w:r w:rsidR="00B94718">
        <w:rPr>
          <w:rFonts w:ascii="Times New Roman" w:eastAsia="Times New Roman" w:hAnsi="Times New Roman" w:cs="Times New Roman"/>
          <w:color w:val="000000" w:themeColor="text1"/>
          <w:lang w:eastAsia="hu-HU"/>
        </w:rPr>
        <w:t>soportos létszámcsökkentés, valamint a munkáltató személyében bekövetkező változás esetén az üzemi tanáccsal köteles tárgyalást kezdeményezni,</w:t>
      </w:r>
      <w:r w:rsidR="00B94718">
        <w:rPr>
          <w:rStyle w:val="Lbjegyzet-hivatkozs"/>
          <w:rFonts w:ascii="Times New Roman" w:eastAsia="Times New Roman" w:hAnsi="Times New Roman" w:cs="Times New Roman"/>
          <w:color w:val="000000" w:themeColor="text1"/>
          <w:lang w:eastAsia="hu-HU"/>
        </w:rPr>
        <w:footnoteReference w:id="22"/>
      </w:r>
      <w:r w:rsidR="00B94718">
        <w:rPr>
          <w:rFonts w:ascii="Times New Roman" w:eastAsia="Times New Roman" w:hAnsi="Times New Roman" w:cs="Times New Roman"/>
          <w:color w:val="000000" w:themeColor="text1"/>
          <w:lang w:eastAsia="hu-HU"/>
        </w:rPr>
        <w:t xml:space="preserve"> </w:t>
      </w:r>
      <w:r w:rsidR="0042627F">
        <w:rPr>
          <w:rFonts w:ascii="Times New Roman" w:eastAsia="Times New Roman" w:hAnsi="Times New Roman" w:cs="Times New Roman"/>
          <w:color w:val="000000" w:themeColor="text1"/>
          <w:lang w:eastAsia="hu-HU"/>
        </w:rPr>
        <w:t>a</w:t>
      </w:r>
      <w:r w:rsidR="00B94718">
        <w:rPr>
          <w:rFonts w:ascii="Times New Roman" w:eastAsia="Times New Roman" w:hAnsi="Times New Roman" w:cs="Times New Roman"/>
          <w:color w:val="000000" w:themeColor="text1"/>
          <w:lang w:eastAsia="hu-HU"/>
        </w:rPr>
        <w:t xml:space="preserve"> szakszerveze</w:t>
      </w:r>
      <w:r w:rsidR="00904760">
        <w:rPr>
          <w:rFonts w:ascii="Times New Roman" w:eastAsia="Times New Roman" w:hAnsi="Times New Roman" w:cs="Times New Roman"/>
          <w:color w:val="000000" w:themeColor="text1"/>
          <w:lang w:eastAsia="hu-HU"/>
        </w:rPr>
        <w:t>t</w:t>
      </w:r>
      <w:r w:rsidR="002364EB">
        <w:rPr>
          <w:rFonts w:ascii="Times New Roman" w:eastAsia="Times New Roman" w:hAnsi="Times New Roman" w:cs="Times New Roman"/>
          <w:color w:val="000000" w:themeColor="text1"/>
          <w:lang w:eastAsia="hu-HU"/>
        </w:rPr>
        <w:t>ről az Mt. e körben nem tesz említést még abban az esetben sem, ha nem működik</w:t>
      </w:r>
      <w:r w:rsidR="00FE70D5" w:rsidRPr="00FE70D5">
        <w:rPr>
          <w:rFonts w:ascii="Times New Roman" w:eastAsia="Times New Roman" w:hAnsi="Times New Roman" w:cs="Times New Roman"/>
          <w:color w:val="000000" w:themeColor="text1"/>
          <w:lang w:eastAsia="hu-HU"/>
        </w:rPr>
        <w:t xml:space="preserve"> </w:t>
      </w:r>
      <w:r w:rsidR="00FE70D5">
        <w:rPr>
          <w:rFonts w:ascii="Times New Roman" w:eastAsia="Times New Roman" w:hAnsi="Times New Roman" w:cs="Times New Roman"/>
          <w:color w:val="000000" w:themeColor="text1"/>
          <w:lang w:eastAsia="hu-HU"/>
        </w:rPr>
        <w:t>a munkáltatónál</w:t>
      </w:r>
      <w:r w:rsidR="00FE70D5" w:rsidRPr="00FE70D5">
        <w:rPr>
          <w:rFonts w:ascii="Times New Roman" w:eastAsia="Times New Roman" w:hAnsi="Times New Roman" w:cs="Times New Roman"/>
          <w:color w:val="000000" w:themeColor="text1"/>
          <w:lang w:eastAsia="hu-HU"/>
        </w:rPr>
        <w:t xml:space="preserve"> </w:t>
      </w:r>
      <w:r w:rsidR="00FE70D5">
        <w:rPr>
          <w:rFonts w:ascii="Times New Roman" w:eastAsia="Times New Roman" w:hAnsi="Times New Roman" w:cs="Times New Roman"/>
          <w:color w:val="000000" w:themeColor="text1"/>
          <w:lang w:eastAsia="hu-HU"/>
        </w:rPr>
        <w:t>üzemi tanács</w:t>
      </w:r>
      <w:r w:rsidR="00EF77EB">
        <w:rPr>
          <w:rFonts w:ascii="Times New Roman" w:eastAsia="Times New Roman" w:hAnsi="Times New Roman" w:cs="Times New Roman"/>
          <w:color w:val="000000" w:themeColor="text1"/>
          <w:lang w:eastAsia="hu-HU"/>
        </w:rPr>
        <w:t>.</w:t>
      </w:r>
      <w:r w:rsidR="00EF77EB">
        <w:rPr>
          <w:rStyle w:val="Lbjegyzet-hivatkozs"/>
          <w:rFonts w:ascii="Times New Roman" w:eastAsia="Times New Roman" w:hAnsi="Times New Roman" w:cs="Times New Roman"/>
          <w:color w:val="000000" w:themeColor="text1"/>
          <w:lang w:eastAsia="hu-HU"/>
        </w:rPr>
        <w:footnoteReference w:id="23"/>
      </w:r>
      <w:r w:rsidR="009E6D31">
        <w:rPr>
          <w:rFonts w:ascii="Times New Roman" w:eastAsia="Times New Roman" w:hAnsi="Times New Roman" w:cs="Times New Roman"/>
          <w:color w:val="000000" w:themeColor="text1"/>
          <w:lang w:eastAsia="hu-HU"/>
        </w:rPr>
        <w:t xml:space="preserve"> </w:t>
      </w:r>
      <w:r w:rsidR="00E6205D">
        <w:rPr>
          <w:rFonts w:ascii="Times New Roman" w:eastAsia="Times New Roman" w:hAnsi="Times New Roman" w:cs="Times New Roman"/>
          <w:color w:val="000000" w:themeColor="text1"/>
          <w:lang w:eastAsia="hu-HU"/>
        </w:rPr>
        <w:t>Ezekben az esetekben</w:t>
      </w:r>
      <w:r w:rsidR="00231176">
        <w:rPr>
          <w:rFonts w:ascii="Times New Roman" w:eastAsia="Times New Roman" w:hAnsi="Times New Roman" w:cs="Times New Roman"/>
          <w:color w:val="000000" w:themeColor="text1"/>
          <w:lang w:eastAsia="hu-HU"/>
        </w:rPr>
        <w:t xml:space="preserve"> szükséges lenne rögzíteni, hogy a munkáltató üzemi tanács hiányában a munkáltatónál képviselettel rendelkező szakszervezettel köteles tárgyalni.</w:t>
      </w:r>
    </w:p>
    <w:p w14:paraId="65C50E21" w14:textId="77777777" w:rsidR="00E6205D" w:rsidRDefault="00E6205D" w:rsidP="0088484D">
      <w:pPr>
        <w:jc w:val="both"/>
        <w:rPr>
          <w:rFonts w:ascii="Times New Roman" w:eastAsia="Times New Roman" w:hAnsi="Times New Roman" w:cs="Times New Roman"/>
          <w:color w:val="000000" w:themeColor="text1"/>
          <w:lang w:eastAsia="hu-HU"/>
        </w:rPr>
      </w:pPr>
    </w:p>
    <w:p w14:paraId="33D41B58" w14:textId="05D713FC" w:rsidR="00462CB6" w:rsidRPr="00387794" w:rsidRDefault="00036B94" w:rsidP="0088484D">
      <w:pPr>
        <w:jc w:val="both"/>
        <w:rPr>
          <w:rFonts w:ascii="Times New Roman" w:eastAsia="Calibri" w:hAnsi="Times New Roman" w:cs="Times New Roman"/>
          <w:shd w:val="clear" w:color="auto" w:fill="FFFFFF"/>
          <w:lang w:eastAsia="hu-HU"/>
        </w:rPr>
      </w:pPr>
      <w:r>
        <w:rPr>
          <w:rFonts w:ascii="Times New Roman" w:eastAsia="Times New Roman" w:hAnsi="Times New Roman" w:cs="Times New Roman"/>
          <w:color w:val="000000" w:themeColor="text1"/>
          <w:lang w:eastAsia="hu-HU"/>
        </w:rPr>
        <w:t xml:space="preserve">Az üzemi tanács széleskörű véleményezési és konzultációs jogosultságai nem ritkán olyan kérdésekre </w:t>
      </w:r>
      <w:r w:rsidRPr="003E7887">
        <w:rPr>
          <w:rFonts w:ascii="Times New Roman" w:eastAsia="Times New Roman" w:hAnsi="Times New Roman" w:cs="Times New Roman"/>
          <w:color w:val="000000" w:themeColor="text1"/>
          <w:lang w:eastAsia="hu-HU"/>
        </w:rPr>
        <w:t>is kiterjednek, amelyek alapvetően kollektív alku tárgyát képezhetnék, az érdekképviselet és a részvételi jogok „keveredését” idézi elő</w:t>
      </w:r>
      <w:r w:rsidRPr="003E7887">
        <w:rPr>
          <w:rFonts w:ascii="Times New Roman" w:eastAsia="Calibri" w:hAnsi="Times New Roman" w:cs="Times New Roman"/>
          <w:shd w:val="clear" w:color="auto" w:fill="FFFFFF"/>
          <w:lang w:eastAsia="hu-HU"/>
        </w:rPr>
        <w:t xml:space="preserve">. </w:t>
      </w:r>
      <w:r w:rsidR="003E7887" w:rsidRPr="003E7887">
        <w:rPr>
          <w:rFonts w:ascii="Times New Roman" w:eastAsia="Calibri" w:hAnsi="Times New Roman" w:cs="Times New Roman"/>
          <w:shd w:val="clear" w:color="auto" w:fill="FFFFFF"/>
          <w:lang w:eastAsia="hu-HU"/>
        </w:rPr>
        <w:t xml:space="preserve">Ilyen pl. a munkarend, a munka díjazása elveinek meghatározásával, a családi élet és a munkatevékenység összehangolásával </w:t>
      </w:r>
      <w:r w:rsidR="003E7887" w:rsidRPr="003E7887">
        <w:rPr>
          <w:rFonts w:ascii="Times New Roman" w:eastAsia="Calibri" w:hAnsi="Times New Roman" w:cs="Times New Roman"/>
          <w:shd w:val="clear" w:color="auto" w:fill="FFFFFF"/>
          <w:lang w:eastAsia="hu-HU"/>
        </w:rPr>
        <w:lastRenderedPageBreak/>
        <w:t xml:space="preserve">kapcsolatos üzemi tanácsi </w:t>
      </w:r>
      <w:r w:rsidR="00323DA7">
        <w:rPr>
          <w:rFonts w:ascii="Times New Roman" w:eastAsia="Calibri" w:hAnsi="Times New Roman" w:cs="Times New Roman"/>
          <w:shd w:val="clear" w:color="auto" w:fill="FFFFFF"/>
          <w:lang w:eastAsia="hu-HU"/>
        </w:rPr>
        <w:t xml:space="preserve">véleményezési </w:t>
      </w:r>
      <w:r w:rsidR="003E7887" w:rsidRPr="003E7887">
        <w:rPr>
          <w:rFonts w:ascii="Times New Roman" w:eastAsia="Calibri" w:hAnsi="Times New Roman" w:cs="Times New Roman"/>
          <w:shd w:val="clear" w:color="auto" w:fill="FFFFFF"/>
          <w:lang w:eastAsia="hu-HU"/>
        </w:rPr>
        <w:t>jogkör</w:t>
      </w:r>
      <w:r w:rsidR="00323DA7">
        <w:rPr>
          <w:rFonts w:ascii="Times New Roman" w:eastAsia="Calibri" w:hAnsi="Times New Roman" w:cs="Times New Roman"/>
          <w:shd w:val="clear" w:color="auto" w:fill="FFFFFF"/>
          <w:lang w:eastAsia="hu-HU"/>
        </w:rPr>
        <w:t>, a</w:t>
      </w:r>
      <w:r w:rsidR="004046E0">
        <w:rPr>
          <w:rFonts w:ascii="Times New Roman" w:eastAsia="Calibri" w:hAnsi="Times New Roman" w:cs="Times New Roman"/>
          <w:shd w:val="clear" w:color="auto" w:fill="FFFFFF"/>
          <w:lang w:eastAsia="hu-HU"/>
        </w:rPr>
        <w:t>melynek egyes elemei akár a kollektív szerződésben is helyet kaphatnának.</w:t>
      </w:r>
      <w:r w:rsidR="003C040E" w:rsidRPr="003E7887">
        <w:rPr>
          <w:rStyle w:val="Lbjegyzet-hivatkozs"/>
          <w:rFonts w:ascii="Times New Roman" w:eastAsia="Times New Roman" w:hAnsi="Times New Roman" w:cs="Times New Roman"/>
          <w:color w:val="000000" w:themeColor="text1"/>
          <w:lang w:eastAsia="hu-HU"/>
        </w:rPr>
        <w:footnoteReference w:id="24"/>
      </w:r>
      <w:r w:rsidR="003E7887" w:rsidRPr="003E7887">
        <w:rPr>
          <w:rFonts w:ascii="Times New Roman" w:eastAsia="Calibri" w:hAnsi="Times New Roman" w:cs="Times New Roman"/>
          <w:shd w:val="clear" w:color="auto" w:fill="FFFFFF"/>
          <w:lang w:eastAsia="hu-HU"/>
        </w:rPr>
        <w:t xml:space="preserve"> </w:t>
      </w:r>
      <w:r w:rsidR="002364EB" w:rsidRPr="003E7887">
        <w:rPr>
          <w:rFonts w:ascii="Times New Roman" w:eastAsia="Calibri" w:hAnsi="Times New Roman" w:cs="Times New Roman"/>
          <w:shd w:val="clear" w:color="auto" w:fill="FFFFFF"/>
          <w:lang w:eastAsia="hu-HU"/>
        </w:rPr>
        <w:t>A</w:t>
      </w:r>
      <w:r w:rsidR="00BB3CF2" w:rsidRPr="003E7887">
        <w:rPr>
          <w:rFonts w:ascii="Times New Roman" w:eastAsia="Calibri" w:hAnsi="Times New Roman" w:cs="Times New Roman"/>
          <w:shd w:val="clear" w:color="auto" w:fill="FFFFFF"/>
          <w:lang w:eastAsia="hu-HU"/>
        </w:rPr>
        <w:t xml:space="preserve"> munkáltató és az üzemi tanács által kötött</w:t>
      </w:r>
      <w:r w:rsidR="009E6D31" w:rsidRPr="003E7887">
        <w:rPr>
          <w:rFonts w:ascii="Times New Roman" w:eastAsia="Calibri" w:hAnsi="Times New Roman" w:cs="Times New Roman"/>
          <w:shd w:val="clear" w:color="auto" w:fill="FFFFFF"/>
          <w:lang w:eastAsia="hu-HU"/>
        </w:rPr>
        <w:t xml:space="preserve"> normatív hatályú üzemi megállapodás</w:t>
      </w:r>
      <w:r w:rsidR="009858C5" w:rsidRPr="003E7887">
        <w:rPr>
          <w:rFonts w:ascii="Times New Roman" w:eastAsia="Calibri" w:hAnsi="Times New Roman" w:cs="Times New Roman"/>
          <w:shd w:val="clear" w:color="auto" w:fill="FFFFFF"/>
          <w:lang w:eastAsia="hu-HU"/>
        </w:rPr>
        <w:t xml:space="preserve"> </w:t>
      </w:r>
      <w:r w:rsidR="00BB3CF2" w:rsidRPr="003E7887">
        <w:rPr>
          <w:rFonts w:ascii="Times New Roman" w:eastAsia="Calibri" w:hAnsi="Times New Roman" w:cs="Times New Roman"/>
          <w:shd w:val="clear" w:color="auto" w:fill="FFFFFF"/>
          <w:lang w:eastAsia="hu-HU"/>
        </w:rPr>
        <w:t xml:space="preserve">– </w:t>
      </w:r>
      <w:r w:rsidR="009858C5" w:rsidRPr="003E7887">
        <w:rPr>
          <w:rFonts w:ascii="Times New Roman" w:eastAsia="Calibri" w:hAnsi="Times New Roman" w:cs="Times New Roman"/>
          <w:shd w:val="clear" w:color="auto" w:fill="FFFFFF"/>
          <w:lang w:eastAsia="hu-HU"/>
        </w:rPr>
        <w:t>a munka díjazásával</w:t>
      </w:r>
      <w:r w:rsidR="009858C5" w:rsidRPr="003E7887">
        <w:rPr>
          <w:rFonts w:ascii="Times New Roman" w:eastAsia="Times New Roman" w:hAnsi="Times New Roman" w:cs="Times New Roman"/>
          <w:color w:val="000000" w:themeColor="text1"/>
          <w:lang w:eastAsia="hu-HU"/>
        </w:rPr>
        <w:t xml:space="preserve"> összefüggő kérdések kivételével</w:t>
      </w:r>
      <w:r w:rsidR="009858C5">
        <w:rPr>
          <w:rFonts w:ascii="Times New Roman" w:eastAsia="Times New Roman" w:hAnsi="Times New Roman" w:cs="Times New Roman"/>
          <w:color w:val="000000" w:themeColor="text1"/>
          <w:lang w:eastAsia="hu-HU"/>
        </w:rPr>
        <w:t xml:space="preserve"> </w:t>
      </w:r>
      <w:r w:rsidR="00BB3CF2">
        <w:rPr>
          <w:rFonts w:ascii="Times New Roman" w:eastAsia="Times New Roman" w:hAnsi="Times New Roman" w:cs="Times New Roman"/>
          <w:color w:val="000000" w:themeColor="text1"/>
          <w:lang w:eastAsia="hu-HU"/>
        </w:rPr>
        <w:t>–</w:t>
      </w:r>
      <w:r w:rsidR="00521923">
        <w:rPr>
          <w:rFonts w:ascii="Times New Roman" w:eastAsia="Times New Roman" w:hAnsi="Times New Roman" w:cs="Times New Roman"/>
          <w:color w:val="000000" w:themeColor="text1"/>
          <w:lang w:eastAsia="hu-HU"/>
        </w:rPr>
        <w:t xml:space="preserve"> </w:t>
      </w:r>
      <w:r w:rsidR="00BB3CF2">
        <w:rPr>
          <w:rFonts w:ascii="Times New Roman" w:eastAsia="Times New Roman" w:hAnsi="Times New Roman" w:cs="Times New Roman"/>
          <w:color w:val="000000" w:themeColor="text1"/>
          <w:lang w:eastAsia="hu-HU"/>
        </w:rPr>
        <w:t xml:space="preserve">a </w:t>
      </w:r>
      <w:r w:rsidR="005F0C24">
        <w:rPr>
          <w:rFonts w:ascii="Times New Roman" w:eastAsia="Times New Roman" w:hAnsi="Times New Roman" w:cs="Times New Roman"/>
          <w:color w:val="000000" w:themeColor="text1"/>
          <w:lang w:eastAsia="hu-HU"/>
        </w:rPr>
        <w:t>kollektív szerződés</w:t>
      </w:r>
      <w:r w:rsidR="00521923">
        <w:rPr>
          <w:rFonts w:ascii="Times New Roman" w:eastAsia="Times New Roman" w:hAnsi="Times New Roman" w:cs="Times New Roman"/>
          <w:color w:val="000000" w:themeColor="text1"/>
          <w:lang w:eastAsia="hu-HU"/>
        </w:rPr>
        <w:t xml:space="preserve"> valós alternatívájaként </w:t>
      </w:r>
      <w:r w:rsidR="00DC2C1F">
        <w:rPr>
          <w:rFonts w:ascii="Times New Roman" w:eastAsia="Times New Roman" w:hAnsi="Times New Roman" w:cs="Times New Roman"/>
          <w:color w:val="000000" w:themeColor="text1"/>
          <w:lang w:eastAsia="hu-HU"/>
        </w:rPr>
        <w:t>elvi lehetőséget ter</w:t>
      </w:r>
      <w:r w:rsidR="009034D9">
        <w:rPr>
          <w:rFonts w:ascii="Times New Roman" w:eastAsia="Times New Roman" w:hAnsi="Times New Roman" w:cs="Times New Roman"/>
          <w:color w:val="000000" w:themeColor="text1"/>
          <w:lang w:eastAsia="hu-HU"/>
        </w:rPr>
        <w:t>em</w:t>
      </w:r>
      <w:r w:rsidR="00DC2C1F">
        <w:rPr>
          <w:rFonts w:ascii="Times New Roman" w:eastAsia="Times New Roman" w:hAnsi="Times New Roman" w:cs="Times New Roman"/>
          <w:color w:val="000000" w:themeColor="text1"/>
          <w:lang w:eastAsia="hu-HU"/>
        </w:rPr>
        <w:t xml:space="preserve">t arra, hogy </w:t>
      </w:r>
      <w:r w:rsidR="00EF4C99">
        <w:rPr>
          <w:rFonts w:ascii="Times New Roman" w:eastAsia="Times New Roman" w:hAnsi="Times New Roman" w:cs="Times New Roman"/>
          <w:color w:val="000000" w:themeColor="text1"/>
          <w:lang w:eastAsia="hu-HU"/>
        </w:rPr>
        <w:t xml:space="preserve">a tipikusan eszköztelen (így például sztrájkban </w:t>
      </w:r>
      <w:r w:rsidR="009034D9">
        <w:rPr>
          <w:rFonts w:ascii="Times New Roman" w:eastAsia="Times New Roman" w:hAnsi="Times New Roman" w:cs="Times New Roman"/>
          <w:color w:val="000000" w:themeColor="text1"/>
          <w:lang w:eastAsia="hu-HU"/>
        </w:rPr>
        <w:t>pártatlan</w:t>
      </w:r>
      <w:r w:rsidR="00EF4C99">
        <w:rPr>
          <w:rFonts w:ascii="Times New Roman" w:eastAsia="Times New Roman" w:hAnsi="Times New Roman" w:cs="Times New Roman"/>
          <w:color w:val="000000" w:themeColor="text1"/>
          <w:lang w:eastAsia="hu-HU"/>
        </w:rPr>
        <w:t xml:space="preserve"> magatartásra kötelezett)</w:t>
      </w:r>
      <w:r w:rsidR="009034D9">
        <w:rPr>
          <w:rStyle w:val="Lbjegyzet-hivatkozs"/>
          <w:rFonts w:ascii="Times New Roman" w:eastAsia="Times New Roman" w:hAnsi="Times New Roman" w:cs="Times New Roman"/>
          <w:color w:val="000000" w:themeColor="text1"/>
          <w:lang w:eastAsia="hu-HU"/>
        </w:rPr>
        <w:footnoteReference w:id="25"/>
      </w:r>
      <w:r w:rsidR="00EF4C99">
        <w:rPr>
          <w:rFonts w:ascii="Times New Roman" w:eastAsia="Times New Roman" w:hAnsi="Times New Roman" w:cs="Times New Roman"/>
          <w:color w:val="000000" w:themeColor="text1"/>
          <w:lang w:eastAsia="hu-HU"/>
        </w:rPr>
        <w:t xml:space="preserve"> üzemi tanács</w:t>
      </w:r>
      <w:r w:rsidR="009034D9">
        <w:rPr>
          <w:rFonts w:ascii="Times New Roman" w:eastAsia="Times New Roman" w:hAnsi="Times New Roman" w:cs="Times New Roman"/>
          <w:color w:val="000000" w:themeColor="text1"/>
          <w:lang w:eastAsia="hu-HU"/>
        </w:rPr>
        <w:t xml:space="preserve"> </w:t>
      </w:r>
      <w:r w:rsidR="00312A72">
        <w:rPr>
          <w:rFonts w:ascii="Times New Roman" w:eastAsia="Times New Roman" w:hAnsi="Times New Roman" w:cs="Times New Roman"/>
          <w:color w:val="000000" w:themeColor="text1"/>
          <w:lang w:eastAsia="hu-HU"/>
        </w:rPr>
        <w:t>szakszervezet</w:t>
      </w:r>
      <w:r w:rsidR="005B2EA6">
        <w:rPr>
          <w:rFonts w:ascii="Times New Roman" w:eastAsia="Times New Roman" w:hAnsi="Times New Roman" w:cs="Times New Roman"/>
          <w:color w:val="000000" w:themeColor="text1"/>
          <w:lang w:eastAsia="hu-HU"/>
        </w:rPr>
        <w:t xml:space="preserve">hez tartozó </w:t>
      </w:r>
      <w:r w:rsidR="00AC4DD3">
        <w:rPr>
          <w:rFonts w:ascii="Times New Roman" w:eastAsia="Times New Roman" w:hAnsi="Times New Roman" w:cs="Times New Roman"/>
          <w:color w:val="000000" w:themeColor="text1"/>
          <w:lang w:eastAsia="hu-HU"/>
        </w:rPr>
        <w:t xml:space="preserve">funkciókat valósítson meg, ezzel is gyengítve a szakszervezetek </w:t>
      </w:r>
      <w:r w:rsidR="00B3594B">
        <w:rPr>
          <w:rFonts w:ascii="Times New Roman" w:eastAsia="Times New Roman" w:hAnsi="Times New Roman" w:cs="Times New Roman"/>
          <w:color w:val="000000" w:themeColor="text1"/>
          <w:lang w:eastAsia="hu-HU"/>
        </w:rPr>
        <w:t>pozícióját</w:t>
      </w:r>
      <w:r w:rsidR="00D42ADD">
        <w:rPr>
          <w:rFonts w:ascii="Times New Roman" w:eastAsia="Times New Roman" w:hAnsi="Times New Roman" w:cs="Times New Roman"/>
          <w:color w:val="000000" w:themeColor="text1"/>
          <w:lang w:eastAsia="hu-HU"/>
        </w:rPr>
        <w:t xml:space="preserve">. </w:t>
      </w:r>
      <w:r w:rsidR="00C53F2B">
        <w:rPr>
          <w:rFonts w:ascii="Times New Roman" w:eastAsia="Times New Roman" w:hAnsi="Times New Roman" w:cs="Times New Roman"/>
          <w:color w:val="000000" w:themeColor="text1"/>
          <w:lang w:eastAsia="hu-HU"/>
        </w:rPr>
        <w:t xml:space="preserve">Erre tekintettel is </w:t>
      </w:r>
      <w:r w:rsidR="00462CB6">
        <w:rPr>
          <w:rFonts w:ascii="Times New Roman" w:eastAsia="Times New Roman" w:hAnsi="Times New Roman" w:cs="Times New Roman"/>
          <w:color w:val="000000" w:themeColor="text1"/>
          <w:lang w:eastAsia="hu-HU"/>
        </w:rPr>
        <w:t>szükséges volna a két intézmény funkcionális szétválasztása</w:t>
      </w:r>
      <w:r w:rsidR="00AF102E">
        <w:rPr>
          <w:rFonts w:ascii="Times New Roman" w:eastAsia="Times New Roman" w:hAnsi="Times New Roman" w:cs="Times New Roman"/>
          <w:color w:val="000000" w:themeColor="text1"/>
          <w:lang w:eastAsia="hu-HU"/>
        </w:rPr>
        <w:t xml:space="preserve">, </w:t>
      </w:r>
      <w:r w:rsidR="00D42ADD">
        <w:rPr>
          <w:rFonts w:ascii="Times New Roman" w:eastAsia="Times New Roman" w:hAnsi="Times New Roman" w:cs="Times New Roman"/>
          <w:color w:val="000000" w:themeColor="text1"/>
          <w:lang w:eastAsia="hu-HU"/>
        </w:rPr>
        <w:t>a „versenyhelyzet”</w:t>
      </w:r>
      <w:r w:rsidR="00D42ADD">
        <w:rPr>
          <w:rStyle w:val="Lbjegyzet-hivatkozs"/>
          <w:rFonts w:ascii="Times New Roman" w:eastAsia="Times New Roman" w:hAnsi="Times New Roman" w:cs="Times New Roman"/>
          <w:color w:val="000000" w:themeColor="text1"/>
          <w:lang w:eastAsia="hu-HU"/>
        </w:rPr>
        <w:footnoteReference w:id="26"/>
      </w:r>
      <w:r w:rsidR="00D42ADD">
        <w:rPr>
          <w:rFonts w:ascii="Times New Roman" w:eastAsia="Times New Roman" w:hAnsi="Times New Roman" w:cs="Times New Roman"/>
          <w:color w:val="000000" w:themeColor="text1"/>
          <w:lang w:eastAsia="hu-HU"/>
        </w:rPr>
        <w:t xml:space="preserve"> megszüntetése, és a két intézményhez köthető </w:t>
      </w:r>
      <w:r w:rsidR="00AF102E">
        <w:rPr>
          <w:rFonts w:ascii="Times New Roman" w:eastAsia="Times New Roman" w:hAnsi="Times New Roman" w:cs="Times New Roman"/>
          <w:color w:val="000000" w:themeColor="text1"/>
          <w:lang w:eastAsia="hu-HU"/>
        </w:rPr>
        <w:t>jogosítvány</w:t>
      </w:r>
      <w:r w:rsidR="00D42ADD">
        <w:rPr>
          <w:rFonts w:ascii="Times New Roman" w:eastAsia="Times New Roman" w:hAnsi="Times New Roman" w:cs="Times New Roman"/>
          <w:color w:val="000000" w:themeColor="text1"/>
          <w:lang w:eastAsia="hu-HU"/>
        </w:rPr>
        <w:t>o</w:t>
      </w:r>
      <w:r w:rsidR="00AF102E">
        <w:rPr>
          <w:rFonts w:ascii="Times New Roman" w:eastAsia="Times New Roman" w:hAnsi="Times New Roman" w:cs="Times New Roman"/>
          <w:color w:val="000000" w:themeColor="text1"/>
          <w:lang w:eastAsia="hu-HU"/>
        </w:rPr>
        <w:t xml:space="preserve">k „profiltisztítása”. </w:t>
      </w:r>
      <w:r w:rsidR="0030740B">
        <w:rPr>
          <w:rFonts w:ascii="Times New Roman" w:eastAsia="Times New Roman" w:hAnsi="Times New Roman" w:cs="Times New Roman"/>
          <w:color w:val="000000" w:themeColor="text1"/>
          <w:lang w:eastAsia="hu-HU"/>
        </w:rPr>
        <w:t>E körben mindenekelőtt gondolunk a</w:t>
      </w:r>
      <w:r w:rsidR="001B030E">
        <w:rPr>
          <w:rFonts w:ascii="Times New Roman" w:eastAsia="Times New Roman" w:hAnsi="Times New Roman" w:cs="Times New Roman"/>
          <w:color w:val="000000" w:themeColor="text1"/>
          <w:lang w:eastAsia="hu-HU"/>
        </w:rPr>
        <w:t xml:space="preserve"> </w:t>
      </w:r>
      <w:r w:rsidR="0030740B">
        <w:rPr>
          <w:rFonts w:ascii="Times New Roman" w:eastAsia="Times New Roman" w:hAnsi="Times New Roman" w:cs="Times New Roman"/>
          <w:color w:val="000000" w:themeColor="text1"/>
          <w:lang w:eastAsia="hu-HU"/>
        </w:rPr>
        <w:t xml:space="preserve">normatív hatályú üzemi megállapodás megkötésének lehetőségére, melyet </w:t>
      </w:r>
      <w:r w:rsidR="001B030E">
        <w:rPr>
          <w:rFonts w:ascii="Times New Roman" w:eastAsia="Times New Roman" w:hAnsi="Times New Roman" w:cs="Times New Roman"/>
          <w:color w:val="000000" w:themeColor="text1"/>
          <w:lang w:eastAsia="hu-HU"/>
        </w:rPr>
        <w:t xml:space="preserve">– összhangban a II. részben kifejtettekkel – </w:t>
      </w:r>
      <w:r w:rsidR="00F26D87">
        <w:rPr>
          <w:rFonts w:ascii="Times New Roman" w:eastAsia="Times New Roman" w:hAnsi="Times New Roman" w:cs="Times New Roman"/>
          <w:color w:val="000000" w:themeColor="text1"/>
          <w:lang w:eastAsia="hu-HU"/>
        </w:rPr>
        <w:t xml:space="preserve">álláspontunk szerint </w:t>
      </w:r>
      <w:r w:rsidR="00904A65">
        <w:rPr>
          <w:rFonts w:ascii="Times New Roman" w:eastAsia="Times New Roman" w:hAnsi="Times New Roman" w:cs="Times New Roman"/>
          <w:color w:val="000000" w:themeColor="text1"/>
          <w:lang w:eastAsia="hu-HU"/>
        </w:rPr>
        <w:t xml:space="preserve">törölni </w:t>
      </w:r>
      <w:r w:rsidR="00690797">
        <w:rPr>
          <w:rFonts w:ascii="Times New Roman" w:eastAsia="Times New Roman" w:hAnsi="Times New Roman" w:cs="Times New Roman"/>
          <w:color w:val="000000" w:themeColor="text1"/>
          <w:lang w:eastAsia="hu-HU"/>
        </w:rPr>
        <w:t xml:space="preserve">kellene </w:t>
      </w:r>
      <w:r w:rsidR="00904A65">
        <w:rPr>
          <w:rFonts w:ascii="Times New Roman" w:eastAsia="Times New Roman" w:hAnsi="Times New Roman" w:cs="Times New Roman"/>
          <w:color w:val="000000" w:themeColor="text1"/>
          <w:lang w:eastAsia="hu-HU"/>
        </w:rPr>
        <w:t>az Mt.-ből</w:t>
      </w:r>
      <w:r w:rsidR="00903FD3">
        <w:rPr>
          <w:rFonts w:ascii="Times New Roman" w:eastAsia="Times New Roman" w:hAnsi="Times New Roman" w:cs="Times New Roman"/>
          <w:color w:val="000000" w:themeColor="text1"/>
          <w:lang w:eastAsia="hu-HU"/>
        </w:rPr>
        <w:t>.</w:t>
      </w:r>
    </w:p>
    <w:p w14:paraId="51CACDA8" w14:textId="77777777" w:rsidR="003F4957" w:rsidRPr="00387794" w:rsidRDefault="003F4957" w:rsidP="008614CF">
      <w:pPr>
        <w:rPr>
          <w:rFonts w:ascii="Times New Roman" w:eastAsia="Times New Roman" w:hAnsi="Times New Roman" w:cs="Times New Roman"/>
          <w:color w:val="000000" w:themeColor="text1"/>
          <w:lang w:eastAsia="hu-HU"/>
        </w:rPr>
      </w:pPr>
    </w:p>
    <w:p w14:paraId="4FE1E04F" w14:textId="562613ED" w:rsidR="008614CF" w:rsidRPr="00387794" w:rsidRDefault="00570C1F" w:rsidP="008614CF">
      <w:pPr>
        <w:rPr>
          <w:rFonts w:ascii="Times New Roman" w:eastAsia="Times New Roman" w:hAnsi="Times New Roman" w:cs="Times New Roman"/>
          <w:b/>
          <w:bCs/>
          <w:color w:val="000000" w:themeColor="text1"/>
          <w:lang w:eastAsia="hu-HU"/>
        </w:rPr>
      </w:pPr>
      <w:r>
        <w:rPr>
          <w:rFonts w:ascii="Times New Roman" w:eastAsia="Times New Roman" w:hAnsi="Times New Roman" w:cs="Times New Roman"/>
          <w:b/>
          <w:bCs/>
          <w:color w:val="000000" w:themeColor="text1"/>
          <w:lang w:eastAsia="hu-HU"/>
        </w:rPr>
        <w:t>3</w:t>
      </w:r>
      <w:r w:rsidR="008614CF" w:rsidRPr="00387794">
        <w:rPr>
          <w:rFonts w:ascii="Times New Roman" w:eastAsia="Times New Roman" w:hAnsi="Times New Roman" w:cs="Times New Roman"/>
          <w:b/>
          <w:bCs/>
          <w:color w:val="000000" w:themeColor="text1"/>
          <w:lang w:eastAsia="hu-HU"/>
        </w:rPr>
        <w:t>. A szakszervezeti tisztségviselők munkajogi védelme</w:t>
      </w:r>
    </w:p>
    <w:p w14:paraId="5B6F5C61" w14:textId="77777777" w:rsidR="003F4957" w:rsidRPr="00387794" w:rsidRDefault="003F4957" w:rsidP="008614CF">
      <w:pPr>
        <w:rPr>
          <w:rFonts w:ascii="Times New Roman" w:eastAsia="Times New Roman" w:hAnsi="Times New Roman" w:cs="Times New Roman"/>
          <w:color w:val="000000" w:themeColor="text1"/>
          <w:lang w:eastAsia="hu-HU"/>
        </w:rPr>
      </w:pPr>
    </w:p>
    <w:p w14:paraId="23BA7179" w14:textId="3BACC4E0" w:rsidR="003F4957" w:rsidRDefault="004F52B9" w:rsidP="003F4957">
      <w:pPr>
        <w:shd w:val="clear" w:color="auto" w:fill="FFFFFF"/>
        <w:jc w:val="both"/>
        <w:rPr>
          <w:rFonts w:ascii="Times New Roman" w:eastAsia="Times New Roman" w:hAnsi="Times New Roman" w:cs="Times New Roman"/>
          <w:lang w:eastAsia="hu-HU"/>
        </w:rPr>
      </w:pPr>
      <w:r>
        <w:rPr>
          <w:rFonts w:ascii="Times New Roman" w:eastAsia="Times New Roman" w:hAnsi="Times New Roman" w:cs="Times New Roman"/>
          <w:lang w:eastAsia="hu-HU"/>
        </w:rPr>
        <w:t>A</w:t>
      </w:r>
      <w:r w:rsidR="003F4957">
        <w:rPr>
          <w:rFonts w:ascii="Times New Roman" w:eastAsia="Times New Roman" w:hAnsi="Times New Roman" w:cs="Times New Roman"/>
          <w:lang w:eastAsia="hu-HU"/>
        </w:rPr>
        <w:t xml:space="preserve">z ún. </w:t>
      </w:r>
      <w:proofErr w:type="gramStart"/>
      <w:r w:rsidR="003F4957" w:rsidRPr="0040118B">
        <w:rPr>
          <w:rFonts w:ascii="Times New Roman" w:eastAsia="Times New Roman" w:hAnsi="Times New Roman" w:cs="Times New Roman"/>
          <w:lang w:eastAsia="hu-HU"/>
        </w:rPr>
        <w:t>munkajogi</w:t>
      </w:r>
      <w:proofErr w:type="gramEnd"/>
      <w:r w:rsidR="003F4957" w:rsidRPr="0040118B">
        <w:rPr>
          <w:rFonts w:ascii="Times New Roman" w:eastAsia="Times New Roman" w:hAnsi="Times New Roman" w:cs="Times New Roman"/>
          <w:lang w:eastAsia="hu-HU"/>
        </w:rPr>
        <w:t xml:space="preserve"> védelem mind a védett szakszervezeti tisztségviselők számát, a védelem terjedelmét és időtartamát illetően jelentősen leszűkült</w:t>
      </w:r>
      <w:r w:rsidR="003F4957">
        <w:rPr>
          <w:rFonts w:ascii="Times New Roman" w:eastAsia="Times New Roman" w:hAnsi="Times New Roman" w:cs="Times New Roman"/>
          <w:lang w:eastAsia="hu-HU"/>
        </w:rPr>
        <w:t xml:space="preserve"> a hatályos Mt.-ben.</w:t>
      </w:r>
      <w:r w:rsidR="003F4957" w:rsidRPr="0040118B">
        <w:rPr>
          <w:rFonts w:ascii="Times New Roman" w:eastAsia="Times New Roman" w:hAnsi="Times New Roman" w:cs="Times New Roman"/>
          <w:lang w:eastAsia="hu-HU"/>
        </w:rPr>
        <w:t xml:space="preserve"> Korábban nem volt limitált </w:t>
      </w:r>
      <w:r w:rsidR="0082101E">
        <w:rPr>
          <w:rFonts w:ascii="Times New Roman" w:eastAsia="Times New Roman" w:hAnsi="Times New Roman" w:cs="Times New Roman"/>
          <w:lang w:eastAsia="hu-HU"/>
        </w:rPr>
        <w:t xml:space="preserve">a védelemben részesülő </w:t>
      </w:r>
      <w:r w:rsidR="003F4957" w:rsidRPr="0040118B">
        <w:rPr>
          <w:rFonts w:ascii="Times New Roman" w:eastAsia="Times New Roman" w:hAnsi="Times New Roman" w:cs="Times New Roman"/>
          <w:lang w:eastAsia="hu-HU"/>
        </w:rPr>
        <w:t xml:space="preserve">szakszervezeti tisztségviselők száma, </w:t>
      </w:r>
      <w:r w:rsidR="004D33D2">
        <w:rPr>
          <w:rFonts w:ascii="Times New Roman" w:eastAsia="Times New Roman" w:hAnsi="Times New Roman" w:cs="Times New Roman"/>
          <w:lang w:eastAsia="hu-HU"/>
        </w:rPr>
        <w:t>a hatályos Mt.-b</w:t>
      </w:r>
      <w:r w:rsidR="0082101E">
        <w:rPr>
          <w:rFonts w:ascii="Times New Roman" w:eastAsia="Times New Roman" w:hAnsi="Times New Roman" w:cs="Times New Roman"/>
          <w:lang w:eastAsia="hu-HU"/>
        </w:rPr>
        <w:t>e</w:t>
      </w:r>
      <w:r w:rsidR="004D33D2">
        <w:rPr>
          <w:rFonts w:ascii="Times New Roman" w:eastAsia="Times New Roman" w:hAnsi="Times New Roman" w:cs="Times New Roman"/>
          <w:lang w:eastAsia="hu-HU"/>
        </w:rPr>
        <w:t>n</w:t>
      </w:r>
      <w:r w:rsidR="0082101E">
        <w:rPr>
          <w:rFonts w:ascii="Times New Roman" w:eastAsia="Times New Roman" w:hAnsi="Times New Roman" w:cs="Times New Roman"/>
          <w:lang w:eastAsia="hu-HU"/>
        </w:rPr>
        <w:t xml:space="preserve"> </w:t>
      </w:r>
      <w:r w:rsidR="003C7028">
        <w:rPr>
          <w:rFonts w:ascii="Times New Roman" w:eastAsia="Times New Roman" w:hAnsi="Times New Roman" w:cs="Times New Roman"/>
          <w:lang w:eastAsia="hu-HU"/>
        </w:rPr>
        <w:t>a védelemben részesülők köre</w:t>
      </w:r>
      <w:r w:rsidR="003F4957" w:rsidRPr="0040118B">
        <w:rPr>
          <w:rFonts w:ascii="Times New Roman" w:eastAsia="Times New Roman" w:hAnsi="Times New Roman" w:cs="Times New Roman"/>
          <w:lang w:eastAsia="hu-HU"/>
        </w:rPr>
        <w:t xml:space="preserve"> az önállónak minősülő telephelyen foglalkoztatottak számától függ.</w:t>
      </w:r>
      <w:r w:rsidR="003F4957" w:rsidRPr="0040118B">
        <w:rPr>
          <w:rStyle w:val="Lbjegyzet-hivatkozs"/>
          <w:rFonts w:ascii="Times New Roman" w:eastAsia="Times New Roman" w:hAnsi="Times New Roman" w:cs="Times New Roman"/>
          <w:lang w:eastAsia="hu-HU"/>
        </w:rPr>
        <w:footnoteReference w:id="27"/>
      </w:r>
      <w:r w:rsidR="003F4957" w:rsidRPr="0040118B">
        <w:rPr>
          <w:rFonts w:ascii="Times New Roman" w:eastAsia="Times New Roman" w:hAnsi="Times New Roman" w:cs="Times New Roman"/>
          <w:lang w:eastAsia="hu-HU"/>
        </w:rPr>
        <w:t xml:space="preserve"> </w:t>
      </w:r>
    </w:p>
    <w:p w14:paraId="58C515FC" w14:textId="77777777" w:rsidR="00615BFB" w:rsidRDefault="00615BFB" w:rsidP="003F4957">
      <w:pPr>
        <w:shd w:val="clear" w:color="auto" w:fill="FFFFFF"/>
        <w:jc w:val="both"/>
        <w:rPr>
          <w:rFonts w:ascii="Times New Roman" w:eastAsia="Times New Roman" w:hAnsi="Times New Roman" w:cs="Times New Roman"/>
          <w:lang w:eastAsia="hu-HU"/>
        </w:rPr>
      </w:pPr>
    </w:p>
    <w:p w14:paraId="3F589336" w14:textId="3E80E054" w:rsidR="00CB15CE" w:rsidRDefault="0096755C" w:rsidP="003F4957">
      <w:pPr>
        <w:shd w:val="clear" w:color="auto" w:fill="FFFFFF"/>
        <w:jc w:val="both"/>
        <w:rPr>
          <w:rFonts w:ascii="Times New Roman" w:eastAsia="Times New Roman" w:hAnsi="Times New Roman" w:cs="Times New Roman"/>
          <w:lang w:eastAsia="hu-HU"/>
        </w:rPr>
      </w:pPr>
      <w:r>
        <w:rPr>
          <w:rFonts w:ascii="Times New Roman" w:eastAsia="Times New Roman" w:hAnsi="Times New Roman" w:cs="Times New Roman"/>
          <w:lang w:eastAsia="hu-HU"/>
        </w:rPr>
        <w:t>Álláspontunk szerint a jelenlegi rendszer</w:t>
      </w:r>
      <w:r w:rsidR="00615BFB" w:rsidRPr="00615BFB">
        <w:rPr>
          <w:rFonts w:ascii="Times New Roman" w:eastAsia="Times New Roman" w:hAnsi="Times New Roman" w:cs="Times New Roman"/>
          <w:lang w:eastAsia="hu-HU"/>
        </w:rPr>
        <w:t xml:space="preserve"> </w:t>
      </w:r>
      <w:r w:rsidR="00615BFB">
        <w:rPr>
          <w:rFonts w:ascii="Times New Roman" w:eastAsia="Times New Roman" w:hAnsi="Times New Roman" w:cs="Times New Roman"/>
          <w:lang w:eastAsia="hu-HU"/>
        </w:rPr>
        <w:t>korrekcióra szorul</w:t>
      </w:r>
      <w:r>
        <w:rPr>
          <w:rFonts w:ascii="Times New Roman" w:eastAsia="Times New Roman" w:hAnsi="Times New Roman" w:cs="Times New Roman"/>
          <w:lang w:eastAsia="hu-HU"/>
        </w:rPr>
        <w:t xml:space="preserve">, </w:t>
      </w:r>
      <w:r w:rsidR="00615BFB">
        <w:rPr>
          <w:rFonts w:ascii="Times New Roman" w:eastAsia="Times New Roman" w:hAnsi="Times New Roman" w:cs="Times New Roman"/>
          <w:lang w:eastAsia="hu-HU"/>
        </w:rPr>
        <w:t xml:space="preserve">mert </w:t>
      </w:r>
      <w:r>
        <w:rPr>
          <w:rFonts w:ascii="Times New Roman" w:eastAsia="Times New Roman" w:hAnsi="Times New Roman" w:cs="Times New Roman"/>
          <w:lang w:eastAsia="hu-HU"/>
        </w:rPr>
        <w:t xml:space="preserve">abból indult ki, hogy a korábbi </w:t>
      </w:r>
      <w:r w:rsidR="00615BFB">
        <w:rPr>
          <w:rFonts w:ascii="Times New Roman" w:eastAsia="Times New Roman" w:hAnsi="Times New Roman" w:cs="Times New Roman"/>
          <w:lang w:eastAsia="hu-HU"/>
        </w:rPr>
        <w:t xml:space="preserve">szabályok </w:t>
      </w:r>
      <w:r w:rsidR="00943345">
        <w:rPr>
          <w:rFonts w:ascii="Times New Roman" w:eastAsia="Times New Roman" w:hAnsi="Times New Roman" w:cs="Times New Roman"/>
          <w:lang w:eastAsia="hu-HU"/>
        </w:rPr>
        <w:t xml:space="preserve">túl </w:t>
      </w:r>
      <w:r w:rsidR="003E2621">
        <w:rPr>
          <w:rFonts w:ascii="Times New Roman" w:eastAsia="Times New Roman" w:hAnsi="Times New Roman" w:cs="Times New Roman"/>
          <w:lang w:eastAsia="hu-HU"/>
        </w:rPr>
        <w:t xml:space="preserve">széles körben </w:t>
      </w:r>
      <w:r>
        <w:rPr>
          <w:rFonts w:ascii="Times New Roman" w:eastAsia="Times New Roman" w:hAnsi="Times New Roman" w:cs="Times New Roman"/>
          <w:lang w:eastAsia="hu-HU"/>
        </w:rPr>
        <w:t>tett</w:t>
      </w:r>
      <w:r w:rsidR="00615BFB">
        <w:rPr>
          <w:rFonts w:ascii="Times New Roman" w:eastAsia="Times New Roman" w:hAnsi="Times New Roman" w:cs="Times New Roman"/>
          <w:lang w:eastAsia="hu-HU"/>
        </w:rPr>
        <w:t>ék</w:t>
      </w:r>
      <w:r w:rsidR="00993D72">
        <w:rPr>
          <w:rFonts w:ascii="Times New Roman" w:eastAsia="Times New Roman" w:hAnsi="Times New Roman" w:cs="Times New Roman"/>
          <w:lang w:eastAsia="hu-HU"/>
        </w:rPr>
        <w:t xml:space="preserve"> </w:t>
      </w:r>
      <w:r w:rsidR="003E2621">
        <w:rPr>
          <w:rFonts w:ascii="Times New Roman" w:eastAsia="Times New Roman" w:hAnsi="Times New Roman" w:cs="Times New Roman"/>
          <w:lang w:eastAsia="hu-HU"/>
        </w:rPr>
        <w:t xml:space="preserve">lehetővé </w:t>
      </w:r>
      <w:r w:rsidR="00805268">
        <w:rPr>
          <w:rFonts w:ascii="Times New Roman" w:eastAsia="Times New Roman" w:hAnsi="Times New Roman" w:cs="Times New Roman"/>
          <w:lang w:eastAsia="hu-HU"/>
        </w:rPr>
        <w:t>a védelem kiterjesztését</w:t>
      </w:r>
      <w:r w:rsidR="00555736">
        <w:rPr>
          <w:rFonts w:ascii="Times New Roman" w:eastAsia="Times New Roman" w:hAnsi="Times New Roman" w:cs="Times New Roman"/>
          <w:lang w:eastAsia="hu-HU"/>
        </w:rPr>
        <w:t>.</w:t>
      </w:r>
      <w:r w:rsidR="00CB15CE">
        <w:rPr>
          <w:rFonts w:ascii="Times New Roman" w:eastAsia="Times New Roman" w:hAnsi="Times New Roman" w:cs="Times New Roman"/>
          <w:lang w:eastAsia="hu-HU"/>
        </w:rPr>
        <w:t xml:space="preserve"> </w:t>
      </w:r>
      <w:r w:rsidR="00074BFF">
        <w:rPr>
          <w:rFonts w:ascii="Times New Roman" w:eastAsia="Times New Roman" w:hAnsi="Times New Roman" w:cs="Times New Roman"/>
          <w:lang w:eastAsia="hu-HU"/>
        </w:rPr>
        <w:t xml:space="preserve">Az érdemi érdekképviseleti tevékenységet folytató és ebből következően ténylegesen védelemre szoruló </w:t>
      </w:r>
      <w:r w:rsidR="00074BFF" w:rsidRPr="00387794">
        <w:rPr>
          <w:rFonts w:ascii="Times New Roman" w:eastAsia="Times New Roman" w:hAnsi="Times New Roman" w:cs="Times New Roman"/>
          <w:lang w:eastAsia="hu-HU"/>
        </w:rPr>
        <w:t>szakszervezeti tisztségviselő</w:t>
      </w:r>
      <w:r w:rsidR="00B37337" w:rsidRPr="00387794">
        <w:rPr>
          <w:rFonts w:ascii="Times New Roman" w:eastAsia="Times New Roman" w:hAnsi="Times New Roman" w:cs="Times New Roman"/>
          <w:lang w:eastAsia="hu-HU"/>
        </w:rPr>
        <w:t>k</w:t>
      </w:r>
      <w:r w:rsidR="00074BFF" w:rsidRPr="00387794">
        <w:rPr>
          <w:rFonts w:ascii="Times New Roman" w:eastAsia="Times New Roman" w:hAnsi="Times New Roman" w:cs="Times New Roman"/>
          <w:lang w:eastAsia="hu-HU"/>
        </w:rPr>
        <w:t xml:space="preserve"> </w:t>
      </w:r>
      <w:r w:rsidR="00B37337" w:rsidRPr="00387794">
        <w:rPr>
          <w:rFonts w:ascii="Times New Roman" w:eastAsia="Times New Roman" w:hAnsi="Times New Roman" w:cs="Times New Roman"/>
          <w:lang w:eastAsia="hu-HU"/>
        </w:rPr>
        <w:t xml:space="preserve">egy része </w:t>
      </w:r>
      <w:r w:rsidR="00993717">
        <w:rPr>
          <w:rFonts w:ascii="Times New Roman" w:eastAsia="Times New Roman" w:hAnsi="Times New Roman" w:cs="Times New Roman"/>
          <w:lang w:eastAsia="hu-HU"/>
        </w:rPr>
        <w:t>az Mt. rendelkezései</w:t>
      </w:r>
      <w:r w:rsidR="00B37337" w:rsidRPr="00387794">
        <w:rPr>
          <w:rFonts w:ascii="Times New Roman" w:eastAsia="Times New Roman" w:hAnsi="Times New Roman" w:cs="Times New Roman"/>
          <w:lang w:eastAsia="hu-HU"/>
        </w:rPr>
        <w:t xml:space="preserve"> alapján </w:t>
      </w:r>
      <w:r w:rsidR="00074BFF" w:rsidRPr="00387794">
        <w:rPr>
          <w:rFonts w:ascii="Times New Roman" w:eastAsia="Times New Roman" w:hAnsi="Times New Roman" w:cs="Times New Roman"/>
          <w:lang w:eastAsia="hu-HU"/>
        </w:rPr>
        <w:t>jelentős rész</w:t>
      </w:r>
      <w:r w:rsidR="00B37337" w:rsidRPr="00387794">
        <w:rPr>
          <w:rFonts w:ascii="Times New Roman" w:eastAsia="Times New Roman" w:hAnsi="Times New Roman" w:cs="Times New Roman"/>
          <w:lang w:eastAsia="hu-HU"/>
        </w:rPr>
        <w:t>ben</w:t>
      </w:r>
      <w:r w:rsidR="00074BFF" w:rsidRPr="00387794">
        <w:rPr>
          <w:rFonts w:ascii="Times New Roman" w:eastAsia="Times New Roman" w:hAnsi="Times New Roman" w:cs="Times New Roman"/>
          <w:lang w:eastAsia="hu-HU"/>
        </w:rPr>
        <w:t xml:space="preserve"> védelem nélkül </w:t>
      </w:r>
      <w:r w:rsidR="00B37337" w:rsidRPr="00387794">
        <w:rPr>
          <w:rFonts w:ascii="Times New Roman" w:eastAsia="Times New Roman" w:hAnsi="Times New Roman" w:cs="Times New Roman"/>
          <w:lang w:eastAsia="hu-HU"/>
        </w:rPr>
        <w:t>marad</w:t>
      </w:r>
      <w:r w:rsidR="004508B2" w:rsidRPr="00387794">
        <w:rPr>
          <w:rFonts w:ascii="Times New Roman" w:eastAsia="Times New Roman" w:hAnsi="Times New Roman" w:cs="Times New Roman"/>
          <w:lang w:eastAsia="hu-HU"/>
        </w:rPr>
        <w:t>.</w:t>
      </w:r>
      <w:r w:rsidR="008054D6">
        <w:rPr>
          <w:rStyle w:val="Lbjegyzet-hivatkozs"/>
          <w:rFonts w:ascii="Times New Roman" w:eastAsia="Times New Roman" w:hAnsi="Times New Roman" w:cs="Times New Roman"/>
          <w:lang w:eastAsia="hu-HU"/>
        </w:rPr>
        <w:footnoteReference w:id="28"/>
      </w:r>
      <w:r w:rsidR="00074BFF">
        <w:rPr>
          <w:rFonts w:ascii="Times New Roman" w:eastAsia="Times New Roman" w:hAnsi="Times New Roman" w:cs="Times New Roman"/>
          <w:lang w:eastAsia="hu-HU"/>
        </w:rPr>
        <w:t xml:space="preserve"> </w:t>
      </w:r>
      <w:r w:rsidR="004508B2">
        <w:rPr>
          <w:rFonts w:ascii="Times New Roman" w:eastAsia="Times New Roman" w:hAnsi="Times New Roman" w:cs="Times New Roman"/>
          <w:lang w:eastAsia="hu-HU"/>
        </w:rPr>
        <w:t>Mivel az</w:t>
      </w:r>
      <w:r w:rsidR="00CB15CE" w:rsidRPr="00387794">
        <w:rPr>
          <w:rFonts w:ascii="Times New Roman" w:eastAsia="Times New Roman" w:hAnsi="Times New Roman" w:cs="Times New Roman"/>
          <w:lang w:eastAsia="hu-HU"/>
        </w:rPr>
        <w:t xml:space="preserve"> érdekképviselethez kapcsolódó feladatok mennyisége és ennélfogva a munkajogi védelem</w:t>
      </w:r>
      <w:r w:rsidR="002D254B">
        <w:rPr>
          <w:rFonts w:ascii="Times New Roman" w:eastAsia="Times New Roman" w:hAnsi="Times New Roman" w:cs="Times New Roman"/>
          <w:lang w:eastAsia="hu-HU"/>
        </w:rPr>
        <w:t xml:space="preserve"> szükségesség</w:t>
      </w:r>
      <w:r w:rsidR="00AA799F">
        <w:rPr>
          <w:rFonts w:ascii="Times New Roman" w:eastAsia="Times New Roman" w:hAnsi="Times New Roman" w:cs="Times New Roman"/>
          <w:lang w:eastAsia="hu-HU"/>
        </w:rPr>
        <w:t>e</w:t>
      </w:r>
      <w:r w:rsidR="002D254B">
        <w:rPr>
          <w:rFonts w:ascii="Times New Roman" w:eastAsia="Times New Roman" w:hAnsi="Times New Roman" w:cs="Times New Roman"/>
          <w:lang w:eastAsia="hu-HU"/>
        </w:rPr>
        <w:t xml:space="preserve"> inkább függ</w:t>
      </w:r>
      <w:r w:rsidR="00AA799F">
        <w:rPr>
          <w:rFonts w:ascii="Times New Roman" w:eastAsia="Times New Roman" w:hAnsi="Times New Roman" w:cs="Times New Roman"/>
          <w:lang w:eastAsia="hu-HU"/>
        </w:rPr>
        <w:t xml:space="preserve"> </w:t>
      </w:r>
      <w:r w:rsidR="00CB15CE" w:rsidRPr="00387794">
        <w:rPr>
          <w:rFonts w:ascii="Times New Roman" w:eastAsia="Times New Roman" w:hAnsi="Times New Roman" w:cs="Times New Roman"/>
          <w:lang w:eastAsia="hu-HU"/>
        </w:rPr>
        <w:t>a szakszervezet taglétszámától, mint a munkavállalók létszámától</w:t>
      </w:r>
      <w:r w:rsidR="004508B2">
        <w:rPr>
          <w:rFonts w:ascii="Times New Roman" w:eastAsia="Times New Roman" w:hAnsi="Times New Roman" w:cs="Times New Roman"/>
          <w:lang w:eastAsia="hu-HU"/>
        </w:rPr>
        <w:t>, indokol</w:t>
      </w:r>
      <w:r w:rsidR="000A147F">
        <w:rPr>
          <w:rFonts w:ascii="Times New Roman" w:eastAsia="Times New Roman" w:hAnsi="Times New Roman" w:cs="Times New Roman"/>
          <w:lang w:eastAsia="hu-HU"/>
        </w:rPr>
        <w:t>t</w:t>
      </w:r>
      <w:r w:rsidR="004508B2">
        <w:rPr>
          <w:rFonts w:ascii="Times New Roman" w:eastAsia="Times New Roman" w:hAnsi="Times New Roman" w:cs="Times New Roman"/>
          <w:lang w:eastAsia="hu-HU"/>
        </w:rPr>
        <w:t xml:space="preserve"> lenne </w:t>
      </w:r>
      <w:r w:rsidR="008054D6">
        <w:rPr>
          <w:rFonts w:ascii="Times New Roman" w:eastAsia="Times New Roman" w:hAnsi="Times New Roman" w:cs="Times New Roman"/>
          <w:lang w:eastAsia="hu-HU"/>
        </w:rPr>
        <w:t>a védelem új alapokra helyezése</w:t>
      </w:r>
      <w:r w:rsidR="00922172">
        <w:rPr>
          <w:rFonts w:ascii="Times New Roman" w:eastAsia="Times New Roman" w:hAnsi="Times New Roman" w:cs="Times New Roman"/>
          <w:lang w:eastAsia="hu-HU"/>
        </w:rPr>
        <w:t xml:space="preserve"> a szakszervezeti taglétszám függvényében</w:t>
      </w:r>
      <w:r w:rsidR="00724754" w:rsidRPr="00387794">
        <w:rPr>
          <w:rFonts w:ascii="Times New Roman" w:eastAsia="Times New Roman" w:hAnsi="Times New Roman" w:cs="Times New Roman"/>
          <w:lang w:eastAsia="hu-HU"/>
        </w:rPr>
        <w:t>.</w:t>
      </w:r>
      <w:r w:rsidR="00724754">
        <w:rPr>
          <w:rStyle w:val="Lbjegyzet-hivatkozs"/>
          <w:rFonts w:ascii="Times New Roman" w:eastAsia="Times New Roman" w:hAnsi="Times New Roman" w:cs="Times New Roman"/>
          <w:lang w:eastAsia="hu-HU"/>
        </w:rPr>
        <w:footnoteReference w:id="29"/>
      </w:r>
      <w:r w:rsidR="00485291">
        <w:rPr>
          <w:rFonts w:ascii="Times New Roman" w:eastAsia="Times New Roman" w:hAnsi="Times New Roman" w:cs="Times New Roman"/>
          <w:lang w:eastAsia="hu-HU"/>
        </w:rPr>
        <w:t xml:space="preserve"> </w:t>
      </w:r>
      <w:r w:rsidR="009C3CC6">
        <w:rPr>
          <w:rFonts w:ascii="Times New Roman" w:eastAsia="Times New Roman" w:hAnsi="Times New Roman" w:cs="Times New Roman"/>
          <w:lang w:eastAsia="hu-HU"/>
        </w:rPr>
        <w:t xml:space="preserve">Megítélésünk szerint indokolt, hogy valamennyi </w:t>
      </w:r>
      <w:r w:rsidR="0028257A">
        <w:rPr>
          <w:rFonts w:ascii="Times New Roman" w:eastAsia="Times New Roman" w:hAnsi="Times New Roman" w:cs="Times New Roman"/>
          <w:lang w:eastAsia="hu-HU"/>
        </w:rPr>
        <w:t xml:space="preserve">munkáltatónál képviselettel rendelkező </w:t>
      </w:r>
      <w:r w:rsidR="009C3CC6">
        <w:rPr>
          <w:rFonts w:ascii="Times New Roman" w:eastAsia="Times New Roman" w:hAnsi="Times New Roman" w:cs="Times New Roman"/>
          <w:lang w:eastAsia="hu-HU"/>
        </w:rPr>
        <w:t>szakszervezet</w:t>
      </w:r>
      <w:r w:rsidR="0028257A">
        <w:rPr>
          <w:rFonts w:ascii="Times New Roman" w:eastAsia="Times New Roman" w:hAnsi="Times New Roman" w:cs="Times New Roman"/>
          <w:lang w:eastAsia="hu-HU"/>
        </w:rPr>
        <w:t xml:space="preserve"> </w:t>
      </w:r>
      <w:r w:rsidR="009C3CC6">
        <w:rPr>
          <w:rFonts w:ascii="Times New Roman" w:eastAsia="Times New Roman" w:hAnsi="Times New Roman" w:cs="Times New Roman"/>
          <w:lang w:eastAsia="hu-HU"/>
        </w:rPr>
        <w:t xml:space="preserve">– taglétszámtól függetlenül – rendelkezzék egy védett </w:t>
      </w:r>
      <w:r w:rsidR="0028257A">
        <w:rPr>
          <w:rFonts w:ascii="Times New Roman" w:eastAsia="Times New Roman" w:hAnsi="Times New Roman" w:cs="Times New Roman"/>
          <w:lang w:eastAsia="hu-HU"/>
        </w:rPr>
        <w:t xml:space="preserve">szakszervezeti tisztségviselővel. Ezen túlmenően </w:t>
      </w:r>
      <w:r w:rsidR="009752DE">
        <w:rPr>
          <w:rFonts w:ascii="Times New Roman" w:eastAsia="Times New Roman" w:hAnsi="Times New Roman" w:cs="Times New Roman"/>
          <w:lang w:eastAsia="hu-HU"/>
        </w:rPr>
        <w:t>a</w:t>
      </w:r>
      <w:r w:rsidR="00E8748B">
        <w:rPr>
          <w:rFonts w:ascii="Times New Roman" w:eastAsia="Times New Roman" w:hAnsi="Times New Roman" w:cs="Times New Roman"/>
          <w:lang w:eastAsia="hu-HU"/>
        </w:rPr>
        <w:t xml:space="preserve"> védett</w:t>
      </w:r>
      <w:r w:rsidR="00FA2B46">
        <w:rPr>
          <w:rFonts w:ascii="Times New Roman" w:eastAsia="Times New Roman" w:hAnsi="Times New Roman" w:cs="Times New Roman"/>
          <w:lang w:eastAsia="hu-HU"/>
        </w:rPr>
        <w:t xml:space="preserve"> szakszervezeti tisztségviselők</w:t>
      </w:r>
      <w:r w:rsidR="00EB709C">
        <w:rPr>
          <w:rFonts w:ascii="Times New Roman" w:eastAsia="Times New Roman" w:hAnsi="Times New Roman" w:cs="Times New Roman"/>
          <w:lang w:eastAsia="hu-HU"/>
        </w:rPr>
        <w:t xml:space="preserve"> szám</w:t>
      </w:r>
      <w:r w:rsidR="009752DE">
        <w:rPr>
          <w:rFonts w:ascii="Times New Roman" w:eastAsia="Times New Roman" w:hAnsi="Times New Roman" w:cs="Times New Roman"/>
          <w:lang w:eastAsia="hu-HU"/>
        </w:rPr>
        <w:t>át</w:t>
      </w:r>
      <w:r w:rsidR="00F561AA">
        <w:rPr>
          <w:rFonts w:ascii="Times New Roman" w:eastAsia="Times New Roman" w:hAnsi="Times New Roman" w:cs="Times New Roman"/>
          <w:lang w:eastAsia="hu-HU"/>
        </w:rPr>
        <w:t xml:space="preserve"> </w:t>
      </w:r>
      <w:r w:rsidR="009752DE">
        <w:rPr>
          <w:rFonts w:ascii="Times New Roman" w:eastAsia="Times New Roman" w:hAnsi="Times New Roman" w:cs="Times New Roman"/>
          <w:lang w:eastAsia="hu-HU"/>
        </w:rPr>
        <w:t>az adott</w:t>
      </w:r>
      <w:r w:rsidR="00F5207C">
        <w:rPr>
          <w:rFonts w:ascii="Times New Roman" w:eastAsia="Times New Roman" w:hAnsi="Times New Roman" w:cs="Times New Roman"/>
          <w:lang w:eastAsia="hu-HU"/>
        </w:rPr>
        <w:t xml:space="preserve"> szakszervezeti taglétszám</w:t>
      </w:r>
      <w:r w:rsidR="00F17E07">
        <w:rPr>
          <w:rFonts w:ascii="Times New Roman" w:eastAsia="Times New Roman" w:hAnsi="Times New Roman" w:cs="Times New Roman"/>
          <w:lang w:eastAsia="hu-HU"/>
        </w:rPr>
        <w:t>hoz lehetne igazítani</w:t>
      </w:r>
      <w:r w:rsidR="001D7BAA">
        <w:rPr>
          <w:rFonts w:ascii="Times New Roman" w:eastAsia="Times New Roman" w:hAnsi="Times New Roman" w:cs="Times New Roman"/>
          <w:lang w:eastAsia="hu-HU"/>
        </w:rPr>
        <w:t xml:space="preserve">, akár oly módon, hogy </w:t>
      </w:r>
      <w:r w:rsidR="00E9621E">
        <w:rPr>
          <w:rFonts w:ascii="Times New Roman" w:eastAsia="Times New Roman" w:hAnsi="Times New Roman" w:cs="Times New Roman"/>
          <w:lang w:eastAsia="hu-HU"/>
        </w:rPr>
        <w:t xml:space="preserve">meghatározott számú </w:t>
      </w:r>
      <w:r w:rsidR="004E74C3">
        <w:rPr>
          <w:rFonts w:ascii="Times New Roman" w:eastAsia="Times New Roman" w:hAnsi="Times New Roman" w:cs="Times New Roman"/>
          <w:lang w:eastAsia="hu-HU"/>
        </w:rPr>
        <w:t>(</w:t>
      </w:r>
      <w:r w:rsidR="00A15FE8">
        <w:rPr>
          <w:rFonts w:ascii="Times New Roman" w:eastAsia="Times New Roman" w:hAnsi="Times New Roman" w:cs="Times New Roman"/>
          <w:lang w:eastAsia="hu-HU"/>
        </w:rPr>
        <w:t>pl. 50</w:t>
      </w:r>
      <w:r w:rsidR="008F1108">
        <w:rPr>
          <w:rFonts w:ascii="Times New Roman" w:eastAsia="Times New Roman" w:hAnsi="Times New Roman" w:cs="Times New Roman"/>
          <w:lang w:eastAsia="hu-HU"/>
        </w:rPr>
        <w:t>-100</w:t>
      </w:r>
      <w:r w:rsidR="004E74C3">
        <w:rPr>
          <w:rFonts w:ascii="Times New Roman" w:eastAsia="Times New Roman" w:hAnsi="Times New Roman" w:cs="Times New Roman"/>
          <w:lang w:eastAsia="hu-HU"/>
        </w:rPr>
        <w:t>)</w:t>
      </w:r>
      <w:r w:rsidR="0005172D">
        <w:rPr>
          <w:rFonts w:ascii="Times New Roman" w:eastAsia="Times New Roman" w:hAnsi="Times New Roman" w:cs="Times New Roman"/>
          <w:lang w:eastAsia="hu-HU"/>
        </w:rPr>
        <w:t xml:space="preserve"> szakszervezeti tag esetén</w:t>
      </w:r>
      <w:r w:rsidR="00E9621E">
        <w:rPr>
          <w:rFonts w:ascii="Times New Roman" w:eastAsia="Times New Roman" w:hAnsi="Times New Roman" w:cs="Times New Roman"/>
          <w:lang w:eastAsia="hu-HU"/>
        </w:rPr>
        <w:t xml:space="preserve"> további egy szakszervezeti tisztségviselő </w:t>
      </w:r>
      <w:r w:rsidR="001D7BAA">
        <w:rPr>
          <w:rFonts w:ascii="Times New Roman" w:eastAsia="Times New Roman" w:hAnsi="Times New Roman" w:cs="Times New Roman"/>
          <w:lang w:eastAsia="hu-HU"/>
        </w:rPr>
        <w:t xml:space="preserve">esne </w:t>
      </w:r>
      <w:r w:rsidR="004E74C3">
        <w:rPr>
          <w:rFonts w:ascii="Times New Roman" w:eastAsia="Times New Roman" w:hAnsi="Times New Roman" w:cs="Times New Roman"/>
          <w:lang w:eastAsia="hu-HU"/>
        </w:rPr>
        <w:t xml:space="preserve">a </w:t>
      </w:r>
      <w:r w:rsidR="001D7BAA">
        <w:rPr>
          <w:rFonts w:ascii="Times New Roman" w:eastAsia="Times New Roman" w:hAnsi="Times New Roman" w:cs="Times New Roman"/>
          <w:lang w:eastAsia="hu-HU"/>
        </w:rPr>
        <w:t>munkajogi védelem hatálya alá.</w:t>
      </w:r>
      <w:r w:rsidR="00F5207C">
        <w:rPr>
          <w:rFonts w:ascii="Times New Roman" w:eastAsia="Times New Roman" w:hAnsi="Times New Roman" w:cs="Times New Roman"/>
          <w:lang w:eastAsia="hu-HU"/>
        </w:rPr>
        <w:t xml:space="preserve"> </w:t>
      </w:r>
      <w:r w:rsidR="004E74C3">
        <w:rPr>
          <w:rFonts w:ascii="Times New Roman" w:eastAsia="Times New Roman" w:hAnsi="Times New Roman" w:cs="Times New Roman"/>
          <w:lang w:eastAsia="hu-HU"/>
        </w:rPr>
        <w:t xml:space="preserve">A taglétszám </w:t>
      </w:r>
      <w:r w:rsidR="002C389A">
        <w:rPr>
          <w:rFonts w:ascii="Times New Roman" w:eastAsia="Times New Roman" w:hAnsi="Times New Roman" w:cs="Times New Roman"/>
          <w:lang w:eastAsia="hu-HU"/>
        </w:rPr>
        <w:t>megállapításához</w:t>
      </w:r>
      <w:r w:rsidR="004E74C3">
        <w:rPr>
          <w:rFonts w:ascii="Times New Roman" w:eastAsia="Times New Roman" w:hAnsi="Times New Roman" w:cs="Times New Roman"/>
          <w:lang w:eastAsia="hu-HU"/>
        </w:rPr>
        <w:t xml:space="preserve"> ugyanakkor </w:t>
      </w:r>
      <w:r w:rsidR="00F84EEA">
        <w:rPr>
          <w:rFonts w:ascii="Times New Roman" w:eastAsia="Times New Roman" w:hAnsi="Times New Roman" w:cs="Times New Roman"/>
          <w:lang w:eastAsia="hu-HU"/>
        </w:rPr>
        <w:t>szükség</w:t>
      </w:r>
      <w:r w:rsidR="00C2281E">
        <w:rPr>
          <w:rFonts w:ascii="Times New Roman" w:eastAsia="Times New Roman" w:hAnsi="Times New Roman" w:cs="Times New Roman"/>
          <w:lang w:eastAsia="hu-HU"/>
        </w:rPr>
        <w:t xml:space="preserve">essé válik </w:t>
      </w:r>
      <w:r w:rsidR="0010299B">
        <w:rPr>
          <w:rFonts w:ascii="Times New Roman" w:eastAsia="Times New Roman" w:hAnsi="Times New Roman" w:cs="Times New Roman"/>
          <w:lang w:eastAsia="hu-HU"/>
        </w:rPr>
        <w:t xml:space="preserve">a </w:t>
      </w:r>
      <w:r w:rsidR="0010299B">
        <w:rPr>
          <w:rFonts w:ascii="Times New Roman" w:eastAsia="Calibri" w:hAnsi="Times New Roman" w:cs="Times New Roman"/>
        </w:rPr>
        <w:t>taglétszám igazolásának</w:t>
      </w:r>
      <w:r w:rsidR="00485291">
        <w:rPr>
          <w:rFonts w:ascii="Times New Roman" w:eastAsia="Times New Roman" w:hAnsi="Times New Roman" w:cs="Times New Roman"/>
          <w:lang w:eastAsia="hu-HU"/>
        </w:rPr>
        <w:t xml:space="preserve"> </w:t>
      </w:r>
      <w:r w:rsidR="004C307C">
        <w:rPr>
          <w:rFonts w:ascii="Times New Roman" w:eastAsia="Times New Roman" w:hAnsi="Times New Roman" w:cs="Times New Roman"/>
          <w:lang w:eastAsia="hu-HU"/>
        </w:rPr>
        <w:t>5. alcím alatt</w:t>
      </w:r>
      <w:r w:rsidR="00485291">
        <w:rPr>
          <w:rFonts w:ascii="Times New Roman" w:eastAsia="Times New Roman" w:hAnsi="Times New Roman" w:cs="Times New Roman"/>
          <w:lang w:eastAsia="hu-HU"/>
        </w:rPr>
        <w:t xml:space="preserve"> </w:t>
      </w:r>
      <w:r w:rsidR="0010299B">
        <w:rPr>
          <w:rFonts w:ascii="Times New Roman" w:eastAsia="Times New Roman" w:hAnsi="Times New Roman" w:cs="Times New Roman"/>
          <w:lang w:eastAsia="hu-HU"/>
        </w:rPr>
        <w:t xml:space="preserve">kifejtett </w:t>
      </w:r>
      <w:r w:rsidR="00FA2B46">
        <w:rPr>
          <w:rFonts w:ascii="Times New Roman" w:eastAsia="Times New Roman" w:hAnsi="Times New Roman" w:cs="Times New Roman"/>
          <w:lang w:eastAsia="hu-HU"/>
        </w:rPr>
        <w:t xml:space="preserve">új </w:t>
      </w:r>
      <w:r w:rsidR="0010299B">
        <w:rPr>
          <w:rFonts w:ascii="Times New Roman" w:eastAsia="Times New Roman" w:hAnsi="Times New Roman" w:cs="Times New Roman"/>
          <w:lang w:eastAsia="hu-HU"/>
        </w:rPr>
        <w:t>mechanizmus</w:t>
      </w:r>
      <w:r w:rsidR="00FA2B46">
        <w:rPr>
          <w:rFonts w:ascii="Times New Roman" w:eastAsia="Times New Roman" w:hAnsi="Times New Roman" w:cs="Times New Roman"/>
          <w:lang w:eastAsia="hu-HU"/>
        </w:rPr>
        <w:t>á</w:t>
      </w:r>
      <w:r w:rsidR="002C389A">
        <w:rPr>
          <w:rFonts w:ascii="Times New Roman" w:eastAsia="Times New Roman" w:hAnsi="Times New Roman" w:cs="Times New Roman"/>
          <w:lang w:eastAsia="hu-HU"/>
        </w:rPr>
        <w:t>nak bevezetése</w:t>
      </w:r>
      <w:r w:rsidR="0010299B">
        <w:rPr>
          <w:rFonts w:ascii="Times New Roman" w:eastAsia="Times New Roman" w:hAnsi="Times New Roman" w:cs="Times New Roman"/>
          <w:lang w:eastAsia="hu-HU"/>
        </w:rPr>
        <w:t>.</w:t>
      </w:r>
    </w:p>
    <w:p w14:paraId="3729EF23" w14:textId="77777777" w:rsidR="003F4957" w:rsidRPr="00387794" w:rsidRDefault="003F4957" w:rsidP="008614CF">
      <w:pPr>
        <w:rPr>
          <w:highlight w:val="yellow"/>
        </w:rPr>
      </w:pPr>
    </w:p>
    <w:p w14:paraId="12E6D3C6" w14:textId="3BC76152" w:rsidR="008614CF" w:rsidRPr="00387794" w:rsidRDefault="00570C1F" w:rsidP="00387794">
      <w:pPr>
        <w:shd w:val="clear" w:color="auto" w:fill="FFFFFF"/>
        <w:jc w:val="both"/>
        <w:rPr>
          <w:rFonts w:ascii="Times New Roman" w:eastAsia="Times New Roman" w:hAnsi="Times New Roman" w:cs="Times New Roman"/>
          <w:b/>
          <w:bCs/>
          <w:color w:val="000000" w:themeColor="text1"/>
          <w:lang w:eastAsia="hu-HU"/>
        </w:rPr>
      </w:pPr>
      <w:r>
        <w:rPr>
          <w:rFonts w:ascii="Times New Roman" w:eastAsia="Times New Roman" w:hAnsi="Times New Roman" w:cs="Times New Roman"/>
          <w:b/>
          <w:bCs/>
          <w:color w:val="000000" w:themeColor="text1"/>
          <w:lang w:eastAsia="hu-HU"/>
        </w:rPr>
        <w:lastRenderedPageBreak/>
        <w:t>4</w:t>
      </w:r>
      <w:r w:rsidR="00003E4C">
        <w:rPr>
          <w:rFonts w:ascii="Times New Roman" w:eastAsia="Times New Roman" w:hAnsi="Times New Roman" w:cs="Times New Roman"/>
          <w:b/>
          <w:bCs/>
          <w:color w:val="000000" w:themeColor="text1"/>
          <w:lang w:eastAsia="hu-HU"/>
        </w:rPr>
        <w:t xml:space="preserve">. </w:t>
      </w:r>
      <w:r w:rsidR="008614CF" w:rsidRPr="00387794">
        <w:rPr>
          <w:rFonts w:ascii="Times New Roman" w:eastAsia="Times New Roman" w:hAnsi="Times New Roman" w:cs="Times New Roman"/>
          <w:b/>
          <w:bCs/>
          <w:color w:val="000000" w:themeColor="text1"/>
          <w:lang w:eastAsia="hu-HU"/>
        </w:rPr>
        <w:t>A szakszervezet képviseleti joga</w:t>
      </w:r>
    </w:p>
    <w:p w14:paraId="6008649E" w14:textId="77777777" w:rsidR="008614CF" w:rsidRPr="00387794" w:rsidRDefault="008614CF" w:rsidP="00387794">
      <w:pPr>
        <w:shd w:val="clear" w:color="auto" w:fill="FFFFFF"/>
        <w:jc w:val="both"/>
        <w:rPr>
          <w:rFonts w:ascii="Times New Roman" w:eastAsia="Times New Roman" w:hAnsi="Times New Roman" w:cs="Times New Roman"/>
          <w:color w:val="000000" w:themeColor="text1"/>
          <w:lang w:eastAsia="hu-HU"/>
        </w:rPr>
      </w:pPr>
    </w:p>
    <w:p w14:paraId="26053ABB" w14:textId="5DC160D1" w:rsidR="00E06C8A" w:rsidRDefault="00E06C8A" w:rsidP="00387794">
      <w:pPr>
        <w:shd w:val="clear" w:color="auto" w:fill="FFFFFF"/>
        <w:jc w:val="both"/>
        <w:rPr>
          <w:rFonts w:ascii="Times New Roman" w:eastAsia="Times New Roman" w:hAnsi="Times New Roman" w:cs="Times New Roman"/>
          <w:color w:val="000000" w:themeColor="text1"/>
          <w:lang w:eastAsia="hu-HU"/>
        </w:rPr>
      </w:pPr>
      <w:r w:rsidRPr="00387794">
        <w:rPr>
          <w:rFonts w:ascii="Times New Roman" w:eastAsia="Times New Roman" w:hAnsi="Times New Roman" w:cs="Times New Roman"/>
          <w:color w:val="000000" w:themeColor="text1"/>
          <w:lang w:eastAsia="hu-HU"/>
        </w:rPr>
        <w:t>A</w:t>
      </w:r>
      <w:r w:rsidR="00067DF3">
        <w:rPr>
          <w:rFonts w:ascii="Times New Roman" w:eastAsia="Times New Roman" w:hAnsi="Times New Roman" w:cs="Times New Roman"/>
          <w:color w:val="000000" w:themeColor="text1"/>
          <w:lang w:eastAsia="hu-HU"/>
        </w:rPr>
        <w:t xml:space="preserve"> hatályos Mt. alapján a</w:t>
      </w:r>
      <w:r w:rsidRPr="00387794">
        <w:rPr>
          <w:rFonts w:ascii="Times New Roman" w:eastAsia="Times New Roman" w:hAnsi="Times New Roman" w:cs="Times New Roman"/>
          <w:color w:val="000000" w:themeColor="text1"/>
          <w:lang w:eastAsia="hu-HU"/>
        </w:rPr>
        <w:t xml:space="preserve"> szakszervezet joga, hogy a munkavállalókat a munkáltatóval vagy ennek érdekképviseleti szervezetével szemben anyagi, szociális, valamint élet- és munkakörülményeiket érintő jogaikkal és kötelezettségeikkel kapcsolatban képviselje.</w:t>
      </w:r>
      <w:r w:rsidR="00067DF3">
        <w:rPr>
          <w:rFonts w:ascii="Times New Roman" w:eastAsia="Times New Roman" w:hAnsi="Times New Roman" w:cs="Times New Roman"/>
          <w:color w:val="000000" w:themeColor="text1"/>
          <w:lang w:eastAsia="hu-HU"/>
        </w:rPr>
        <w:t xml:space="preserve"> </w:t>
      </w:r>
      <w:r w:rsidR="008144A0">
        <w:rPr>
          <w:rFonts w:ascii="Times New Roman" w:eastAsia="Times New Roman" w:hAnsi="Times New Roman" w:cs="Times New Roman"/>
          <w:color w:val="000000" w:themeColor="text1"/>
          <w:lang w:eastAsia="hu-HU"/>
        </w:rPr>
        <w:t>Ugyancsak jogosult a</w:t>
      </w:r>
      <w:r w:rsidRPr="00387794">
        <w:rPr>
          <w:rFonts w:ascii="Times New Roman" w:eastAsia="Times New Roman" w:hAnsi="Times New Roman" w:cs="Times New Roman"/>
          <w:color w:val="000000" w:themeColor="text1"/>
          <w:lang w:eastAsia="hu-HU"/>
        </w:rPr>
        <w:t xml:space="preserve"> szakszervezet a tagját – meghatalmazás alapján – gazdasági és szociális érdekeinek védelme céljából bíróság, hatóság és egyéb szervek előtt képviselni.</w:t>
      </w:r>
      <w:r w:rsidR="008144A0">
        <w:rPr>
          <w:rStyle w:val="Lbjegyzet-hivatkozs"/>
          <w:rFonts w:ascii="Times New Roman" w:eastAsia="Times New Roman" w:hAnsi="Times New Roman" w:cs="Times New Roman"/>
          <w:color w:val="000000" w:themeColor="text1"/>
          <w:lang w:eastAsia="hu-HU"/>
        </w:rPr>
        <w:footnoteReference w:id="30"/>
      </w:r>
    </w:p>
    <w:p w14:paraId="5EAC13EE" w14:textId="77777777" w:rsidR="00690797" w:rsidRPr="00387794" w:rsidRDefault="00690797" w:rsidP="00387794">
      <w:pPr>
        <w:shd w:val="clear" w:color="auto" w:fill="FFFFFF"/>
        <w:jc w:val="both"/>
        <w:rPr>
          <w:rFonts w:ascii="Times New Roman" w:eastAsia="Times New Roman" w:hAnsi="Times New Roman" w:cs="Times New Roman"/>
          <w:color w:val="000000" w:themeColor="text1"/>
          <w:lang w:eastAsia="hu-HU"/>
        </w:rPr>
      </w:pPr>
    </w:p>
    <w:p w14:paraId="339F93FA" w14:textId="14141DFD" w:rsidR="00690797" w:rsidRDefault="00766C44" w:rsidP="006B1CD1">
      <w:pPr>
        <w:shd w:val="clear" w:color="auto" w:fill="FFFFFF"/>
        <w:jc w:val="both"/>
        <w:rPr>
          <w:rFonts w:ascii="Times New Roman" w:eastAsia="Times New Roman" w:hAnsi="Times New Roman" w:cs="Times New Roman"/>
          <w:color w:val="000000" w:themeColor="text1"/>
          <w:lang w:eastAsia="hu-HU"/>
        </w:rPr>
      </w:pPr>
      <w:r w:rsidRPr="00387794">
        <w:rPr>
          <w:rFonts w:ascii="Times New Roman" w:eastAsia="Times New Roman" w:hAnsi="Times New Roman" w:cs="Times New Roman"/>
          <w:color w:val="000000" w:themeColor="text1"/>
          <w:lang w:eastAsia="hu-HU"/>
        </w:rPr>
        <w:t>A szakszervezetek képviseleti joga kapcsán</w:t>
      </w:r>
      <w:r w:rsidR="00D57DFE" w:rsidRPr="00387794">
        <w:rPr>
          <w:rFonts w:ascii="Times New Roman" w:eastAsia="Times New Roman" w:hAnsi="Times New Roman" w:cs="Times New Roman"/>
          <w:color w:val="000000" w:themeColor="text1"/>
          <w:lang w:eastAsia="hu-HU"/>
        </w:rPr>
        <w:t xml:space="preserve"> </w:t>
      </w:r>
      <w:r w:rsidR="00690797">
        <w:rPr>
          <w:rFonts w:ascii="Times New Roman" w:eastAsia="Times New Roman" w:hAnsi="Times New Roman" w:cs="Times New Roman"/>
          <w:color w:val="000000" w:themeColor="text1"/>
          <w:lang w:eastAsia="hu-HU"/>
        </w:rPr>
        <w:t xml:space="preserve">javasoljuk </w:t>
      </w:r>
      <w:r w:rsidR="00D57DFE" w:rsidRPr="00387794">
        <w:rPr>
          <w:rFonts w:ascii="Times New Roman" w:eastAsia="Times New Roman" w:hAnsi="Times New Roman" w:cs="Times New Roman"/>
          <w:color w:val="000000" w:themeColor="text1"/>
          <w:lang w:eastAsia="hu-HU"/>
        </w:rPr>
        <w:t>a közérdekű igényérvényesítés sz</w:t>
      </w:r>
      <w:r w:rsidR="00E719C0">
        <w:rPr>
          <w:rFonts w:ascii="Times New Roman" w:eastAsia="Times New Roman" w:hAnsi="Times New Roman" w:cs="Times New Roman"/>
          <w:color w:val="000000" w:themeColor="text1"/>
          <w:lang w:eastAsia="hu-HU"/>
        </w:rPr>
        <w:t>abályozásá</w:t>
      </w:r>
      <w:r w:rsidR="00690797">
        <w:rPr>
          <w:rFonts w:ascii="Times New Roman" w:eastAsia="Times New Roman" w:hAnsi="Times New Roman" w:cs="Times New Roman"/>
          <w:color w:val="000000" w:themeColor="text1"/>
          <w:lang w:eastAsia="hu-HU"/>
        </w:rPr>
        <w:t>t</w:t>
      </w:r>
      <w:r w:rsidR="00D021FB">
        <w:rPr>
          <w:rFonts w:ascii="Times New Roman" w:eastAsia="Times New Roman" w:hAnsi="Times New Roman" w:cs="Times New Roman"/>
          <w:color w:val="000000" w:themeColor="text1"/>
          <w:lang w:eastAsia="hu-HU"/>
        </w:rPr>
        <w:t xml:space="preserve">. </w:t>
      </w:r>
      <w:r w:rsidR="00690797">
        <w:rPr>
          <w:rFonts w:ascii="Times New Roman" w:eastAsia="Times New Roman" w:hAnsi="Times New Roman" w:cs="Times New Roman"/>
          <w:color w:val="000000" w:themeColor="text1"/>
          <w:lang w:eastAsia="hu-HU"/>
        </w:rPr>
        <w:t xml:space="preserve">Indokoltnak tartjuk annak </w:t>
      </w:r>
      <w:r w:rsidR="00420A25">
        <w:rPr>
          <w:rFonts w:ascii="Times New Roman" w:eastAsia="Times New Roman" w:hAnsi="Times New Roman" w:cs="Times New Roman"/>
          <w:color w:val="000000" w:themeColor="text1"/>
          <w:lang w:eastAsia="hu-HU"/>
        </w:rPr>
        <w:t>lehetővé t</w:t>
      </w:r>
      <w:r w:rsidR="00690797">
        <w:rPr>
          <w:rFonts w:ascii="Times New Roman" w:eastAsia="Times New Roman" w:hAnsi="Times New Roman" w:cs="Times New Roman"/>
          <w:color w:val="000000" w:themeColor="text1"/>
          <w:lang w:eastAsia="hu-HU"/>
        </w:rPr>
        <w:t>ételét</w:t>
      </w:r>
      <w:r w:rsidR="00420A25">
        <w:rPr>
          <w:rFonts w:ascii="Times New Roman" w:eastAsia="Times New Roman" w:hAnsi="Times New Roman" w:cs="Times New Roman"/>
          <w:color w:val="000000" w:themeColor="text1"/>
          <w:lang w:eastAsia="hu-HU"/>
        </w:rPr>
        <w:t>, hogy a szakszervezet a munkál</w:t>
      </w:r>
      <w:r w:rsidR="00BF279B">
        <w:rPr>
          <w:rFonts w:ascii="Times New Roman" w:eastAsia="Times New Roman" w:hAnsi="Times New Roman" w:cs="Times New Roman"/>
          <w:color w:val="000000" w:themeColor="text1"/>
          <w:lang w:eastAsia="hu-HU"/>
        </w:rPr>
        <w:t>tatóval szemben</w:t>
      </w:r>
      <w:r w:rsidR="00D57DFE" w:rsidRPr="00387794">
        <w:rPr>
          <w:rFonts w:ascii="Times New Roman" w:eastAsia="Times New Roman" w:hAnsi="Times New Roman" w:cs="Times New Roman"/>
          <w:color w:val="000000" w:themeColor="text1"/>
          <w:lang w:eastAsia="hu-HU"/>
        </w:rPr>
        <w:t> közérdekű kereset</w:t>
      </w:r>
      <w:r w:rsidR="00BF279B">
        <w:rPr>
          <w:rFonts w:ascii="Times New Roman" w:eastAsia="Times New Roman" w:hAnsi="Times New Roman" w:cs="Times New Roman"/>
          <w:color w:val="000000" w:themeColor="text1"/>
          <w:lang w:eastAsia="hu-HU"/>
        </w:rPr>
        <w:t>et</w:t>
      </w:r>
      <w:r w:rsidR="00BC27B0">
        <w:rPr>
          <w:rFonts w:ascii="Times New Roman" w:eastAsia="Times New Roman" w:hAnsi="Times New Roman" w:cs="Times New Roman"/>
          <w:color w:val="000000" w:themeColor="text1"/>
          <w:lang w:eastAsia="hu-HU"/>
        </w:rPr>
        <w:t xml:space="preserve"> vagy közigazgatási </w:t>
      </w:r>
      <w:r w:rsidR="00C50D2A">
        <w:rPr>
          <w:rFonts w:ascii="Times New Roman" w:eastAsia="Times New Roman" w:hAnsi="Times New Roman" w:cs="Times New Roman"/>
          <w:color w:val="000000" w:themeColor="text1"/>
          <w:lang w:eastAsia="hu-HU"/>
        </w:rPr>
        <w:t xml:space="preserve">(foglalkoztatás-felügyeleti) </w:t>
      </w:r>
      <w:r w:rsidR="00BC27B0">
        <w:rPr>
          <w:rFonts w:ascii="Times New Roman" w:eastAsia="Times New Roman" w:hAnsi="Times New Roman" w:cs="Times New Roman"/>
          <w:color w:val="000000" w:themeColor="text1"/>
          <w:lang w:eastAsia="hu-HU"/>
        </w:rPr>
        <w:t>hatósági eljárást</w:t>
      </w:r>
      <w:r w:rsidR="00BF279B">
        <w:rPr>
          <w:rFonts w:ascii="Times New Roman" w:eastAsia="Times New Roman" w:hAnsi="Times New Roman" w:cs="Times New Roman"/>
          <w:color w:val="000000" w:themeColor="text1"/>
          <w:lang w:eastAsia="hu-HU"/>
        </w:rPr>
        <w:t xml:space="preserve"> indítson</w:t>
      </w:r>
      <w:r w:rsidR="007E5973">
        <w:rPr>
          <w:rFonts w:ascii="Times New Roman" w:eastAsia="Times New Roman" w:hAnsi="Times New Roman" w:cs="Times New Roman"/>
          <w:color w:val="000000" w:themeColor="text1"/>
          <w:lang w:eastAsia="hu-HU"/>
        </w:rPr>
        <w:t xml:space="preserve"> </w:t>
      </w:r>
      <w:r w:rsidR="00CB3709">
        <w:rPr>
          <w:rFonts w:ascii="Times New Roman" w:eastAsia="Times New Roman" w:hAnsi="Times New Roman" w:cs="Times New Roman"/>
          <w:color w:val="000000" w:themeColor="text1"/>
          <w:lang w:eastAsia="hu-HU"/>
        </w:rPr>
        <w:t>egyes,</w:t>
      </w:r>
      <w:r w:rsidR="007E5973" w:rsidRPr="00387794">
        <w:rPr>
          <w:rFonts w:ascii="Times New Roman" w:eastAsia="Times New Roman" w:hAnsi="Times New Roman" w:cs="Times New Roman"/>
          <w:color w:val="000000" w:themeColor="text1"/>
          <w:lang w:eastAsia="hu-HU"/>
        </w:rPr>
        <w:t xml:space="preserve"> </w:t>
      </w:r>
      <w:r w:rsidR="00022620">
        <w:rPr>
          <w:rFonts w:ascii="Times New Roman" w:eastAsia="Times New Roman" w:hAnsi="Times New Roman" w:cs="Times New Roman"/>
          <w:color w:val="000000" w:themeColor="text1"/>
          <w:lang w:eastAsia="hu-HU"/>
        </w:rPr>
        <w:t>munkaviszonyra vonatkozó szabály</w:t>
      </w:r>
      <w:r w:rsidR="00CB3709">
        <w:rPr>
          <w:rFonts w:ascii="Times New Roman" w:eastAsia="Times New Roman" w:hAnsi="Times New Roman" w:cs="Times New Roman"/>
          <w:color w:val="000000" w:themeColor="text1"/>
          <w:lang w:eastAsia="hu-HU"/>
        </w:rPr>
        <w:t>ban foglalt előírások</w:t>
      </w:r>
      <w:r w:rsidR="007E5973" w:rsidRPr="00387794">
        <w:rPr>
          <w:rFonts w:ascii="Times New Roman" w:eastAsia="Times New Roman" w:hAnsi="Times New Roman" w:cs="Times New Roman"/>
          <w:color w:val="000000" w:themeColor="text1"/>
          <w:lang w:eastAsia="hu-HU"/>
        </w:rPr>
        <w:t xml:space="preserve"> </w:t>
      </w:r>
      <w:r w:rsidR="00022620">
        <w:rPr>
          <w:rFonts w:ascii="Times New Roman" w:eastAsia="Times New Roman" w:hAnsi="Times New Roman" w:cs="Times New Roman"/>
          <w:color w:val="000000" w:themeColor="text1"/>
          <w:lang w:eastAsia="hu-HU"/>
        </w:rPr>
        <w:t>megszegése</w:t>
      </w:r>
      <w:r w:rsidR="00144D9E">
        <w:rPr>
          <w:rFonts w:ascii="Times New Roman" w:eastAsia="Times New Roman" w:hAnsi="Times New Roman" w:cs="Times New Roman"/>
          <w:color w:val="000000" w:themeColor="text1"/>
          <w:lang w:eastAsia="hu-HU"/>
        </w:rPr>
        <w:t xml:space="preserve"> </w:t>
      </w:r>
      <w:r w:rsidR="003B07FC">
        <w:rPr>
          <w:rFonts w:ascii="Times New Roman" w:eastAsia="Times New Roman" w:hAnsi="Times New Roman" w:cs="Times New Roman"/>
          <w:color w:val="000000" w:themeColor="text1"/>
          <w:lang w:eastAsia="hu-HU"/>
        </w:rPr>
        <w:t>esetén</w:t>
      </w:r>
      <w:r w:rsidR="00CB3709">
        <w:rPr>
          <w:rFonts w:ascii="Times New Roman" w:eastAsia="Times New Roman" w:hAnsi="Times New Roman" w:cs="Times New Roman"/>
          <w:color w:val="000000" w:themeColor="text1"/>
          <w:lang w:eastAsia="hu-HU"/>
        </w:rPr>
        <w:t>, illetve</w:t>
      </w:r>
      <w:r w:rsidR="007E5973" w:rsidRPr="00387794">
        <w:rPr>
          <w:rFonts w:ascii="Times New Roman" w:eastAsia="Times New Roman" w:hAnsi="Times New Roman" w:cs="Times New Roman"/>
          <w:color w:val="000000" w:themeColor="text1"/>
          <w:lang w:eastAsia="hu-HU"/>
        </w:rPr>
        <w:t xml:space="preserve"> </w:t>
      </w:r>
      <w:r w:rsidR="003B07FC">
        <w:rPr>
          <w:rFonts w:ascii="Times New Roman" w:eastAsia="Times New Roman" w:hAnsi="Times New Roman" w:cs="Times New Roman"/>
          <w:color w:val="000000" w:themeColor="text1"/>
          <w:lang w:eastAsia="hu-HU"/>
        </w:rPr>
        <w:t xml:space="preserve">amennyiben </w:t>
      </w:r>
      <w:r w:rsidR="007E5973" w:rsidRPr="00387794">
        <w:rPr>
          <w:rFonts w:ascii="Times New Roman" w:eastAsia="Times New Roman" w:hAnsi="Times New Roman" w:cs="Times New Roman"/>
          <w:color w:val="000000" w:themeColor="text1"/>
          <w:lang w:eastAsia="hu-HU"/>
        </w:rPr>
        <w:t xml:space="preserve">annak közvetlen veszélye fenyeget, </w:t>
      </w:r>
      <w:r w:rsidR="003B07FC">
        <w:rPr>
          <w:rFonts w:ascii="Times New Roman" w:eastAsia="Times New Roman" w:hAnsi="Times New Roman" w:cs="Times New Roman"/>
          <w:color w:val="000000" w:themeColor="text1"/>
          <w:lang w:eastAsia="hu-HU"/>
        </w:rPr>
        <w:t>feltéve, hogy az</w:t>
      </w:r>
      <w:r w:rsidR="00144D9E" w:rsidRPr="00AE664C">
        <w:rPr>
          <w:rFonts w:ascii="Times New Roman" w:eastAsia="Times New Roman" w:hAnsi="Times New Roman" w:cs="Times New Roman"/>
          <w:color w:val="000000" w:themeColor="text1"/>
          <w:lang w:eastAsia="hu-HU"/>
        </w:rPr>
        <w:t xml:space="preserve"> a munkavállalók nagyobb csoportját érinti</w:t>
      </w:r>
      <w:r w:rsidR="00144D9E">
        <w:rPr>
          <w:rFonts w:ascii="Times New Roman" w:eastAsia="Times New Roman" w:hAnsi="Times New Roman" w:cs="Times New Roman"/>
          <w:color w:val="000000" w:themeColor="text1"/>
          <w:lang w:eastAsia="hu-HU"/>
        </w:rPr>
        <w:t>,</w:t>
      </w:r>
      <w:r w:rsidR="00144D9E" w:rsidRPr="00144D9E">
        <w:rPr>
          <w:rFonts w:ascii="Times New Roman" w:eastAsia="Times New Roman" w:hAnsi="Times New Roman" w:cs="Times New Roman"/>
          <w:color w:val="000000" w:themeColor="text1"/>
          <w:lang w:eastAsia="hu-HU"/>
        </w:rPr>
        <w:t xml:space="preserve"> </w:t>
      </w:r>
      <w:r w:rsidR="003B07FC">
        <w:rPr>
          <w:rFonts w:ascii="Times New Roman" w:eastAsia="Times New Roman" w:hAnsi="Times New Roman" w:cs="Times New Roman"/>
          <w:color w:val="000000" w:themeColor="text1"/>
          <w:lang w:eastAsia="hu-HU"/>
        </w:rPr>
        <w:t>ám</w:t>
      </w:r>
      <w:r w:rsidR="007E5973" w:rsidRPr="00387794">
        <w:rPr>
          <w:rFonts w:ascii="Times New Roman" w:eastAsia="Times New Roman" w:hAnsi="Times New Roman" w:cs="Times New Roman"/>
          <w:color w:val="000000" w:themeColor="text1"/>
          <w:lang w:eastAsia="hu-HU"/>
        </w:rPr>
        <w:t xml:space="preserve"> az érintett munkavállaló</w:t>
      </w:r>
      <w:r w:rsidR="00144D9E">
        <w:rPr>
          <w:rFonts w:ascii="Times New Roman" w:eastAsia="Times New Roman" w:hAnsi="Times New Roman" w:cs="Times New Roman"/>
          <w:color w:val="000000" w:themeColor="text1"/>
          <w:lang w:eastAsia="hu-HU"/>
        </w:rPr>
        <w:t xml:space="preserve">k </w:t>
      </w:r>
      <w:r w:rsidR="007E5973" w:rsidRPr="00387794">
        <w:rPr>
          <w:rFonts w:ascii="Times New Roman" w:eastAsia="Times New Roman" w:hAnsi="Times New Roman" w:cs="Times New Roman"/>
          <w:color w:val="000000" w:themeColor="text1"/>
          <w:lang w:eastAsia="hu-HU"/>
        </w:rPr>
        <w:t>pontos köre nem határozható meg</w:t>
      </w:r>
      <w:r w:rsidR="00144D9E">
        <w:rPr>
          <w:rFonts w:ascii="Times New Roman" w:eastAsia="Times New Roman" w:hAnsi="Times New Roman" w:cs="Times New Roman"/>
          <w:color w:val="000000" w:themeColor="text1"/>
          <w:lang w:eastAsia="hu-HU"/>
        </w:rPr>
        <w:t>.</w:t>
      </w:r>
      <w:r w:rsidR="008D4F8F">
        <w:rPr>
          <w:rFonts w:ascii="Times New Roman" w:eastAsia="Times New Roman" w:hAnsi="Times New Roman" w:cs="Times New Roman"/>
          <w:color w:val="000000" w:themeColor="text1"/>
          <w:lang w:eastAsia="hu-HU"/>
        </w:rPr>
        <w:t xml:space="preserve"> </w:t>
      </w:r>
    </w:p>
    <w:p w14:paraId="75AF07A3" w14:textId="77777777" w:rsidR="00690797" w:rsidRDefault="00690797" w:rsidP="006B1CD1">
      <w:pPr>
        <w:shd w:val="clear" w:color="auto" w:fill="FFFFFF"/>
        <w:jc w:val="both"/>
        <w:rPr>
          <w:rFonts w:ascii="Times New Roman" w:eastAsia="Times New Roman" w:hAnsi="Times New Roman" w:cs="Times New Roman"/>
          <w:color w:val="000000" w:themeColor="text1"/>
          <w:lang w:eastAsia="hu-HU"/>
        </w:rPr>
      </w:pPr>
    </w:p>
    <w:p w14:paraId="21F736BA" w14:textId="0BFCA0BC" w:rsidR="006B1CD1" w:rsidRDefault="00173371" w:rsidP="006B1CD1">
      <w:pPr>
        <w:shd w:val="clear" w:color="auto" w:fill="FFFFFF"/>
        <w:jc w:val="both"/>
        <w:rPr>
          <w:rFonts w:ascii="Times New Roman" w:eastAsia="Times New Roman" w:hAnsi="Times New Roman" w:cs="Times New Roman"/>
          <w:color w:val="000000" w:themeColor="text1"/>
          <w:lang w:eastAsia="hu-HU"/>
        </w:rPr>
      </w:pPr>
      <w:r>
        <w:rPr>
          <w:rFonts w:ascii="Times New Roman" w:eastAsia="Times New Roman" w:hAnsi="Times New Roman" w:cs="Times New Roman"/>
          <w:color w:val="000000" w:themeColor="text1"/>
          <w:lang w:eastAsia="hu-HU"/>
        </w:rPr>
        <w:t>Példa lehet erre</w:t>
      </w:r>
      <w:r w:rsidR="00A53BB7">
        <w:rPr>
          <w:rFonts w:ascii="Times New Roman" w:eastAsia="Times New Roman" w:hAnsi="Times New Roman" w:cs="Times New Roman"/>
          <w:color w:val="000000" w:themeColor="text1"/>
          <w:lang w:eastAsia="hu-HU"/>
        </w:rPr>
        <w:t xml:space="preserve"> a munkaidő beosztásának, a napi vagy a heti pihenőidő szabályainak, a szabadság kiadásának, a munkavállalók személyes adatainak kezelésére irányadó szabályoknak, </w:t>
      </w:r>
      <w:r w:rsidR="00A53BB7" w:rsidRPr="008266B8">
        <w:rPr>
          <w:rFonts w:ascii="Times New Roman" w:eastAsia="Times New Roman" w:hAnsi="Times New Roman" w:cs="Times New Roman"/>
          <w:color w:val="000000" w:themeColor="text1"/>
          <w:lang w:eastAsia="hu-HU"/>
        </w:rPr>
        <w:t> a munkabér mértékére</w:t>
      </w:r>
      <w:r w:rsidR="00F00F62">
        <w:rPr>
          <w:rFonts w:ascii="Times New Roman" w:eastAsia="Times New Roman" w:hAnsi="Times New Roman" w:cs="Times New Roman"/>
          <w:color w:val="000000" w:themeColor="text1"/>
          <w:lang w:eastAsia="hu-HU"/>
        </w:rPr>
        <w:t xml:space="preserve">, egyes bérpótlékok megfizetésére </w:t>
      </w:r>
      <w:r w:rsidR="00A53BB7">
        <w:rPr>
          <w:rFonts w:ascii="Times New Roman" w:eastAsia="Times New Roman" w:hAnsi="Times New Roman" w:cs="Times New Roman"/>
          <w:color w:val="000000" w:themeColor="text1"/>
          <w:lang w:eastAsia="hu-HU"/>
        </w:rPr>
        <w:t xml:space="preserve">vagy </w:t>
      </w:r>
      <w:r w:rsidR="00A53BB7" w:rsidRPr="008266B8">
        <w:rPr>
          <w:rFonts w:ascii="Times New Roman" w:eastAsia="Times New Roman" w:hAnsi="Times New Roman" w:cs="Times New Roman"/>
          <w:color w:val="000000" w:themeColor="text1"/>
          <w:lang w:eastAsia="hu-HU"/>
        </w:rPr>
        <w:t>a munkabér védelmére vonatkozó rendelkezések</w:t>
      </w:r>
      <w:r w:rsidR="00A53BB7">
        <w:rPr>
          <w:rFonts w:ascii="Times New Roman" w:eastAsia="Times New Roman" w:hAnsi="Times New Roman" w:cs="Times New Roman"/>
          <w:color w:val="000000" w:themeColor="text1"/>
          <w:lang w:eastAsia="hu-HU"/>
        </w:rPr>
        <w:t xml:space="preserve"> megsértése</w:t>
      </w:r>
      <w:r>
        <w:rPr>
          <w:rFonts w:ascii="Times New Roman" w:eastAsia="Times New Roman" w:hAnsi="Times New Roman" w:cs="Times New Roman"/>
          <w:color w:val="000000" w:themeColor="text1"/>
          <w:lang w:eastAsia="hu-HU"/>
        </w:rPr>
        <w:t>.</w:t>
      </w:r>
      <w:r w:rsidR="00A53BB7">
        <w:rPr>
          <w:rFonts w:ascii="Times New Roman" w:eastAsia="Times New Roman" w:hAnsi="Times New Roman" w:cs="Times New Roman"/>
          <w:color w:val="000000" w:themeColor="text1"/>
          <w:lang w:eastAsia="hu-HU"/>
        </w:rPr>
        <w:t xml:space="preserve"> </w:t>
      </w:r>
      <w:r w:rsidR="000C6C74">
        <w:rPr>
          <w:rFonts w:ascii="Times New Roman" w:eastAsia="Times New Roman" w:hAnsi="Times New Roman" w:cs="Times New Roman"/>
          <w:color w:val="000000" w:themeColor="text1"/>
          <w:lang w:eastAsia="hu-HU"/>
        </w:rPr>
        <w:t xml:space="preserve">A közérdekű igényérvényesítés </w:t>
      </w:r>
      <w:r w:rsidR="008D4F8F">
        <w:rPr>
          <w:rFonts w:ascii="Times New Roman" w:eastAsia="Times New Roman" w:hAnsi="Times New Roman" w:cs="Times New Roman"/>
          <w:color w:val="000000" w:themeColor="text1"/>
          <w:lang w:eastAsia="hu-HU"/>
        </w:rPr>
        <w:t>nem idegen a munkajo</w:t>
      </w:r>
      <w:r w:rsidR="0077491D">
        <w:rPr>
          <w:rFonts w:ascii="Times New Roman" w:eastAsia="Times New Roman" w:hAnsi="Times New Roman" w:cs="Times New Roman"/>
          <w:color w:val="000000" w:themeColor="text1"/>
          <w:lang w:eastAsia="hu-HU"/>
        </w:rPr>
        <w:t>gtól</w:t>
      </w:r>
      <w:r w:rsidR="00A40257">
        <w:rPr>
          <w:rFonts w:ascii="Times New Roman" w:eastAsia="Times New Roman" w:hAnsi="Times New Roman" w:cs="Times New Roman"/>
          <w:color w:val="000000" w:themeColor="text1"/>
          <w:lang w:eastAsia="hu-HU"/>
        </w:rPr>
        <w:t>,</w:t>
      </w:r>
      <w:r w:rsidR="000C6C74">
        <w:rPr>
          <w:rFonts w:ascii="Times New Roman" w:eastAsia="Times New Roman" w:hAnsi="Times New Roman" w:cs="Times New Roman"/>
          <w:color w:val="000000" w:themeColor="text1"/>
          <w:lang w:eastAsia="hu-HU"/>
        </w:rPr>
        <w:t xml:space="preserve"> elegendő a</w:t>
      </w:r>
      <w:r w:rsidR="00DE23BA">
        <w:rPr>
          <w:rFonts w:ascii="Times New Roman" w:eastAsia="Times New Roman" w:hAnsi="Times New Roman" w:cs="Times New Roman"/>
          <w:color w:val="000000" w:themeColor="text1"/>
          <w:lang w:eastAsia="hu-HU"/>
        </w:rPr>
        <w:t>z egyenlő bánásmódról és az esélyegyenlőség előmozdításáról szóló 2003. évi CXXV. törvény</w:t>
      </w:r>
      <w:r w:rsidR="00A40257">
        <w:rPr>
          <w:rFonts w:ascii="Times New Roman" w:eastAsia="Times New Roman" w:hAnsi="Times New Roman" w:cs="Times New Roman"/>
          <w:color w:val="000000" w:themeColor="text1"/>
          <w:lang w:eastAsia="hu-HU"/>
        </w:rPr>
        <w:t xml:space="preserve"> (</w:t>
      </w:r>
      <w:proofErr w:type="spellStart"/>
      <w:r w:rsidR="00A40257">
        <w:rPr>
          <w:rFonts w:ascii="Times New Roman" w:eastAsia="Times New Roman" w:hAnsi="Times New Roman" w:cs="Times New Roman"/>
          <w:color w:val="000000" w:themeColor="text1"/>
          <w:lang w:eastAsia="hu-HU"/>
        </w:rPr>
        <w:t>Ebktv</w:t>
      </w:r>
      <w:proofErr w:type="spellEnd"/>
      <w:r w:rsidR="00A40257">
        <w:rPr>
          <w:rFonts w:ascii="Times New Roman" w:eastAsia="Times New Roman" w:hAnsi="Times New Roman" w:cs="Times New Roman"/>
          <w:color w:val="000000" w:themeColor="text1"/>
          <w:lang w:eastAsia="hu-HU"/>
        </w:rPr>
        <w:t>.)</w:t>
      </w:r>
      <w:r w:rsidR="00BE1A48">
        <w:rPr>
          <w:rFonts w:ascii="Times New Roman" w:eastAsia="Times New Roman" w:hAnsi="Times New Roman" w:cs="Times New Roman"/>
          <w:color w:val="000000" w:themeColor="text1"/>
          <w:lang w:eastAsia="hu-HU"/>
        </w:rPr>
        <w:t xml:space="preserve"> vonatkozó rendelkezéseire gondolni, amelyek lehetővé teszik többek között az érdekképviseleti szervezetek számára </w:t>
      </w:r>
      <w:r w:rsidR="00D8449F">
        <w:rPr>
          <w:rFonts w:ascii="Times New Roman" w:eastAsia="Times New Roman" w:hAnsi="Times New Roman" w:cs="Times New Roman"/>
          <w:color w:val="000000" w:themeColor="text1"/>
          <w:lang w:eastAsia="hu-HU"/>
        </w:rPr>
        <w:t xml:space="preserve">is </w:t>
      </w:r>
      <w:r w:rsidR="00A40257">
        <w:rPr>
          <w:rFonts w:ascii="Times New Roman" w:eastAsia="Times New Roman" w:hAnsi="Times New Roman" w:cs="Times New Roman"/>
          <w:color w:val="000000" w:themeColor="text1"/>
          <w:lang w:eastAsia="hu-HU"/>
        </w:rPr>
        <w:t>a munkaügyi per megindítását.</w:t>
      </w:r>
      <w:r w:rsidR="00A40257">
        <w:rPr>
          <w:rStyle w:val="Lbjegyzet-hivatkozs"/>
          <w:rFonts w:ascii="Times New Roman" w:eastAsia="Times New Roman" w:hAnsi="Times New Roman" w:cs="Times New Roman"/>
          <w:color w:val="000000" w:themeColor="text1"/>
          <w:lang w:eastAsia="hu-HU"/>
        </w:rPr>
        <w:footnoteReference w:id="31"/>
      </w:r>
    </w:p>
    <w:p w14:paraId="73D3ADC0" w14:textId="73A2B010" w:rsidR="00D57DFE" w:rsidRPr="00387794" w:rsidRDefault="00D57DFE" w:rsidP="00387794">
      <w:pPr>
        <w:shd w:val="clear" w:color="auto" w:fill="FFFFFF"/>
        <w:jc w:val="both"/>
        <w:rPr>
          <w:rFonts w:ascii="Times New Roman" w:eastAsia="Times New Roman" w:hAnsi="Times New Roman" w:cs="Times New Roman"/>
          <w:color w:val="000000" w:themeColor="text1"/>
          <w:lang w:eastAsia="hu-HU"/>
        </w:rPr>
      </w:pPr>
    </w:p>
    <w:p w14:paraId="7DC315CA" w14:textId="2FA3B208" w:rsidR="00492075" w:rsidRPr="00902155" w:rsidRDefault="00570C1F" w:rsidP="00651AFA">
      <w:pPr>
        <w:jc w:val="both"/>
        <w:rPr>
          <w:rFonts w:ascii="Times New Roman" w:eastAsia="Calibri" w:hAnsi="Times New Roman" w:cs="Times New Roman"/>
          <w:b/>
          <w:bCs/>
        </w:rPr>
      </w:pPr>
      <w:r>
        <w:rPr>
          <w:rFonts w:ascii="Times New Roman" w:eastAsia="Calibri" w:hAnsi="Times New Roman" w:cs="Times New Roman"/>
          <w:b/>
          <w:bCs/>
          <w:shd w:val="clear" w:color="auto" w:fill="FFFFFF"/>
          <w:lang w:eastAsia="hu-HU"/>
        </w:rPr>
        <w:t>5</w:t>
      </w:r>
      <w:r w:rsidR="00003E4C">
        <w:rPr>
          <w:rFonts w:ascii="Times New Roman" w:eastAsia="Calibri" w:hAnsi="Times New Roman" w:cs="Times New Roman"/>
          <w:b/>
          <w:bCs/>
          <w:shd w:val="clear" w:color="auto" w:fill="FFFFFF"/>
          <w:lang w:eastAsia="hu-HU"/>
        </w:rPr>
        <w:t xml:space="preserve">. </w:t>
      </w:r>
      <w:r w:rsidR="00690797">
        <w:rPr>
          <w:rFonts w:ascii="Times New Roman" w:eastAsia="Calibri" w:hAnsi="Times New Roman" w:cs="Times New Roman"/>
          <w:b/>
          <w:bCs/>
          <w:shd w:val="clear" w:color="auto" w:fill="FFFFFF"/>
          <w:lang w:eastAsia="hu-HU"/>
        </w:rPr>
        <w:t>M</w:t>
      </w:r>
      <w:r w:rsidR="00492075" w:rsidRPr="00902155">
        <w:rPr>
          <w:rFonts w:ascii="Times New Roman" w:eastAsia="Calibri" w:hAnsi="Times New Roman" w:cs="Times New Roman"/>
          <w:b/>
          <w:bCs/>
          <w:shd w:val="clear" w:color="auto" w:fill="FFFFFF"/>
          <w:lang w:eastAsia="hu-HU"/>
        </w:rPr>
        <w:t>unkaidő-kedvezmény</w:t>
      </w:r>
      <w:r w:rsidR="00BE18FE">
        <w:rPr>
          <w:rFonts w:ascii="Times New Roman" w:eastAsia="Calibri" w:hAnsi="Times New Roman" w:cs="Times New Roman"/>
          <w:b/>
          <w:bCs/>
          <w:shd w:val="clear" w:color="auto" w:fill="FFFFFF"/>
          <w:lang w:eastAsia="hu-HU"/>
        </w:rPr>
        <w:t xml:space="preserve"> és a szakszervezetek támogatás</w:t>
      </w:r>
      <w:r w:rsidR="00690797">
        <w:rPr>
          <w:rFonts w:ascii="Times New Roman" w:eastAsia="Calibri" w:hAnsi="Times New Roman" w:cs="Times New Roman"/>
          <w:b/>
          <w:bCs/>
          <w:shd w:val="clear" w:color="auto" w:fill="FFFFFF"/>
          <w:lang w:eastAsia="hu-HU"/>
        </w:rPr>
        <w:t>a</w:t>
      </w:r>
    </w:p>
    <w:p w14:paraId="18275649" w14:textId="77777777" w:rsidR="004A6F02" w:rsidRPr="00902155" w:rsidRDefault="004A6F02" w:rsidP="00651AFA">
      <w:pPr>
        <w:jc w:val="both"/>
        <w:rPr>
          <w:rFonts w:ascii="Times New Roman" w:eastAsia="Calibri" w:hAnsi="Times New Roman" w:cs="Times New Roman"/>
        </w:rPr>
      </w:pPr>
    </w:p>
    <w:p w14:paraId="1A931D61" w14:textId="0500F2E4" w:rsidR="00651AFA" w:rsidRPr="00902155" w:rsidRDefault="00651AFA" w:rsidP="00651AFA">
      <w:pPr>
        <w:shd w:val="clear" w:color="auto" w:fill="FFFFFF"/>
        <w:jc w:val="both"/>
        <w:rPr>
          <w:rFonts w:ascii="Times New Roman" w:eastAsia="Times New Roman" w:hAnsi="Times New Roman" w:cs="Times New Roman"/>
          <w:shd w:val="clear" w:color="auto" w:fill="FFFFFF"/>
          <w:lang w:eastAsia="hu-HU"/>
        </w:rPr>
      </w:pPr>
      <w:r w:rsidRPr="00902155">
        <w:rPr>
          <w:rFonts w:ascii="Times New Roman" w:eastAsia="Calibri" w:hAnsi="Times New Roman" w:cs="Times New Roman"/>
        </w:rPr>
        <w:t xml:space="preserve">A hatályos munkajogi szabályozás legérzékenyebb területe az ún. </w:t>
      </w:r>
      <w:proofErr w:type="gramStart"/>
      <w:r w:rsidRPr="00902155">
        <w:rPr>
          <w:rFonts w:ascii="Times New Roman" w:eastAsia="Calibri" w:hAnsi="Times New Roman" w:cs="Times New Roman"/>
        </w:rPr>
        <w:t>munkaidő-kedvezmények</w:t>
      </w:r>
      <w:proofErr w:type="gramEnd"/>
      <w:r w:rsidRPr="00902155">
        <w:rPr>
          <w:rFonts w:ascii="Times New Roman" w:eastAsia="Calibri" w:hAnsi="Times New Roman" w:cs="Times New Roman"/>
        </w:rPr>
        <w:t xml:space="preserve"> szabályozás</w:t>
      </w:r>
      <w:r w:rsidR="00690797">
        <w:rPr>
          <w:rFonts w:ascii="Times New Roman" w:eastAsia="Calibri" w:hAnsi="Times New Roman" w:cs="Times New Roman"/>
        </w:rPr>
        <w:t>a</w:t>
      </w:r>
      <w:r w:rsidRPr="00902155">
        <w:rPr>
          <w:rFonts w:ascii="Times New Roman" w:eastAsia="Calibri" w:hAnsi="Times New Roman" w:cs="Times New Roman"/>
        </w:rPr>
        <w:t xml:space="preserve">, ugyanis </w:t>
      </w:r>
      <w:r w:rsidRPr="00902155">
        <w:rPr>
          <w:rFonts w:ascii="Times New Roman" w:eastAsia="Times New Roman" w:hAnsi="Times New Roman" w:cs="Times New Roman"/>
          <w:shd w:val="clear" w:color="auto" w:fill="FFFFFF"/>
          <w:lang w:eastAsia="hu-HU"/>
        </w:rPr>
        <w:t>jelenleg ez biztosítja sok száz szakszervezeti tisztségviselő munkavégzésének az alapját és így a megélhetését is. A munkaidő-kedvezmény felhasználásáról (kik és milyen mértékben vehetik igénybe), ahogyan azt a Kúria egy eseti döntésében</w:t>
      </w:r>
      <w:r w:rsidRPr="00902155">
        <w:rPr>
          <w:rFonts w:ascii="Times New Roman" w:eastAsia="Times New Roman" w:hAnsi="Times New Roman" w:cs="Times New Roman"/>
          <w:shd w:val="clear" w:color="auto" w:fill="FFFFFF"/>
          <w:vertAlign w:val="superscript"/>
          <w:lang w:eastAsia="hu-HU"/>
        </w:rPr>
        <w:footnoteReference w:id="32"/>
      </w:r>
      <w:r w:rsidRPr="00902155">
        <w:rPr>
          <w:rFonts w:ascii="Times New Roman" w:eastAsia="Times New Roman" w:hAnsi="Times New Roman" w:cs="Times New Roman"/>
          <w:shd w:val="clear" w:color="auto" w:fill="FFFFFF"/>
          <w:lang w:eastAsia="hu-HU"/>
        </w:rPr>
        <w:t xml:space="preserve"> is megerősítette, a szakszervezet dönt, mivel az „rajta keresztül” illeti meg a szakszervezeti tisztségviselőket.</w:t>
      </w:r>
    </w:p>
    <w:p w14:paraId="115B6505" w14:textId="77777777" w:rsidR="00651AFA" w:rsidRPr="00902155" w:rsidRDefault="00651AFA" w:rsidP="00651AFA">
      <w:pPr>
        <w:shd w:val="clear" w:color="auto" w:fill="FFFFFF"/>
        <w:rPr>
          <w:rFonts w:ascii="Times New Roman" w:eastAsia="Times New Roman" w:hAnsi="Times New Roman" w:cs="Times New Roman"/>
          <w:shd w:val="clear" w:color="auto" w:fill="FFFFFF"/>
          <w:lang w:eastAsia="hu-HU"/>
        </w:rPr>
      </w:pPr>
    </w:p>
    <w:p w14:paraId="06189AA9" w14:textId="6D731A06" w:rsidR="00B33658" w:rsidRDefault="004A6F02" w:rsidP="00E86F79">
      <w:pPr>
        <w:jc w:val="both"/>
        <w:rPr>
          <w:rFonts w:ascii="Times New Roman" w:eastAsia="Calibri" w:hAnsi="Times New Roman" w:cs="Times New Roman"/>
        </w:rPr>
      </w:pPr>
      <w:r w:rsidRPr="00902155">
        <w:rPr>
          <w:rFonts w:ascii="Times New Roman" w:eastAsia="Calibri" w:hAnsi="Times New Roman" w:cs="Times New Roman"/>
        </w:rPr>
        <w:t xml:space="preserve">Szükségesnek </w:t>
      </w:r>
      <w:r w:rsidR="00492075" w:rsidRPr="00902155">
        <w:rPr>
          <w:rFonts w:ascii="Times New Roman" w:eastAsia="Calibri" w:hAnsi="Times New Roman" w:cs="Times New Roman"/>
        </w:rPr>
        <w:t>tartanánk</w:t>
      </w:r>
      <w:r w:rsidRPr="00902155">
        <w:rPr>
          <w:rFonts w:ascii="Times New Roman" w:eastAsia="Calibri" w:hAnsi="Times New Roman" w:cs="Times New Roman"/>
        </w:rPr>
        <w:t xml:space="preserve"> a szakszervezetek munkajogi „támogatásának”, nem utolsósorban magának a munkaidő-kedvezmény intézményének jelentős átgondolását</w:t>
      </w:r>
      <w:r w:rsidR="00902155">
        <w:rPr>
          <w:rFonts w:ascii="Times New Roman" w:eastAsia="Calibri" w:hAnsi="Times New Roman" w:cs="Times New Roman"/>
        </w:rPr>
        <w:t xml:space="preserve">. </w:t>
      </w:r>
      <w:r w:rsidR="00690797">
        <w:rPr>
          <w:rFonts w:ascii="Times New Roman" w:eastAsia="Calibri" w:hAnsi="Times New Roman" w:cs="Times New Roman"/>
        </w:rPr>
        <w:t>A</w:t>
      </w:r>
      <w:r w:rsidR="00902155">
        <w:rPr>
          <w:rFonts w:ascii="Times New Roman" w:eastAsia="Calibri" w:hAnsi="Times New Roman" w:cs="Times New Roman"/>
        </w:rPr>
        <w:t xml:space="preserve">z </w:t>
      </w:r>
      <w:r w:rsidRPr="00902155">
        <w:rPr>
          <w:rFonts w:ascii="Times New Roman" w:eastAsia="Calibri" w:hAnsi="Times New Roman" w:cs="Times New Roman"/>
        </w:rPr>
        <w:t xml:space="preserve">igénybe vehető munkaidő-kedvezmény, és ezáltal az ún. „függetlenített” tisztségviselők helyzetének újragondolása elkerülhetetlen lenne egy megújított rendszerben. Egy ilyen szisztéma működhetne akár úgy is, hogy a szakszervezet által foglalkoztatott tisztségviselők és szakértők bérköltségét egy állami (foglalkoztatási) „alapból” lehessen finanszírozni, amelyet egy megfelelő módszertan mellett a munkáltatói, munkavállalói és kiegészítő állami befizetések biztosítanának. Ezáltal a „főállású” szakszervezeti tisztségviselő munkáltatója immár </w:t>
      </w:r>
      <w:proofErr w:type="spellStart"/>
      <w:r w:rsidRPr="00902155">
        <w:rPr>
          <w:rFonts w:ascii="Times New Roman" w:eastAsia="Calibri" w:hAnsi="Times New Roman" w:cs="Times New Roman"/>
        </w:rPr>
        <w:t>jogdogmatikailag</w:t>
      </w:r>
      <w:proofErr w:type="spellEnd"/>
      <w:r w:rsidRPr="00902155">
        <w:rPr>
          <w:rFonts w:ascii="Times New Roman" w:eastAsia="Calibri" w:hAnsi="Times New Roman" w:cs="Times New Roman"/>
        </w:rPr>
        <w:t xml:space="preserve"> is vitathatatlan módon lehetne a szakszervezet, ugyanakkor ennek anyagi </w:t>
      </w:r>
      <w:r w:rsidRPr="00902155">
        <w:rPr>
          <w:rFonts w:ascii="Times New Roman" w:eastAsia="Calibri" w:hAnsi="Times New Roman" w:cs="Times New Roman"/>
        </w:rPr>
        <w:lastRenderedPageBreak/>
        <w:t xml:space="preserve">terheitől a tagság (mely egyébként sincs abban a helyzetben, hogy fenntartható módon finanszírozza a humán költségeket) jelentős részben mentesülne. </w:t>
      </w:r>
    </w:p>
    <w:p w14:paraId="3A2D9469" w14:textId="77777777" w:rsidR="00B33658" w:rsidRDefault="00B33658" w:rsidP="00E86F79">
      <w:pPr>
        <w:jc w:val="both"/>
        <w:rPr>
          <w:rFonts w:ascii="Times New Roman" w:eastAsia="Calibri" w:hAnsi="Times New Roman" w:cs="Times New Roman"/>
        </w:rPr>
      </w:pPr>
    </w:p>
    <w:p w14:paraId="672DFFC1" w14:textId="0B864C66" w:rsidR="00E86F79" w:rsidRDefault="004A6F02" w:rsidP="00E86F79">
      <w:pPr>
        <w:jc w:val="both"/>
        <w:rPr>
          <w:rFonts w:ascii="Times New Roman" w:eastAsia="Calibri" w:hAnsi="Times New Roman" w:cs="Times New Roman"/>
        </w:rPr>
      </w:pPr>
      <w:r w:rsidRPr="00902155">
        <w:rPr>
          <w:rFonts w:ascii="Times New Roman" w:eastAsia="Calibri" w:hAnsi="Times New Roman" w:cs="Times New Roman"/>
        </w:rPr>
        <w:t xml:space="preserve">Védelmi szabályként rögzíteni lehetne egyúttal azt is, hogy amennyiben ez a konstrukció bármilyen okból megszűnik (például a tisztségviselői minőségben történő változás, így a visszahívás, lemondás, mandátum lejártának esetei), a munkáltatónak kötelező lenne újra- és/vagy </w:t>
      </w:r>
      <w:proofErr w:type="spellStart"/>
      <w:r w:rsidRPr="00902155">
        <w:rPr>
          <w:rFonts w:ascii="Times New Roman" w:eastAsia="Calibri" w:hAnsi="Times New Roman" w:cs="Times New Roman"/>
        </w:rPr>
        <w:t>továbbfoglalkoztatni</w:t>
      </w:r>
      <w:proofErr w:type="spellEnd"/>
      <w:r w:rsidRPr="00902155">
        <w:rPr>
          <w:rFonts w:ascii="Times New Roman" w:eastAsia="Calibri" w:hAnsi="Times New Roman" w:cs="Times New Roman"/>
        </w:rPr>
        <w:t xml:space="preserve"> a munkavállalóját egy meghatározott ideig járó objektív munkajogi védettség mellett. Megfontolandónak tartaná</w:t>
      </w:r>
      <w:r w:rsidR="00B007C9">
        <w:rPr>
          <w:rFonts w:ascii="Times New Roman" w:eastAsia="Calibri" w:hAnsi="Times New Roman" w:cs="Times New Roman"/>
        </w:rPr>
        <w:t>nk</w:t>
      </w:r>
      <w:r w:rsidRPr="00902155">
        <w:rPr>
          <w:rFonts w:ascii="Times New Roman" w:eastAsia="Calibri" w:hAnsi="Times New Roman" w:cs="Times New Roman"/>
        </w:rPr>
        <w:t xml:space="preserve"> azt is, hogy a szereplők ezzel a lehetőséggel csak bizonyos szervezettségi szint elérése után élhessenek, ami nagyban elősegítené a szakszervezetek – elsősorban józan érdekalapokon nyugvó – fúzióját. </w:t>
      </w:r>
    </w:p>
    <w:p w14:paraId="5ECCED61" w14:textId="77777777" w:rsidR="00BE18FE" w:rsidRDefault="00BE18FE" w:rsidP="00BE18FE">
      <w:pPr>
        <w:jc w:val="both"/>
        <w:rPr>
          <w:rFonts w:ascii="Times New Roman" w:eastAsia="Calibri" w:hAnsi="Times New Roman" w:cs="Times New Roman"/>
        </w:rPr>
      </w:pPr>
    </w:p>
    <w:p w14:paraId="524EFA31" w14:textId="35F1B240" w:rsidR="00DA1441" w:rsidRDefault="006D2D54" w:rsidP="00C8134B">
      <w:pPr>
        <w:jc w:val="both"/>
        <w:rPr>
          <w:rFonts w:ascii="Times New Roman" w:eastAsia="Calibri" w:hAnsi="Times New Roman" w:cs="Times New Roman"/>
        </w:rPr>
      </w:pPr>
      <w:r>
        <w:rPr>
          <w:rFonts w:ascii="Times New Roman" w:eastAsia="Calibri" w:hAnsi="Times New Roman" w:cs="Times New Roman"/>
        </w:rPr>
        <w:t>Felvethető továbbá a</w:t>
      </w:r>
      <w:r w:rsidR="00BE18FE" w:rsidRPr="00387794">
        <w:rPr>
          <w:rFonts w:ascii="Times New Roman" w:eastAsia="Calibri" w:hAnsi="Times New Roman" w:cs="Times New Roman"/>
        </w:rPr>
        <w:t xml:space="preserve"> szakszervezetek normatív támogatási rendszerének kidolgozás</w:t>
      </w:r>
      <w:r>
        <w:rPr>
          <w:rFonts w:ascii="Times New Roman" w:eastAsia="Calibri" w:hAnsi="Times New Roman" w:cs="Times New Roman"/>
        </w:rPr>
        <w:t xml:space="preserve">a is. Úgy véljük, hogy az érdekképviseleti feladatok ellátása </w:t>
      </w:r>
      <w:r w:rsidR="001F5877">
        <w:rPr>
          <w:rFonts w:ascii="Times New Roman" w:eastAsia="Calibri" w:hAnsi="Times New Roman" w:cs="Times New Roman"/>
        </w:rPr>
        <w:t>nem csupán magánérdek, a munkavállalók érdekeinek védelme egyúttal a társ</w:t>
      </w:r>
      <w:r w:rsidR="00D95E4A">
        <w:rPr>
          <w:rFonts w:ascii="Times New Roman" w:eastAsia="Calibri" w:hAnsi="Times New Roman" w:cs="Times New Roman"/>
        </w:rPr>
        <w:t>adalo</w:t>
      </w:r>
      <w:r w:rsidR="001F5877">
        <w:rPr>
          <w:rFonts w:ascii="Times New Roman" w:eastAsia="Calibri" w:hAnsi="Times New Roman" w:cs="Times New Roman"/>
        </w:rPr>
        <w:t xml:space="preserve">m közös érdeke is. </w:t>
      </w:r>
      <w:r w:rsidR="00D95E4A">
        <w:rPr>
          <w:rFonts w:ascii="Times New Roman" w:eastAsia="Calibri" w:hAnsi="Times New Roman" w:cs="Times New Roman"/>
        </w:rPr>
        <w:t xml:space="preserve">Amint a pártok is részesülnek a központi költségvetésből </w:t>
      </w:r>
      <w:r w:rsidR="001D5D85">
        <w:rPr>
          <w:rFonts w:ascii="Times New Roman" w:eastAsia="Calibri" w:hAnsi="Times New Roman" w:cs="Times New Roman"/>
        </w:rPr>
        <w:t xml:space="preserve">támogatásban, úgy a szakszervezetek számára is </w:t>
      </w:r>
      <w:r w:rsidR="00326777">
        <w:rPr>
          <w:rFonts w:ascii="Times New Roman" w:eastAsia="Calibri" w:hAnsi="Times New Roman" w:cs="Times New Roman"/>
        </w:rPr>
        <w:t xml:space="preserve">hasonló elvi alapon </w:t>
      </w:r>
      <w:r w:rsidR="001D5D85">
        <w:rPr>
          <w:rFonts w:ascii="Times New Roman" w:eastAsia="Calibri" w:hAnsi="Times New Roman" w:cs="Times New Roman"/>
        </w:rPr>
        <w:t xml:space="preserve">indokolható a normatív támogatás. Úgy véljük, hogy </w:t>
      </w:r>
      <w:r w:rsidR="008854C5">
        <w:rPr>
          <w:rFonts w:ascii="Times New Roman" w:eastAsia="Calibri" w:hAnsi="Times New Roman" w:cs="Times New Roman"/>
        </w:rPr>
        <w:t>a normatív támogatás elsődlegesen</w:t>
      </w:r>
      <w:r w:rsidR="001D5D85">
        <w:rPr>
          <w:rFonts w:ascii="Times New Roman" w:eastAsia="Calibri" w:hAnsi="Times New Roman" w:cs="Times New Roman"/>
        </w:rPr>
        <w:t xml:space="preserve"> </w:t>
      </w:r>
      <w:r w:rsidR="008F1108">
        <w:rPr>
          <w:rFonts w:ascii="Times New Roman" w:eastAsia="Calibri" w:hAnsi="Times New Roman" w:cs="Times New Roman"/>
        </w:rPr>
        <w:t>a makro</w:t>
      </w:r>
      <w:r w:rsidR="00570C1F">
        <w:rPr>
          <w:rFonts w:ascii="Times New Roman" w:eastAsia="Calibri" w:hAnsi="Times New Roman" w:cs="Times New Roman"/>
        </w:rPr>
        <w:t>-</w:t>
      </w:r>
      <w:r w:rsidR="008F1108">
        <w:rPr>
          <w:rFonts w:ascii="Times New Roman" w:eastAsia="Calibri" w:hAnsi="Times New Roman" w:cs="Times New Roman"/>
        </w:rPr>
        <w:t xml:space="preserve"> és </w:t>
      </w:r>
      <w:r w:rsidR="00326777">
        <w:rPr>
          <w:rFonts w:ascii="Times New Roman" w:eastAsia="Calibri" w:hAnsi="Times New Roman" w:cs="Times New Roman"/>
        </w:rPr>
        <w:t xml:space="preserve">középszintű </w:t>
      </w:r>
      <w:r w:rsidR="008F1108">
        <w:rPr>
          <w:rFonts w:ascii="Times New Roman" w:eastAsia="Calibri" w:hAnsi="Times New Roman" w:cs="Times New Roman"/>
        </w:rPr>
        <w:t>érdekegyeztetésben résztvevő szereplők körében merülhet fel, az erre vonatkozó tételes javaslatot azonban az érintetteknek maguknak kell kidolgozniuk. Erre módszertan (alternatíva) lehet</w:t>
      </w:r>
      <w:r w:rsidR="00326777">
        <w:rPr>
          <w:rFonts w:ascii="Times New Roman" w:eastAsia="Calibri" w:hAnsi="Times New Roman" w:cs="Times New Roman"/>
        </w:rPr>
        <w:t>:</w:t>
      </w:r>
      <w:r w:rsidR="008F1108">
        <w:rPr>
          <w:rFonts w:ascii="Times New Roman" w:eastAsia="Calibri" w:hAnsi="Times New Roman" w:cs="Times New Roman"/>
        </w:rPr>
        <w:t xml:space="preserve"> </w:t>
      </w:r>
    </w:p>
    <w:p w14:paraId="29DB75E4" w14:textId="77777777" w:rsidR="00DA1441" w:rsidRDefault="008F1108" w:rsidP="00DA1441">
      <w:pPr>
        <w:pStyle w:val="Listaszerbekezds"/>
        <w:numPr>
          <w:ilvl w:val="0"/>
          <w:numId w:val="6"/>
        </w:numPr>
        <w:jc w:val="both"/>
        <w:rPr>
          <w:rFonts w:ascii="Times New Roman" w:eastAsia="Calibri" w:hAnsi="Times New Roman" w:cs="Times New Roman"/>
        </w:rPr>
      </w:pPr>
      <w:r w:rsidRPr="00C70D06">
        <w:rPr>
          <w:rFonts w:ascii="Times New Roman" w:eastAsia="Calibri" w:hAnsi="Times New Roman" w:cs="Times New Roman"/>
        </w:rPr>
        <w:t xml:space="preserve">a taglétszám alapú,  </w:t>
      </w:r>
    </w:p>
    <w:p w14:paraId="169ADFEA" w14:textId="77777777" w:rsidR="00DA1441" w:rsidRDefault="008F1108" w:rsidP="00DA1441">
      <w:pPr>
        <w:pStyle w:val="Listaszerbekezds"/>
        <w:numPr>
          <w:ilvl w:val="0"/>
          <w:numId w:val="6"/>
        </w:numPr>
        <w:jc w:val="both"/>
        <w:rPr>
          <w:rFonts w:ascii="Times New Roman" w:eastAsia="Calibri" w:hAnsi="Times New Roman" w:cs="Times New Roman"/>
        </w:rPr>
      </w:pPr>
      <w:r w:rsidRPr="00C70D06">
        <w:rPr>
          <w:rFonts w:ascii="Times New Roman" w:eastAsia="Calibri" w:hAnsi="Times New Roman" w:cs="Times New Roman"/>
        </w:rPr>
        <w:t xml:space="preserve">a </w:t>
      </w:r>
      <w:r w:rsidR="00DA1441">
        <w:rPr>
          <w:rFonts w:ascii="Times New Roman" w:eastAsia="Calibri" w:hAnsi="Times New Roman" w:cs="Times New Roman"/>
        </w:rPr>
        <w:t>szövetségekhez</w:t>
      </w:r>
      <w:r w:rsidRPr="00C70D06">
        <w:rPr>
          <w:rFonts w:ascii="Times New Roman" w:eastAsia="Calibri" w:hAnsi="Times New Roman" w:cs="Times New Roman"/>
        </w:rPr>
        <w:t xml:space="preserve"> tartozó tagszervezetek által kötött kollektív szerződés hatálya alatt foglalkoztatott munkavállalók létszámát megjelenítő, </w:t>
      </w:r>
    </w:p>
    <w:p w14:paraId="3EC78494" w14:textId="4074C234" w:rsidR="00626840" w:rsidRPr="00C70D06" w:rsidRDefault="008F1108" w:rsidP="00C70D06">
      <w:pPr>
        <w:pStyle w:val="Listaszerbekezds"/>
        <w:numPr>
          <w:ilvl w:val="0"/>
          <w:numId w:val="6"/>
        </w:numPr>
        <w:jc w:val="both"/>
        <w:rPr>
          <w:rFonts w:ascii="Times New Roman" w:eastAsia="Calibri" w:hAnsi="Times New Roman" w:cs="Times New Roman"/>
        </w:rPr>
      </w:pPr>
      <w:r w:rsidRPr="00C70D06">
        <w:rPr>
          <w:rFonts w:ascii="Times New Roman" w:eastAsia="Calibri" w:hAnsi="Times New Roman" w:cs="Times New Roman"/>
        </w:rPr>
        <w:t>vagy a felek között egyenlő arányú felosztás.</w:t>
      </w:r>
    </w:p>
    <w:p w14:paraId="47CD0942" w14:textId="77777777" w:rsidR="00626840" w:rsidRDefault="00626840" w:rsidP="00E86F79">
      <w:pPr>
        <w:jc w:val="both"/>
        <w:rPr>
          <w:rFonts w:ascii="Times New Roman" w:eastAsia="Calibri" w:hAnsi="Times New Roman" w:cs="Times New Roman"/>
        </w:rPr>
      </w:pPr>
    </w:p>
    <w:p w14:paraId="2795FAD0" w14:textId="0DC82EC0" w:rsidR="00326777" w:rsidRDefault="00300FD4" w:rsidP="00651AFA">
      <w:pPr>
        <w:jc w:val="both"/>
        <w:rPr>
          <w:rFonts w:ascii="Times New Roman" w:eastAsia="Calibri" w:hAnsi="Times New Roman" w:cs="Times New Roman"/>
        </w:rPr>
      </w:pPr>
      <w:r>
        <w:rPr>
          <w:rFonts w:ascii="Times New Roman" w:eastAsia="Calibri" w:hAnsi="Times New Roman" w:cs="Times New Roman"/>
        </w:rPr>
        <w:t>Mindez felveti ugyanakkor a szakszervezeti taglétszámok igazolásá</w:t>
      </w:r>
      <w:r w:rsidR="00547D37">
        <w:rPr>
          <w:rFonts w:ascii="Times New Roman" w:eastAsia="Calibri" w:hAnsi="Times New Roman" w:cs="Times New Roman"/>
        </w:rPr>
        <w:t>ra vonatkozó szabályozás kidolgozását is</w:t>
      </w:r>
      <w:r w:rsidR="008854C5">
        <w:rPr>
          <w:rFonts w:ascii="Times New Roman" w:eastAsia="Calibri" w:hAnsi="Times New Roman" w:cs="Times New Roman"/>
        </w:rPr>
        <w:t>. E</w:t>
      </w:r>
      <w:r w:rsidR="00486B05">
        <w:rPr>
          <w:rFonts w:ascii="Times New Roman" w:eastAsia="Calibri" w:hAnsi="Times New Roman" w:cs="Times New Roman"/>
        </w:rPr>
        <w:t xml:space="preserve">rre a célra kívánatos volna </w:t>
      </w:r>
      <w:r w:rsidR="00326777">
        <w:rPr>
          <w:rFonts w:ascii="Times New Roman" w:eastAsia="Calibri" w:hAnsi="Times New Roman" w:cs="Times New Roman"/>
        </w:rPr>
        <w:t xml:space="preserve">létrehozni </w:t>
      </w:r>
      <w:r w:rsidR="00486B05">
        <w:rPr>
          <w:rFonts w:ascii="Times New Roman" w:eastAsia="Calibri" w:hAnsi="Times New Roman" w:cs="Times New Roman"/>
        </w:rPr>
        <w:t>a</w:t>
      </w:r>
      <w:r w:rsidR="0066490D">
        <w:rPr>
          <w:rFonts w:ascii="Times New Roman" w:eastAsia="Calibri" w:hAnsi="Times New Roman" w:cs="Times New Roman"/>
        </w:rPr>
        <w:t xml:space="preserve"> tagság bíróságon vezetett</w:t>
      </w:r>
      <w:r w:rsidR="00326777">
        <w:rPr>
          <w:rFonts w:ascii="Times New Roman" w:eastAsia="Calibri" w:hAnsi="Times New Roman" w:cs="Times New Roman"/>
        </w:rPr>
        <w:t>,</w:t>
      </w:r>
      <w:r w:rsidR="00531951">
        <w:rPr>
          <w:rFonts w:ascii="Times New Roman" w:eastAsia="Calibri" w:hAnsi="Times New Roman" w:cs="Times New Roman"/>
        </w:rPr>
        <w:t xml:space="preserve"> átlátható</w:t>
      </w:r>
      <w:r w:rsidR="0066490D">
        <w:rPr>
          <w:rFonts w:ascii="Times New Roman" w:eastAsia="Calibri" w:hAnsi="Times New Roman" w:cs="Times New Roman"/>
        </w:rPr>
        <w:t xml:space="preserve">, </w:t>
      </w:r>
      <w:r w:rsidR="008854C5">
        <w:rPr>
          <w:rFonts w:ascii="Times New Roman" w:eastAsia="Calibri" w:hAnsi="Times New Roman" w:cs="Times New Roman"/>
        </w:rPr>
        <w:t xml:space="preserve">naprakész, ugyanakkor az érintettek adatainak védelméről is megfelelően gondoskodó közhiteles </w:t>
      </w:r>
      <w:r w:rsidR="00531951">
        <w:rPr>
          <w:rFonts w:ascii="Times New Roman" w:eastAsia="Calibri" w:hAnsi="Times New Roman" w:cs="Times New Roman"/>
        </w:rPr>
        <w:t>nyilvántartás</w:t>
      </w:r>
      <w:r w:rsidR="00326777">
        <w:rPr>
          <w:rFonts w:ascii="Times New Roman" w:eastAsia="Calibri" w:hAnsi="Times New Roman" w:cs="Times New Roman"/>
        </w:rPr>
        <w:t>át</w:t>
      </w:r>
      <w:r w:rsidR="00486B05">
        <w:rPr>
          <w:rFonts w:ascii="Times New Roman" w:eastAsia="Calibri" w:hAnsi="Times New Roman" w:cs="Times New Roman"/>
        </w:rPr>
        <w:t>.</w:t>
      </w:r>
      <w:r w:rsidR="002226B1">
        <w:rPr>
          <w:rFonts w:ascii="Times New Roman" w:eastAsia="Calibri" w:hAnsi="Times New Roman" w:cs="Times New Roman"/>
        </w:rPr>
        <w:t xml:space="preserve"> Amennyiben a</w:t>
      </w:r>
      <w:r w:rsidR="00CF00D8">
        <w:rPr>
          <w:rFonts w:ascii="Times New Roman" w:eastAsia="Calibri" w:hAnsi="Times New Roman" w:cs="Times New Roman"/>
        </w:rPr>
        <w:t>kár a normatív támogatás megállapításához, akár bizonyos szakszervezeti jogok érvényesítéséhez</w:t>
      </w:r>
      <w:r w:rsidR="00C75EE2">
        <w:rPr>
          <w:rFonts w:ascii="Times New Roman" w:eastAsia="Calibri" w:hAnsi="Times New Roman" w:cs="Times New Roman"/>
        </w:rPr>
        <w:t xml:space="preserve"> szükségessé válna az adatigénylés, az</w:t>
      </w:r>
      <w:r w:rsidR="004610B1">
        <w:rPr>
          <w:rFonts w:ascii="Times New Roman" w:eastAsia="Calibri" w:hAnsi="Times New Roman" w:cs="Times New Roman"/>
        </w:rPr>
        <w:t xml:space="preserve">, akinek jogos érdeke fűződik a taglétszám megismeréséhez, ennek igazolását követően személyazonosításra alkalmatlan módon jogosult lenne adatokat igényelni a nyilvántartásból. </w:t>
      </w:r>
    </w:p>
    <w:p w14:paraId="519F5BFA" w14:textId="77777777" w:rsidR="00326777" w:rsidRDefault="00326777" w:rsidP="00651AFA">
      <w:pPr>
        <w:jc w:val="both"/>
        <w:rPr>
          <w:rFonts w:ascii="Times New Roman" w:eastAsia="Calibri" w:hAnsi="Times New Roman" w:cs="Times New Roman"/>
        </w:rPr>
      </w:pPr>
    </w:p>
    <w:p w14:paraId="15EB2473" w14:textId="0227792A" w:rsidR="00326777" w:rsidRDefault="004610B1" w:rsidP="00651AFA">
      <w:pPr>
        <w:jc w:val="both"/>
        <w:rPr>
          <w:rFonts w:ascii="Times New Roman" w:eastAsia="Calibri" w:hAnsi="Times New Roman" w:cs="Times New Roman"/>
        </w:rPr>
      </w:pPr>
      <w:r>
        <w:rPr>
          <w:rFonts w:ascii="Times New Roman" w:eastAsia="Calibri" w:hAnsi="Times New Roman" w:cs="Times New Roman"/>
        </w:rPr>
        <w:t xml:space="preserve">Mindez </w:t>
      </w:r>
      <w:r w:rsidR="00EA4216">
        <w:rPr>
          <w:rFonts w:ascii="Times New Roman" w:eastAsia="Calibri" w:hAnsi="Times New Roman" w:cs="Times New Roman"/>
        </w:rPr>
        <w:t>lehetővé tenn</w:t>
      </w:r>
      <w:r w:rsidR="00BE7257">
        <w:rPr>
          <w:rFonts w:ascii="Times New Roman" w:eastAsia="Calibri" w:hAnsi="Times New Roman" w:cs="Times New Roman"/>
        </w:rPr>
        <w:t>é</w:t>
      </w:r>
      <w:r w:rsidR="00EA4216">
        <w:rPr>
          <w:rFonts w:ascii="Times New Roman" w:eastAsia="Calibri" w:hAnsi="Times New Roman" w:cs="Times New Roman"/>
        </w:rPr>
        <w:t xml:space="preserve"> az ágazati párbeszéd bizottságok létrehozásához szükséges adat</w:t>
      </w:r>
      <w:r w:rsidR="00A026A7">
        <w:rPr>
          <w:rFonts w:ascii="Times New Roman" w:eastAsia="Calibri" w:hAnsi="Times New Roman" w:cs="Times New Roman"/>
        </w:rPr>
        <w:t>szolgáltatási kötelezettség új alapokra helyezését is.</w:t>
      </w:r>
      <w:r w:rsidR="00E009D1">
        <w:rPr>
          <w:rFonts w:ascii="Times New Roman" w:eastAsia="Calibri" w:hAnsi="Times New Roman" w:cs="Times New Roman"/>
        </w:rPr>
        <w:t xml:space="preserve"> </w:t>
      </w:r>
      <w:r w:rsidR="00780229">
        <w:rPr>
          <w:rFonts w:ascii="Times New Roman" w:eastAsia="Calibri" w:hAnsi="Times New Roman" w:cs="Times New Roman"/>
        </w:rPr>
        <w:t>Figyelemmel arra, hogy</w:t>
      </w:r>
      <w:r w:rsidR="00451F6A">
        <w:rPr>
          <w:rFonts w:ascii="Times New Roman" w:eastAsia="Calibri" w:hAnsi="Times New Roman" w:cs="Times New Roman"/>
        </w:rPr>
        <w:t xml:space="preserve"> </w:t>
      </w:r>
      <w:r w:rsidR="00780229">
        <w:rPr>
          <w:rFonts w:ascii="Times New Roman" w:eastAsia="Calibri" w:hAnsi="Times New Roman" w:cs="Times New Roman"/>
        </w:rPr>
        <w:t xml:space="preserve">a munkáltatónál képviselettel rendelkező szakszervezet </w:t>
      </w:r>
      <w:r w:rsidR="00451F6A">
        <w:rPr>
          <w:rFonts w:ascii="Times New Roman" w:eastAsia="Calibri" w:hAnsi="Times New Roman" w:cs="Times New Roman"/>
        </w:rPr>
        <w:t>taglétszám</w:t>
      </w:r>
      <w:r w:rsidR="00780229">
        <w:rPr>
          <w:rFonts w:ascii="Times New Roman" w:eastAsia="Calibri" w:hAnsi="Times New Roman" w:cs="Times New Roman"/>
        </w:rPr>
        <w:t>ának</w:t>
      </w:r>
      <w:r w:rsidR="00451F6A">
        <w:rPr>
          <w:rFonts w:ascii="Times New Roman" w:eastAsia="Calibri" w:hAnsi="Times New Roman" w:cs="Times New Roman"/>
        </w:rPr>
        <w:t xml:space="preserve"> igazolása </w:t>
      </w:r>
      <w:r w:rsidR="00780229">
        <w:rPr>
          <w:rFonts w:ascii="Times New Roman" w:eastAsia="Calibri" w:hAnsi="Times New Roman" w:cs="Times New Roman"/>
        </w:rPr>
        <w:t xml:space="preserve">körében </w:t>
      </w:r>
      <w:r w:rsidR="00BC3A23">
        <w:rPr>
          <w:rFonts w:ascii="Times New Roman" w:eastAsia="Calibri" w:hAnsi="Times New Roman" w:cs="Times New Roman"/>
        </w:rPr>
        <w:t>annak van különös jelentősége, hogy</w:t>
      </w:r>
      <w:r w:rsidR="001D45CB">
        <w:rPr>
          <w:rFonts w:ascii="Times New Roman" w:eastAsia="Calibri" w:hAnsi="Times New Roman" w:cs="Times New Roman"/>
        </w:rPr>
        <w:t xml:space="preserve"> a szakszervezet</w:t>
      </w:r>
      <w:r w:rsidR="00BC3A23">
        <w:rPr>
          <w:rFonts w:ascii="Times New Roman" w:eastAsia="Calibri" w:hAnsi="Times New Roman" w:cs="Times New Roman"/>
        </w:rPr>
        <w:t xml:space="preserve"> az adott munkáltatónál </w:t>
      </w:r>
      <w:r w:rsidR="00B333D8">
        <w:rPr>
          <w:rFonts w:ascii="Times New Roman" w:eastAsia="Calibri" w:hAnsi="Times New Roman" w:cs="Times New Roman"/>
        </w:rPr>
        <w:t xml:space="preserve">hány munkavállaló taggal rendelkezik, </w:t>
      </w:r>
      <w:r w:rsidR="000F2D74">
        <w:rPr>
          <w:rFonts w:ascii="Times New Roman" w:eastAsia="Calibri" w:hAnsi="Times New Roman" w:cs="Times New Roman"/>
        </w:rPr>
        <w:t>ám</w:t>
      </w:r>
      <w:r w:rsidR="00B333D8">
        <w:rPr>
          <w:rFonts w:ascii="Times New Roman" w:eastAsia="Calibri" w:hAnsi="Times New Roman" w:cs="Times New Roman"/>
        </w:rPr>
        <w:t xml:space="preserve"> a munkaviszony fennállás</w:t>
      </w:r>
      <w:r w:rsidR="00827BA3">
        <w:rPr>
          <w:rFonts w:ascii="Times New Roman" w:eastAsia="Calibri" w:hAnsi="Times New Roman" w:cs="Times New Roman"/>
        </w:rPr>
        <w:t>a tekintetében csak az érintett munkáltatónak van lehetősége nyilatkozni</w:t>
      </w:r>
      <w:r w:rsidR="00ED103E">
        <w:rPr>
          <w:rFonts w:ascii="Times New Roman" w:eastAsia="Calibri" w:hAnsi="Times New Roman" w:cs="Times New Roman"/>
        </w:rPr>
        <w:t xml:space="preserve">, </w:t>
      </w:r>
      <w:r w:rsidR="000F2D74">
        <w:rPr>
          <w:rFonts w:ascii="Times New Roman" w:eastAsia="Calibri" w:hAnsi="Times New Roman" w:cs="Times New Roman"/>
        </w:rPr>
        <w:t>az ilyen adatigénylés</w:t>
      </w:r>
      <w:r w:rsidR="00ED103E">
        <w:rPr>
          <w:rFonts w:ascii="Times New Roman" w:eastAsia="Calibri" w:hAnsi="Times New Roman" w:cs="Times New Roman"/>
        </w:rPr>
        <w:t xml:space="preserve"> során </w:t>
      </w:r>
      <w:r w:rsidR="005934B9">
        <w:rPr>
          <w:rFonts w:ascii="Times New Roman" w:eastAsia="Calibri" w:hAnsi="Times New Roman" w:cs="Times New Roman"/>
        </w:rPr>
        <w:t>a munkavállalók</w:t>
      </w:r>
      <w:r w:rsidR="00ED103E">
        <w:rPr>
          <w:rFonts w:ascii="Times New Roman" w:eastAsia="Calibri" w:hAnsi="Times New Roman" w:cs="Times New Roman"/>
        </w:rPr>
        <w:t xml:space="preserve"> jegyzék</w:t>
      </w:r>
      <w:r w:rsidR="005934B9">
        <w:rPr>
          <w:rFonts w:ascii="Times New Roman" w:eastAsia="Calibri" w:hAnsi="Times New Roman" w:cs="Times New Roman"/>
        </w:rPr>
        <w:t>é</w:t>
      </w:r>
      <w:r w:rsidR="00ED103E">
        <w:rPr>
          <w:rFonts w:ascii="Times New Roman" w:eastAsia="Calibri" w:hAnsi="Times New Roman" w:cs="Times New Roman"/>
        </w:rPr>
        <w:t>t a</w:t>
      </w:r>
      <w:r w:rsidR="005934B9">
        <w:rPr>
          <w:rFonts w:ascii="Times New Roman" w:eastAsia="Calibri" w:hAnsi="Times New Roman" w:cs="Times New Roman"/>
        </w:rPr>
        <w:t xml:space="preserve"> munkáltató lenne köteles a</w:t>
      </w:r>
      <w:r w:rsidR="00ED103E">
        <w:rPr>
          <w:rFonts w:ascii="Times New Roman" w:eastAsia="Calibri" w:hAnsi="Times New Roman" w:cs="Times New Roman"/>
        </w:rPr>
        <w:t xml:space="preserve"> nyilvántartást vezető bíróság részére rendelkezésre bocsátani. Ezt követően a bíróság a rendelkezésre álló tagnyilvántartás, valamint a munkáltató által átadott munkavállalói jegyzék összevetése alapján </w:t>
      </w:r>
      <w:r w:rsidR="00B21921">
        <w:rPr>
          <w:rFonts w:ascii="Times New Roman" w:eastAsia="Calibri" w:hAnsi="Times New Roman" w:cs="Times New Roman"/>
        </w:rPr>
        <w:t>bocsátaná ki az igazolást a munkáltatóra vetített pontos taglétszámról.</w:t>
      </w:r>
    </w:p>
    <w:p w14:paraId="47045137" w14:textId="77777777" w:rsidR="00326777" w:rsidRPr="00387794" w:rsidRDefault="00326777" w:rsidP="00651AFA">
      <w:pPr>
        <w:jc w:val="both"/>
        <w:rPr>
          <w:rFonts w:ascii="Times New Roman" w:eastAsia="Calibri" w:hAnsi="Times New Roman" w:cs="Times New Roman"/>
        </w:rPr>
      </w:pPr>
    </w:p>
    <w:p w14:paraId="6DECD700" w14:textId="5F883A66" w:rsidR="004A6F02" w:rsidRPr="00E86F79" w:rsidRDefault="00570C1F" w:rsidP="00651AFA">
      <w:pPr>
        <w:jc w:val="both"/>
        <w:rPr>
          <w:rFonts w:ascii="Times New Roman" w:eastAsia="Times New Roman" w:hAnsi="Times New Roman" w:cs="Times New Roman"/>
          <w:b/>
          <w:bCs/>
          <w:lang w:eastAsia="hu-HU"/>
        </w:rPr>
      </w:pPr>
      <w:r>
        <w:rPr>
          <w:rFonts w:ascii="Times New Roman" w:eastAsia="Times New Roman" w:hAnsi="Times New Roman" w:cs="Times New Roman"/>
          <w:b/>
          <w:bCs/>
          <w:lang w:eastAsia="hu-HU"/>
        </w:rPr>
        <w:t>6</w:t>
      </w:r>
      <w:r w:rsidR="00C56A8E">
        <w:rPr>
          <w:rFonts w:ascii="Times New Roman" w:eastAsia="Times New Roman" w:hAnsi="Times New Roman" w:cs="Times New Roman"/>
          <w:b/>
          <w:bCs/>
          <w:lang w:eastAsia="hu-HU"/>
        </w:rPr>
        <w:t xml:space="preserve">. </w:t>
      </w:r>
      <w:r w:rsidR="00492075" w:rsidRPr="00E86F79">
        <w:rPr>
          <w:rFonts w:ascii="Times New Roman" w:eastAsia="Times New Roman" w:hAnsi="Times New Roman" w:cs="Times New Roman"/>
          <w:b/>
          <w:bCs/>
          <w:lang w:eastAsia="hu-HU"/>
        </w:rPr>
        <w:t>A s</w:t>
      </w:r>
      <w:r w:rsidR="004A6F02" w:rsidRPr="00E86F79">
        <w:rPr>
          <w:rFonts w:ascii="Times New Roman" w:eastAsia="Times New Roman" w:hAnsi="Times New Roman" w:cs="Times New Roman"/>
          <w:b/>
          <w:bCs/>
          <w:lang w:eastAsia="hu-HU"/>
        </w:rPr>
        <w:t>zakszervezetek</w:t>
      </w:r>
      <w:r w:rsidR="00492075" w:rsidRPr="00E86F79">
        <w:rPr>
          <w:rFonts w:ascii="Times New Roman" w:eastAsia="Times New Roman" w:hAnsi="Times New Roman" w:cs="Times New Roman"/>
          <w:b/>
          <w:bCs/>
          <w:lang w:eastAsia="hu-HU"/>
        </w:rPr>
        <w:t xml:space="preserve"> polgári jogi</w:t>
      </w:r>
      <w:r w:rsidR="004A6F02" w:rsidRPr="00E86F79">
        <w:rPr>
          <w:rFonts w:ascii="Times New Roman" w:eastAsia="Times New Roman" w:hAnsi="Times New Roman" w:cs="Times New Roman"/>
          <w:b/>
          <w:bCs/>
          <w:lang w:eastAsia="hu-HU"/>
        </w:rPr>
        <w:t xml:space="preserve"> jogállás</w:t>
      </w:r>
      <w:r w:rsidR="00492075" w:rsidRPr="00E86F79">
        <w:rPr>
          <w:rFonts w:ascii="Times New Roman" w:eastAsia="Times New Roman" w:hAnsi="Times New Roman" w:cs="Times New Roman"/>
          <w:b/>
          <w:bCs/>
          <w:lang w:eastAsia="hu-HU"/>
        </w:rPr>
        <w:t>ának kritikája</w:t>
      </w:r>
    </w:p>
    <w:p w14:paraId="6E7AB746" w14:textId="77777777" w:rsidR="004A6F02" w:rsidRPr="00902155" w:rsidRDefault="004A6F02" w:rsidP="00651AFA">
      <w:pPr>
        <w:jc w:val="both"/>
        <w:rPr>
          <w:rFonts w:ascii="Times New Roman" w:eastAsia="Times New Roman" w:hAnsi="Times New Roman" w:cs="Times New Roman"/>
          <w:lang w:eastAsia="hu-HU"/>
        </w:rPr>
      </w:pPr>
    </w:p>
    <w:p w14:paraId="757A17B8" w14:textId="5CA960E7" w:rsidR="00DA52AD" w:rsidRDefault="00492075" w:rsidP="00651AFA">
      <w:pPr>
        <w:jc w:val="both"/>
        <w:rPr>
          <w:rFonts w:ascii="Times New Roman" w:eastAsia="Times New Roman" w:hAnsi="Times New Roman" w:cs="Times New Roman"/>
          <w:lang w:eastAsia="hu-HU"/>
        </w:rPr>
      </w:pPr>
      <w:r w:rsidRPr="00902155">
        <w:rPr>
          <w:rFonts w:ascii="Times New Roman" w:eastAsia="Times New Roman" w:hAnsi="Times New Roman" w:cs="Times New Roman"/>
          <w:lang w:eastAsia="hu-HU"/>
        </w:rPr>
        <w:t>Magyarországon a szakszervezetek az egyesület jogi formájában végzik tevékenységüket, az egyesülési jogról, a közhasznú jogállásról, valamint a civil szervezetek működéséről és támogatásáról szóló 2011. évi CLXXV. törvény (</w:t>
      </w:r>
      <w:proofErr w:type="spellStart"/>
      <w:r w:rsidRPr="00902155">
        <w:rPr>
          <w:rFonts w:ascii="Times New Roman" w:eastAsia="Times New Roman" w:hAnsi="Times New Roman" w:cs="Times New Roman"/>
          <w:lang w:eastAsia="hu-HU"/>
        </w:rPr>
        <w:t>Ectv</w:t>
      </w:r>
      <w:proofErr w:type="spellEnd"/>
      <w:r w:rsidRPr="00902155">
        <w:rPr>
          <w:rFonts w:ascii="Times New Roman" w:eastAsia="Times New Roman" w:hAnsi="Times New Roman" w:cs="Times New Roman"/>
          <w:lang w:eastAsia="hu-HU"/>
        </w:rPr>
        <w:t xml:space="preserve">.) 4. § (1) bekezdése szerint annak egy különös típusaként, így elismerésükhöz először az egyesületi „minőség” jogi feltételeit szükséges teljesíteniük. </w:t>
      </w:r>
    </w:p>
    <w:p w14:paraId="04AF13FB" w14:textId="77777777" w:rsidR="00DA52AD" w:rsidRDefault="00DA52AD" w:rsidP="00651AFA">
      <w:pPr>
        <w:jc w:val="both"/>
        <w:rPr>
          <w:rFonts w:ascii="Times New Roman" w:eastAsia="Times New Roman" w:hAnsi="Times New Roman" w:cs="Times New Roman"/>
          <w:lang w:eastAsia="hu-HU"/>
        </w:rPr>
      </w:pPr>
    </w:p>
    <w:p w14:paraId="0E54DA2D" w14:textId="67ECDB89" w:rsidR="00492075" w:rsidRPr="00902155" w:rsidRDefault="00492075" w:rsidP="00651AFA">
      <w:pPr>
        <w:jc w:val="both"/>
        <w:rPr>
          <w:rFonts w:ascii="Times New Roman" w:eastAsia="Calibri" w:hAnsi="Times New Roman" w:cs="Times New Roman"/>
          <w:lang w:eastAsia="hu-HU"/>
        </w:rPr>
      </w:pPr>
      <w:r w:rsidRPr="00902155">
        <w:rPr>
          <w:rFonts w:ascii="Times New Roman" w:eastAsia="Times New Roman" w:hAnsi="Times New Roman" w:cs="Times New Roman"/>
          <w:lang w:eastAsia="hu-HU"/>
        </w:rPr>
        <w:t>A szakszervezet alapítására, szervezetére, annak változásaira, illetve magára a működésre is az egyesületekre vonatkozó szabályok vonatkoznak, így jogállására alkalmazni kell a Polgári Törvénykönyvről szóló 2013. évi V. törvény (Ptk.) egyesületekre vonatkozó rendelkezéseit,</w:t>
      </w:r>
      <w:r w:rsidRPr="00902155">
        <w:rPr>
          <w:rFonts w:ascii="Times New Roman" w:eastAsia="Times New Roman" w:hAnsi="Times New Roman" w:cs="Times New Roman"/>
          <w:vertAlign w:val="superscript"/>
          <w:lang w:eastAsia="hu-HU"/>
        </w:rPr>
        <w:footnoteReference w:id="33"/>
      </w:r>
      <w:r w:rsidRPr="00902155">
        <w:rPr>
          <w:rFonts w:ascii="Times New Roman" w:eastAsia="Times New Roman" w:hAnsi="Times New Roman" w:cs="Times New Roman"/>
          <w:lang w:eastAsia="hu-HU"/>
        </w:rPr>
        <w:t xml:space="preserve"> továbbá a</w:t>
      </w:r>
      <w:bookmarkStart w:id="1" w:name="_Hlk7645567"/>
      <w:r w:rsidRPr="00902155">
        <w:rPr>
          <w:rFonts w:ascii="Times New Roman" w:eastAsia="Times New Roman" w:hAnsi="Times New Roman" w:cs="Times New Roman"/>
          <w:lang w:eastAsia="hu-HU"/>
        </w:rPr>
        <w:t xml:space="preserve">z egyesülési jogról, a közhasznú jogállásról, valamint </w:t>
      </w:r>
      <w:bookmarkEnd w:id="1"/>
      <w:r w:rsidRPr="00902155">
        <w:rPr>
          <w:rFonts w:ascii="Times New Roman" w:eastAsia="Times New Roman" w:hAnsi="Times New Roman" w:cs="Times New Roman"/>
          <w:lang w:eastAsia="hu-HU"/>
        </w:rPr>
        <w:t>a civil szervezetek bírósági nyilvántartásáról és az ezzel összefüggő eljárási szabályokról szóló 2011. évi CLXXXI. törvényt (</w:t>
      </w:r>
      <w:proofErr w:type="spellStart"/>
      <w:r w:rsidRPr="00902155">
        <w:rPr>
          <w:rFonts w:ascii="Times New Roman" w:eastAsia="Times New Roman" w:hAnsi="Times New Roman" w:cs="Times New Roman"/>
          <w:lang w:eastAsia="hu-HU"/>
        </w:rPr>
        <w:t>Cnytv</w:t>
      </w:r>
      <w:proofErr w:type="spellEnd"/>
      <w:r w:rsidRPr="00902155">
        <w:rPr>
          <w:rFonts w:ascii="Times New Roman" w:eastAsia="Times New Roman" w:hAnsi="Times New Roman" w:cs="Times New Roman"/>
          <w:lang w:eastAsia="hu-HU"/>
        </w:rPr>
        <w:t xml:space="preserve">.). </w:t>
      </w:r>
      <w:r w:rsidRPr="00902155">
        <w:rPr>
          <w:rFonts w:ascii="Times New Roman" w:eastAsia="Calibri" w:hAnsi="Times New Roman" w:cs="Times New Roman"/>
          <w:lang w:eastAsia="hu-HU"/>
        </w:rPr>
        <w:t>Az egyesülési jogot nem csak természetes személyek, hanem jogi személyek is gyakorolhatják, így létrehozhatók a szakszervezeti szövetségek, melyeknek értelemszerűen csak önállóan bejegyzett, jellemzően természetes személy tagokat tömörítő szakszervezetek a tagjai.</w:t>
      </w:r>
      <w:r w:rsidRPr="00902155">
        <w:rPr>
          <w:rFonts w:ascii="Times New Roman" w:eastAsia="Calibri" w:hAnsi="Times New Roman" w:cs="Times New Roman"/>
          <w:vertAlign w:val="superscript"/>
          <w:lang w:eastAsia="hu-HU"/>
        </w:rPr>
        <w:footnoteReference w:id="34"/>
      </w:r>
    </w:p>
    <w:p w14:paraId="684299DB" w14:textId="77777777" w:rsidR="00492075" w:rsidRPr="00902155" w:rsidRDefault="00492075" w:rsidP="00651AFA">
      <w:pPr>
        <w:jc w:val="both"/>
        <w:rPr>
          <w:rFonts w:ascii="Times New Roman" w:eastAsia="Calibri" w:hAnsi="Times New Roman" w:cs="Times New Roman"/>
          <w:color w:val="000000"/>
          <w:lang w:eastAsia="hu-HU"/>
        </w:rPr>
      </w:pPr>
    </w:p>
    <w:p w14:paraId="5E155886" w14:textId="374C6ABA" w:rsidR="00492075" w:rsidRDefault="00492075" w:rsidP="00651AFA">
      <w:pPr>
        <w:jc w:val="both"/>
        <w:rPr>
          <w:rFonts w:ascii="Times New Roman" w:eastAsia="Calibri" w:hAnsi="Times New Roman" w:cs="Times New Roman"/>
          <w:lang w:eastAsia="hu-HU"/>
        </w:rPr>
      </w:pPr>
      <w:r w:rsidRPr="00902155">
        <w:rPr>
          <w:rFonts w:ascii="Times New Roman" w:eastAsia="Calibri" w:hAnsi="Times New Roman" w:cs="Times New Roman"/>
          <w:color w:val="000000"/>
          <w:lang w:eastAsia="hu-HU"/>
        </w:rPr>
        <w:t>Jelentős probléma a gyakorlatban, hogy hosszú ideig (számos esetben akár hónapokig) elhúzódó változásbejegyzési eljárásokkal találkozunk</w:t>
      </w:r>
      <w:r w:rsidR="008F1108">
        <w:rPr>
          <w:rFonts w:ascii="Times New Roman" w:eastAsia="Calibri" w:hAnsi="Times New Roman" w:cs="Times New Roman"/>
          <w:color w:val="000000"/>
          <w:lang w:eastAsia="hu-HU"/>
        </w:rPr>
        <w:t>. Ez a</w:t>
      </w:r>
      <w:r w:rsidRPr="00902155">
        <w:rPr>
          <w:rFonts w:ascii="Times New Roman" w:eastAsia="Calibri" w:hAnsi="Times New Roman" w:cs="Times New Roman"/>
          <w:color w:val="000000"/>
          <w:lang w:eastAsia="hu-HU"/>
        </w:rPr>
        <w:t>mellett, hogy működési problémákat is generál</w:t>
      </w:r>
      <w:r w:rsidR="008F1108">
        <w:rPr>
          <w:rFonts w:ascii="Times New Roman" w:eastAsia="Calibri" w:hAnsi="Times New Roman" w:cs="Times New Roman"/>
          <w:color w:val="000000"/>
          <w:lang w:eastAsia="hu-HU"/>
        </w:rPr>
        <w:t xml:space="preserve"> </w:t>
      </w:r>
      <w:r w:rsidR="008F1108" w:rsidRPr="00902155">
        <w:rPr>
          <w:rFonts w:ascii="Times New Roman" w:eastAsia="Times New Roman" w:hAnsi="Times New Roman" w:cs="Times New Roman"/>
          <w:lang w:eastAsia="hu-HU"/>
        </w:rPr>
        <w:t>–</w:t>
      </w:r>
      <w:r w:rsidR="008F1108">
        <w:rPr>
          <w:rFonts w:ascii="Times New Roman" w:eastAsia="Calibri" w:hAnsi="Times New Roman" w:cs="Times New Roman"/>
          <w:color w:val="000000"/>
          <w:lang w:eastAsia="hu-HU"/>
        </w:rPr>
        <w:t xml:space="preserve"> </w:t>
      </w:r>
      <w:r w:rsidRPr="00902155">
        <w:rPr>
          <w:rFonts w:ascii="Times New Roman" w:eastAsia="Calibri" w:hAnsi="Times New Roman" w:cs="Times New Roman"/>
          <w:color w:val="000000"/>
          <w:lang w:eastAsia="hu-HU"/>
        </w:rPr>
        <w:t xml:space="preserve">gondoljunk például az egyesület jogügyleti </w:t>
      </w:r>
      <w:r w:rsidRPr="00902155">
        <w:rPr>
          <w:rFonts w:ascii="Times New Roman" w:eastAsia="Calibri" w:hAnsi="Times New Roman" w:cs="Times New Roman"/>
          <w:lang w:eastAsia="hu-HU"/>
        </w:rPr>
        <w:t>képességével kapcsolatos kérdésekre, különösen a képviselő személyének változása esetén, amíg az nem jelenik meg a közhiteles nyilvántartásban</w:t>
      </w:r>
      <w:r w:rsidR="008F1108" w:rsidRPr="00902155">
        <w:rPr>
          <w:rStyle w:val="Lbjegyzet-hivatkozs"/>
          <w:rFonts w:ascii="Times New Roman" w:eastAsia="Calibri" w:hAnsi="Times New Roman" w:cs="Times New Roman"/>
          <w:lang w:eastAsia="hu-HU"/>
        </w:rPr>
        <w:footnoteReference w:id="35"/>
      </w:r>
      <w:r w:rsidR="008F1108">
        <w:rPr>
          <w:rFonts w:ascii="Times New Roman" w:eastAsia="Calibri" w:hAnsi="Times New Roman" w:cs="Times New Roman"/>
          <w:lang w:eastAsia="hu-HU"/>
        </w:rPr>
        <w:t xml:space="preserve"> </w:t>
      </w:r>
      <w:r w:rsidR="008F1108" w:rsidRPr="00902155">
        <w:rPr>
          <w:rFonts w:ascii="Times New Roman" w:eastAsia="Times New Roman" w:hAnsi="Times New Roman" w:cs="Times New Roman"/>
          <w:lang w:eastAsia="hu-HU"/>
        </w:rPr>
        <w:t>–</w:t>
      </w:r>
      <w:r w:rsidRPr="00902155">
        <w:rPr>
          <w:rFonts w:ascii="Times New Roman" w:eastAsia="Calibri" w:hAnsi="Times New Roman" w:cs="Times New Roman"/>
          <w:lang w:eastAsia="hu-HU"/>
        </w:rPr>
        <w:t xml:space="preserve"> feleslegesen terheli a munkaügyi kapcsolatok érdemi működését is (különös tekintettel a kollektív szerződések megkötésére és módosítására, illetve a szakszervezet munkáltatóval folytatott konzultációjára), amelynek konkrét következménye és hatása van a munkavállalók gazdasági és szociális érdekeire is. </w:t>
      </w:r>
    </w:p>
    <w:p w14:paraId="314DB94D" w14:textId="77777777" w:rsidR="00A57CDE" w:rsidRPr="00A57CDE" w:rsidRDefault="00A57CDE" w:rsidP="00A57CDE">
      <w:pPr>
        <w:jc w:val="both"/>
        <w:rPr>
          <w:rFonts w:ascii="Times New Roman" w:eastAsia="Calibri" w:hAnsi="Times New Roman" w:cs="Times New Roman"/>
          <w:lang w:eastAsia="hu-HU"/>
        </w:rPr>
      </w:pPr>
    </w:p>
    <w:p w14:paraId="3ABF7BCC" w14:textId="7D66797A" w:rsidR="00DA52AD" w:rsidRDefault="00492075" w:rsidP="00902155">
      <w:pPr>
        <w:jc w:val="both"/>
        <w:rPr>
          <w:rFonts w:ascii="Times New Roman" w:hAnsi="Times New Roman" w:cs="Times New Roman"/>
        </w:rPr>
      </w:pPr>
      <w:r w:rsidRPr="00902155">
        <w:rPr>
          <w:rFonts w:ascii="Times New Roman" w:hAnsi="Times New Roman" w:cs="Times New Roman"/>
        </w:rPr>
        <w:t xml:space="preserve">Álláspontunk szerint ezért a szakszervezetekre egy speciális, </w:t>
      </w:r>
      <w:r w:rsidRPr="00902155">
        <w:rPr>
          <w:rFonts w:ascii="Times New Roman" w:hAnsi="Times New Roman" w:cs="Times New Roman"/>
          <w:i/>
          <w:iCs/>
        </w:rPr>
        <w:t>„</w:t>
      </w:r>
      <w:proofErr w:type="spellStart"/>
      <w:r w:rsidRPr="00902155">
        <w:rPr>
          <w:rFonts w:ascii="Times New Roman" w:hAnsi="Times New Roman" w:cs="Times New Roman"/>
          <w:i/>
          <w:iCs/>
        </w:rPr>
        <w:t>sui</w:t>
      </w:r>
      <w:proofErr w:type="spellEnd"/>
      <w:r w:rsidRPr="00902155">
        <w:rPr>
          <w:rFonts w:ascii="Times New Roman" w:hAnsi="Times New Roman" w:cs="Times New Roman"/>
          <w:i/>
          <w:iCs/>
        </w:rPr>
        <w:t xml:space="preserve"> generis”</w:t>
      </w:r>
      <w:r w:rsidRPr="00902155">
        <w:rPr>
          <w:rFonts w:ascii="Times New Roman" w:hAnsi="Times New Roman" w:cs="Times New Roman"/>
        </w:rPr>
        <w:t xml:space="preserve"> polgári jogi (az egyesületi jogot, mint mögöttes joganyagot alkalmazva) és kapcsolódó eljárásjogi szabályozást lenne szükséges alkotni, amely jóval rövidebb bírósági ügyintézési határidőket tenne lehetővé, különösen a nyilvántartásba vétel és az egyes változásbejegyzési aktusok során, a gazdasági társaságokéhoz hasonló módon. Életszerűtlen, hogy míg egy gazdasági társaság (munkáltatói oldal) rendkívül rövid időtartam alatt jöhet létre és a különböző cégjogi és vállalati szerkezetátalakulások is számos esetben csekély időt kívánnak meg (nagyon helyesen), addig a munkaügyi kapcsolatok másik párja (a munkavállalói oldalt képviselő szakszervezetek) számára ez jóval hosszabb eljárási időtartamot és ellentmondásoktól sem mentes bírói gyakorlatot jelent. </w:t>
      </w:r>
    </w:p>
    <w:p w14:paraId="2FFCA292" w14:textId="77777777" w:rsidR="00DA52AD" w:rsidRDefault="00DA52AD" w:rsidP="00902155">
      <w:pPr>
        <w:jc w:val="both"/>
        <w:rPr>
          <w:rFonts w:ascii="Times New Roman" w:hAnsi="Times New Roman" w:cs="Times New Roman"/>
        </w:rPr>
      </w:pPr>
    </w:p>
    <w:p w14:paraId="670D0AAE" w14:textId="5EFD218A" w:rsidR="00902155" w:rsidRDefault="00492075" w:rsidP="00902155">
      <w:pPr>
        <w:jc w:val="both"/>
        <w:rPr>
          <w:rFonts w:ascii="Times New Roman" w:hAnsi="Times New Roman" w:cs="Times New Roman"/>
        </w:rPr>
      </w:pPr>
      <w:r w:rsidRPr="00902155">
        <w:rPr>
          <w:rFonts w:ascii="Times New Roman" w:hAnsi="Times New Roman" w:cs="Times New Roman"/>
        </w:rPr>
        <w:t xml:space="preserve">Egy képletes példával élve: egy betéti társaság vagy egy korlátolt felelősségű társaság esetében az ügyvezető változásához kapcsolódó változásbejegyzési végzés akár 24 órán belül megszületik a cégbíróság részéről a cég kérelme alapján, ugyanez egy szakszervezet (szakszervezeti szövetség) esetében elképzelhetetlen a jelenlegi „60 napos” eljárási határidő miatt. </w:t>
      </w:r>
      <w:r w:rsidR="00902155">
        <w:rPr>
          <w:rFonts w:ascii="Times New Roman" w:hAnsi="Times New Roman" w:cs="Times New Roman"/>
        </w:rPr>
        <w:t>A szabályozásból tehát hiányzik az egységes magánjogi szemlélet</w:t>
      </w:r>
      <w:r w:rsidR="00E86F79">
        <w:rPr>
          <w:rFonts w:ascii="Times New Roman" w:hAnsi="Times New Roman" w:cs="Times New Roman"/>
        </w:rPr>
        <w:t>, amelynek legfőbb jellemzője az egységes eljárási szabályok bevezetése lenne, az eltérő jogalkalmazási gyakorlat minimalizálásával, az állami nyilvántartások egységesítésével és további adminisztrációs tehercsökkentéssel.</w:t>
      </w:r>
      <w:r w:rsidR="00E86F79">
        <w:rPr>
          <w:rStyle w:val="Lbjegyzet-hivatkozs"/>
          <w:rFonts w:ascii="Times New Roman" w:hAnsi="Times New Roman" w:cs="Times New Roman"/>
        </w:rPr>
        <w:footnoteReference w:id="36"/>
      </w:r>
    </w:p>
    <w:p w14:paraId="41CB7731" w14:textId="77777777" w:rsidR="00902155" w:rsidRDefault="00902155" w:rsidP="00902155">
      <w:pPr>
        <w:jc w:val="both"/>
        <w:rPr>
          <w:rFonts w:ascii="Times New Roman" w:hAnsi="Times New Roman" w:cs="Times New Roman"/>
        </w:rPr>
      </w:pPr>
    </w:p>
    <w:p w14:paraId="7112E206" w14:textId="5F4F2FF6" w:rsidR="00902155" w:rsidRDefault="00492075" w:rsidP="00902155">
      <w:pPr>
        <w:jc w:val="both"/>
        <w:rPr>
          <w:rFonts w:ascii="Times New Roman" w:eastAsia="Calibri" w:hAnsi="Times New Roman" w:cs="Times New Roman"/>
          <w:color w:val="000000"/>
        </w:rPr>
      </w:pPr>
      <w:r w:rsidRPr="00902155">
        <w:rPr>
          <w:rFonts w:ascii="Times New Roman" w:eastAsia="Calibri" w:hAnsi="Times New Roman" w:cs="Times New Roman"/>
        </w:rPr>
        <w:t xml:space="preserve">Megjegyezzük, hogy a </w:t>
      </w:r>
      <w:r w:rsidRPr="00902155">
        <w:rPr>
          <w:rFonts w:ascii="Times New Roman" w:hAnsi="Times New Roman" w:cs="Times New Roman"/>
        </w:rPr>
        <w:t xml:space="preserve">Nemzetközi Munkaügyi Szervezet (ILO) </w:t>
      </w:r>
      <w:r w:rsidRPr="00902155">
        <w:rPr>
          <w:rFonts w:ascii="Times New Roman" w:eastAsia="Calibri" w:hAnsi="Times New Roman" w:cs="Times New Roman"/>
          <w:bCs/>
          <w:shd w:val="clear" w:color="auto" w:fill="FFFFFF"/>
        </w:rPr>
        <w:t>Igazgatótanács Egyesülési Szabadság Bizottságának (CFA)</w:t>
      </w:r>
      <w:r w:rsidRPr="00902155">
        <w:rPr>
          <w:rFonts w:ascii="Times New Roman" w:eastAsia="Calibri" w:hAnsi="Times New Roman" w:cs="Times New Roman"/>
          <w:bCs/>
          <w:shd w:val="clear" w:color="auto" w:fill="FFFFFF"/>
          <w:vertAlign w:val="superscript"/>
        </w:rPr>
        <w:footnoteReference w:id="37"/>
      </w:r>
      <w:r w:rsidRPr="00902155">
        <w:rPr>
          <w:rFonts w:ascii="Times New Roman" w:eastAsia="Calibri" w:hAnsi="Times New Roman" w:cs="Times New Roman"/>
          <w:bCs/>
          <w:shd w:val="clear" w:color="auto" w:fill="FFFFFF"/>
        </w:rPr>
        <w:t xml:space="preserve"> joggyakorlata is rögzíti, hogy </w:t>
      </w:r>
      <w:r w:rsidRPr="00902155">
        <w:rPr>
          <w:rFonts w:ascii="Times New Roman" w:hAnsi="Times New Roman" w:cs="Times New Roman"/>
        </w:rPr>
        <w:t xml:space="preserve">a jogszabályok által </w:t>
      </w:r>
      <w:r w:rsidRPr="00902155">
        <w:rPr>
          <w:rFonts w:ascii="Times New Roman" w:hAnsi="Times New Roman" w:cs="Times New Roman"/>
        </w:rPr>
        <w:lastRenderedPageBreak/>
        <w:t xml:space="preserve">előirányzott </w:t>
      </w:r>
      <w:r w:rsidRPr="00097C80">
        <w:rPr>
          <w:rFonts w:ascii="Times New Roman" w:hAnsi="Times New Roman" w:cs="Times New Roman"/>
          <w:iCs/>
        </w:rPr>
        <w:t>egy hónapos</w:t>
      </w:r>
      <w:r w:rsidRPr="00902155">
        <w:rPr>
          <w:rFonts w:ascii="Times New Roman" w:hAnsi="Times New Roman" w:cs="Times New Roman"/>
        </w:rPr>
        <w:t xml:space="preserve"> időtartam</w:t>
      </w:r>
      <w:r w:rsidR="00E86F79">
        <w:rPr>
          <w:rFonts w:ascii="Times New Roman" w:hAnsi="Times New Roman" w:cs="Times New Roman"/>
        </w:rPr>
        <w:t xml:space="preserve"> lenne</w:t>
      </w:r>
      <w:r w:rsidRPr="00902155">
        <w:rPr>
          <w:rFonts w:ascii="Times New Roman" w:hAnsi="Times New Roman" w:cs="Times New Roman"/>
        </w:rPr>
        <w:t xml:space="preserve"> észszerű egy szervezet nyilvántartásba vételére.</w:t>
      </w:r>
      <w:r w:rsidR="00E86F79">
        <w:rPr>
          <w:rFonts w:ascii="Times New Roman" w:hAnsi="Times New Roman" w:cs="Times New Roman"/>
        </w:rPr>
        <w:t>”</w:t>
      </w:r>
      <w:r w:rsidRPr="00902155">
        <w:rPr>
          <w:rStyle w:val="Lbjegyzet-hivatkozs"/>
          <w:rFonts w:ascii="Times New Roman" w:hAnsi="Times New Roman" w:cs="Times New Roman"/>
        </w:rPr>
        <w:footnoteReference w:id="38"/>
      </w:r>
      <w:r w:rsidR="00902155" w:rsidRPr="00902155">
        <w:rPr>
          <w:rFonts w:ascii="Times New Roman" w:eastAsia="Calibri" w:hAnsi="Times New Roman" w:cs="Times New Roman"/>
          <w:color w:val="000000"/>
        </w:rPr>
        <w:t xml:space="preserve"> </w:t>
      </w:r>
      <w:r w:rsidR="00E86F79">
        <w:rPr>
          <w:rFonts w:ascii="Times New Roman" w:eastAsia="Calibri" w:hAnsi="Times New Roman" w:cs="Times New Roman"/>
          <w:color w:val="000000"/>
        </w:rPr>
        <w:t>Ez a megállapítás</w:t>
      </w:r>
      <w:r w:rsidR="00902155" w:rsidRPr="00902155">
        <w:rPr>
          <w:rFonts w:ascii="Times New Roman" w:eastAsia="Calibri" w:hAnsi="Times New Roman" w:cs="Times New Roman"/>
          <w:color w:val="000000"/>
        </w:rPr>
        <w:t xml:space="preserve"> </w:t>
      </w:r>
      <w:r w:rsidR="00DA52AD">
        <w:rPr>
          <w:rFonts w:ascii="Times New Roman" w:eastAsia="Calibri" w:hAnsi="Times New Roman" w:cs="Times New Roman"/>
          <w:color w:val="000000"/>
        </w:rPr>
        <w:t xml:space="preserve">az </w:t>
      </w:r>
      <w:proofErr w:type="spellStart"/>
      <w:r w:rsidR="00902155" w:rsidRPr="00902155">
        <w:rPr>
          <w:rFonts w:ascii="Times New Roman" w:eastAsia="Calibri" w:hAnsi="Times New Roman" w:cs="Times New Roman"/>
          <w:color w:val="000000"/>
        </w:rPr>
        <w:t>egyesülési</w:t>
      </w:r>
      <w:proofErr w:type="spellEnd"/>
      <w:r w:rsidR="00902155" w:rsidRPr="00902155">
        <w:rPr>
          <w:rFonts w:ascii="Times New Roman" w:eastAsia="Calibri" w:hAnsi="Times New Roman" w:cs="Times New Roman"/>
          <w:color w:val="000000"/>
        </w:rPr>
        <w:t xml:space="preserve"> </w:t>
      </w:r>
      <w:proofErr w:type="spellStart"/>
      <w:r w:rsidR="00902155" w:rsidRPr="00902155">
        <w:rPr>
          <w:rFonts w:ascii="Times New Roman" w:eastAsia="Calibri" w:hAnsi="Times New Roman" w:cs="Times New Roman"/>
          <w:color w:val="000000"/>
        </w:rPr>
        <w:t>szabadság</w:t>
      </w:r>
      <w:proofErr w:type="spellEnd"/>
      <w:r w:rsidR="00902155" w:rsidRPr="00902155">
        <w:rPr>
          <w:rFonts w:ascii="Times New Roman" w:eastAsia="Calibri" w:hAnsi="Times New Roman" w:cs="Times New Roman"/>
          <w:color w:val="000000"/>
        </w:rPr>
        <w:t xml:space="preserve"> </w:t>
      </w:r>
      <w:proofErr w:type="spellStart"/>
      <w:r w:rsidR="00902155" w:rsidRPr="00902155">
        <w:rPr>
          <w:rFonts w:ascii="Times New Roman" w:eastAsia="Calibri" w:hAnsi="Times New Roman" w:cs="Times New Roman"/>
          <w:color w:val="000000"/>
        </w:rPr>
        <w:t>és</w:t>
      </w:r>
      <w:proofErr w:type="spellEnd"/>
      <w:r w:rsidR="00902155" w:rsidRPr="00902155">
        <w:rPr>
          <w:rFonts w:ascii="Times New Roman" w:eastAsia="Calibri" w:hAnsi="Times New Roman" w:cs="Times New Roman"/>
          <w:color w:val="000000"/>
        </w:rPr>
        <w:t xml:space="preserve"> a </w:t>
      </w:r>
      <w:proofErr w:type="spellStart"/>
      <w:r w:rsidR="00902155" w:rsidRPr="00902155">
        <w:rPr>
          <w:rFonts w:ascii="Times New Roman" w:eastAsia="Calibri" w:hAnsi="Times New Roman" w:cs="Times New Roman"/>
          <w:color w:val="000000"/>
        </w:rPr>
        <w:t>szervezkedési</w:t>
      </w:r>
      <w:proofErr w:type="spellEnd"/>
      <w:r w:rsidR="00902155" w:rsidRPr="00902155">
        <w:rPr>
          <w:rFonts w:ascii="Times New Roman" w:eastAsia="Calibri" w:hAnsi="Times New Roman" w:cs="Times New Roman"/>
          <w:color w:val="000000"/>
        </w:rPr>
        <w:t xml:space="preserve"> jog </w:t>
      </w:r>
      <w:proofErr w:type="spellStart"/>
      <w:r w:rsidR="00902155" w:rsidRPr="00902155">
        <w:rPr>
          <w:rFonts w:ascii="Times New Roman" w:eastAsia="Calibri" w:hAnsi="Times New Roman" w:cs="Times New Roman"/>
          <w:color w:val="000000"/>
        </w:rPr>
        <w:t>védelméről</w:t>
      </w:r>
      <w:proofErr w:type="spellEnd"/>
      <w:r w:rsidR="00902155" w:rsidRPr="00902155">
        <w:rPr>
          <w:rFonts w:ascii="Times New Roman" w:eastAsia="Calibri" w:hAnsi="Times New Roman" w:cs="Times New Roman"/>
          <w:color w:val="000000"/>
        </w:rPr>
        <w:t xml:space="preserve"> szóló 87. számú </w:t>
      </w:r>
      <w:proofErr w:type="spellStart"/>
      <w:r w:rsidR="00902155" w:rsidRPr="00902155">
        <w:rPr>
          <w:rFonts w:ascii="Times New Roman" w:eastAsia="Calibri" w:hAnsi="Times New Roman" w:cs="Times New Roman"/>
          <w:color w:val="000000"/>
        </w:rPr>
        <w:t>Egyezmény</w:t>
      </w:r>
      <w:proofErr w:type="spellEnd"/>
      <w:r w:rsidR="00902155" w:rsidRPr="00902155">
        <w:rPr>
          <w:rFonts w:ascii="Times New Roman" w:eastAsia="Calibri" w:hAnsi="Times New Roman" w:cs="Times New Roman"/>
          <w:color w:val="000000"/>
        </w:rPr>
        <w:t xml:space="preserve"> (különösen annak 2. és 3. cikke)</w:t>
      </w:r>
      <w:r w:rsidR="00902155" w:rsidRPr="00902155">
        <w:rPr>
          <w:rStyle w:val="Lbjegyzet-hivatkozs"/>
          <w:rFonts w:ascii="Times New Roman" w:eastAsia="Calibri" w:hAnsi="Times New Roman" w:cs="Times New Roman"/>
          <w:color w:val="000000"/>
        </w:rPr>
        <w:footnoteReference w:id="39"/>
      </w:r>
      <w:r w:rsidR="00902155" w:rsidRPr="00902155">
        <w:rPr>
          <w:rFonts w:ascii="Times New Roman" w:eastAsia="Calibri" w:hAnsi="Times New Roman" w:cs="Times New Roman"/>
          <w:color w:val="000000"/>
        </w:rPr>
        <w:t xml:space="preserve"> értelmezéséből alakult </w:t>
      </w:r>
      <w:r w:rsidR="00E86F79">
        <w:rPr>
          <w:rFonts w:ascii="Times New Roman" w:eastAsia="Calibri" w:hAnsi="Times New Roman" w:cs="Times New Roman"/>
          <w:color w:val="000000"/>
        </w:rPr>
        <w:t xml:space="preserve">ki </w:t>
      </w:r>
      <w:r w:rsidR="00902155" w:rsidRPr="00902155">
        <w:rPr>
          <w:rFonts w:ascii="Times New Roman" w:eastAsia="Calibri" w:hAnsi="Times New Roman" w:cs="Times New Roman"/>
          <w:color w:val="000000"/>
        </w:rPr>
        <w:t xml:space="preserve">az egyes konkrét panaszok, esetek nyomán. Az ILO </w:t>
      </w:r>
      <w:r w:rsidR="00E86F79">
        <w:rPr>
          <w:rFonts w:ascii="Times New Roman" w:eastAsia="Calibri" w:hAnsi="Times New Roman" w:cs="Times New Roman"/>
          <w:color w:val="000000"/>
        </w:rPr>
        <w:t>CFA</w:t>
      </w:r>
      <w:r w:rsidR="00902155" w:rsidRPr="00902155">
        <w:rPr>
          <w:rStyle w:val="Lbjegyzet-hivatkozs"/>
          <w:rFonts w:ascii="Times New Roman" w:eastAsia="Calibri" w:hAnsi="Times New Roman" w:cs="Times New Roman"/>
          <w:color w:val="000000"/>
        </w:rPr>
        <w:footnoteReference w:id="40"/>
      </w:r>
      <w:r w:rsidR="00902155" w:rsidRPr="00902155">
        <w:rPr>
          <w:rFonts w:ascii="Times New Roman" w:eastAsia="Calibri" w:hAnsi="Times New Roman" w:cs="Times New Roman"/>
          <w:color w:val="000000"/>
        </w:rPr>
        <w:t xml:space="preserve"> kiemelte, hogy </w:t>
      </w:r>
      <w:r w:rsidR="00DA52AD">
        <w:rPr>
          <w:rFonts w:ascii="Times New Roman" w:eastAsia="Calibri" w:hAnsi="Times New Roman" w:cs="Times New Roman"/>
          <w:color w:val="000000"/>
        </w:rPr>
        <w:t xml:space="preserve">ha </w:t>
      </w:r>
      <w:r w:rsidR="00902155" w:rsidRPr="00902155">
        <w:rPr>
          <w:rFonts w:ascii="Times New Roman" w:eastAsia="Calibri" w:hAnsi="Times New Roman" w:cs="Times New Roman"/>
          <w:color w:val="000000"/>
        </w:rPr>
        <w:t>a szakszervezeteknek a megfelelő állami nyilvántartásokba való felvételére vonatkozó normák értelmezésével kapcsolatos nehézségek olyan helyzeteket teremtenek, amelyekben az illetékes hatóságok túlzott mértékben élnek a hatáskörükkel, a 87. számú Egyezménnyel való összeegyeztethetőséggel kapcsolatos problémák merülhetnek fel.</w:t>
      </w:r>
      <w:r w:rsidR="00902155" w:rsidRPr="00902155">
        <w:rPr>
          <w:rStyle w:val="Lbjegyzet-hivatkozs"/>
          <w:rFonts w:ascii="Times New Roman" w:eastAsia="Calibri" w:hAnsi="Times New Roman" w:cs="Times New Roman"/>
          <w:color w:val="000000"/>
        </w:rPr>
        <w:footnoteReference w:id="41"/>
      </w:r>
      <w:r w:rsidR="00902155" w:rsidRPr="00902155">
        <w:rPr>
          <w:rFonts w:ascii="Times New Roman" w:eastAsia="Calibri" w:hAnsi="Times New Roman" w:cs="Times New Roman"/>
          <w:color w:val="000000"/>
        </w:rPr>
        <w:t xml:space="preserve">  A hosszú bejegyzési eljárás komoly akadályt jelent a szervezetek létrehozásában, és a munkavállalók azon jogának megtagadását jelenti, hogy előzetes engedély nélkül alapíthassanak szervezeteket.</w:t>
      </w:r>
      <w:r w:rsidR="00902155" w:rsidRPr="00902155">
        <w:rPr>
          <w:rStyle w:val="Lbjegyzet-hivatkozs"/>
          <w:rFonts w:ascii="Times New Roman" w:eastAsia="Calibri" w:hAnsi="Times New Roman" w:cs="Times New Roman"/>
          <w:color w:val="000000"/>
        </w:rPr>
        <w:footnoteReference w:id="42"/>
      </w:r>
      <w:r w:rsidR="00902155" w:rsidRPr="00902155">
        <w:rPr>
          <w:rFonts w:ascii="Times New Roman" w:eastAsia="Calibri" w:hAnsi="Times New Roman" w:cs="Times New Roman"/>
          <w:color w:val="000000"/>
        </w:rPr>
        <w:t xml:space="preserve"> </w:t>
      </w:r>
    </w:p>
    <w:p w14:paraId="1F1E6272" w14:textId="77777777" w:rsidR="008409B1" w:rsidRPr="00902155" w:rsidRDefault="008409B1" w:rsidP="00902155">
      <w:pPr>
        <w:jc w:val="both"/>
        <w:rPr>
          <w:rFonts w:ascii="Times New Roman" w:eastAsia="Calibri" w:hAnsi="Times New Roman" w:cs="Times New Roman"/>
          <w:color w:val="000000"/>
        </w:rPr>
      </w:pPr>
    </w:p>
    <w:p w14:paraId="07EB1EE6" w14:textId="7E5640CC" w:rsidR="00643C1E" w:rsidRPr="00902155" w:rsidRDefault="00902155" w:rsidP="00902155">
      <w:pPr>
        <w:jc w:val="both"/>
        <w:rPr>
          <w:rFonts w:ascii="Times New Roman" w:eastAsia="Calibri" w:hAnsi="Times New Roman" w:cs="Times New Roman"/>
          <w:color w:val="000000"/>
        </w:rPr>
      </w:pPr>
      <w:r w:rsidRPr="00902155">
        <w:rPr>
          <w:rFonts w:ascii="Times New Roman" w:eastAsia="Calibri" w:hAnsi="Times New Roman" w:cs="Times New Roman"/>
          <w:color w:val="000000"/>
        </w:rPr>
        <w:t xml:space="preserve">Felvethető a hazai szabályozásban az a kérdés is, hogy míg a munkavállalók 10 százalékát képviselő szakszervezet egy hazai vállalati struktúrában jelentősebbnek is nevezhető, nyolcvankilenc főt foglalkoztató gazdasági társaság esetében ugyan kilenc taggal képes kollektív szerződést kötni, de szakszervezetet jogszerűen bejegyezni nem tud ilyen létszámmal (minimum tíz fő szükséges az alapításhoz). </w:t>
      </w:r>
    </w:p>
    <w:p w14:paraId="48F60EF5" w14:textId="1D863219" w:rsidR="00492075" w:rsidRPr="00902155" w:rsidRDefault="00492075" w:rsidP="00387794">
      <w:pPr>
        <w:jc w:val="both"/>
      </w:pPr>
    </w:p>
    <w:p w14:paraId="22A8B0A9" w14:textId="0DCA92BF" w:rsidR="00492075" w:rsidRPr="00E86F79" w:rsidRDefault="00E86F79" w:rsidP="00651AFA">
      <w:pPr>
        <w:jc w:val="both"/>
        <w:rPr>
          <w:rFonts w:ascii="Times New Roman" w:hAnsi="Times New Roman" w:cs="Times New Roman"/>
        </w:rPr>
      </w:pPr>
      <w:r>
        <w:rPr>
          <w:rFonts w:ascii="Times New Roman" w:hAnsi="Times New Roman" w:cs="Times New Roman"/>
        </w:rPr>
        <w:t>Javaslatunk, hogy a jogalkotó font</w:t>
      </w:r>
      <w:r w:rsidR="00A57CDE">
        <w:rPr>
          <w:rFonts w:ascii="Times New Roman" w:hAnsi="Times New Roman" w:cs="Times New Roman"/>
        </w:rPr>
        <w:t>o</w:t>
      </w:r>
      <w:r>
        <w:rPr>
          <w:rFonts w:ascii="Times New Roman" w:hAnsi="Times New Roman" w:cs="Times New Roman"/>
        </w:rPr>
        <w:t>lja meg a</w:t>
      </w:r>
      <w:r w:rsidR="00492075" w:rsidRPr="00902155">
        <w:rPr>
          <w:rFonts w:ascii="Times New Roman" w:hAnsi="Times New Roman" w:cs="Times New Roman"/>
        </w:rPr>
        <w:t xml:space="preserve"> </w:t>
      </w:r>
      <w:proofErr w:type="spellStart"/>
      <w:r w:rsidR="00492075" w:rsidRPr="00902155">
        <w:rPr>
          <w:rFonts w:ascii="Times New Roman" w:hAnsi="Times New Roman" w:cs="Times New Roman"/>
        </w:rPr>
        <w:t>Cnytv</w:t>
      </w:r>
      <w:proofErr w:type="spellEnd"/>
      <w:r w:rsidR="00492075" w:rsidRPr="00902155">
        <w:rPr>
          <w:rFonts w:ascii="Times New Roman" w:hAnsi="Times New Roman" w:cs="Times New Roman"/>
        </w:rPr>
        <w:t xml:space="preserve">. módosítását oly módon, </w:t>
      </w:r>
      <w:bookmarkStart w:id="2" w:name="_Hlk159580828"/>
      <w:r w:rsidR="00492075" w:rsidRPr="00902155">
        <w:rPr>
          <w:rFonts w:ascii="Times New Roman" w:hAnsi="Times New Roman" w:cs="Times New Roman"/>
        </w:rPr>
        <w:t xml:space="preserve">hogy az egyszerűsített (nyilvántartásba vételi) eljárás keretében a változásbejegyzési kérelem alapján indult polgári nemperes eljárásban is egy rövid, tizenöt napos határidővel szülessen meg a végzés. </w:t>
      </w:r>
      <w:bookmarkEnd w:id="2"/>
      <w:r w:rsidR="00492075" w:rsidRPr="00902155">
        <w:rPr>
          <w:rFonts w:ascii="Times New Roman" w:hAnsi="Times New Roman" w:cs="Times New Roman"/>
        </w:rPr>
        <w:t xml:space="preserve">Így, ha a nyilvántartásba vételi/változásbejegyzési kérelem áttételének vagy hiánypótlási felhívás kiadását mellőzve történő visszautasításának nincs helye, és nem kell a kérelmezőt a hiányok </w:t>
      </w:r>
      <w:r w:rsidR="00492075" w:rsidRPr="00E86F79">
        <w:rPr>
          <w:rFonts w:ascii="Times New Roman" w:hAnsi="Times New Roman" w:cs="Times New Roman"/>
        </w:rPr>
        <w:t>pótlására felhívni, vagy a kérelmező a hiánypótlási kötelezettségének eleget tett, a bíróság a szakszervezetet (szakszervezeti szövetséget) legkésőbb a kérelem benyújtásától számított tizenöt napon belül nyilvántartásba veszi, vagy a változásbejegyzési kérelemben szereplő adatokat nyilvántartásba veszi.</w:t>
      </w:r>
    </w:p>
    <w:p w14:paraId="32E43791" w14:textId="77777777" w:rsidR="004A6F02" w:rsidRPr="00E86F79" w:rsidRDefault="004A6F02" w:rsidP="00651AFA">
      <w:pPr>
        <w:jc w:val="both"/>
        <w:rPr>
          <w:rFonts w:ascii="Times New Roman" w:hAnsi="Times New Roman" w:cs="Times New Roman"/>
        </w:rPr>
      </w:pPr>
    </w:p>
    <w:p w14:paraId="7399C0E7" w14:textId="7CDEDF7D" w:rsidR="00492075" w:rsidRPr="00902155" w:rsidRDefault="00570C1F" w:rsidP="00651AFA">
      <w:pPr>
        <w:jc w:val="both"/>
        <w:rPr>
          <w:rFonts w:ascii="Times New Roman" w:hAnsi="Times New Roman" w:cs="Times New Roman"/>
          <w:b/>
          <w:bCs/>
        </w:rPr>
      </w:pPr>
      <w:r>
        <w:rPr>
          <w:rFonts w:ascii="Times New Roman" w:hAnsi="Times New Roman" w:cs="Times New Roman"/>
          <w:b/>
          <w:bCs/>
        </w:rPr>
        <w:t>7</w:t>
      </w:r>
      <w:r w:rsidR="00C56A8E">
        <w:rPr>
          <w:rFonts w:ascii="Times New Roman" w:hAnsi="Times New Roman" w:cs="Times New Roman"/>
          <w:b/>
          <w:bCs/>
        </w:rPr>
        <w:t xml:space="preserve">. </w:t>
      </w:r>
      <w:r w:rsidR="00E86F79">
        <w:rPr>
          <w:rFonts w:ascii="Times New Roman" w:hAnsi="Times New Roman" w:cs="Times New Roman"/>
          <w:b/>
          <w:bCs/>
        </w:rPr>
        <w:t>A foglalkoztatás-felügyeleti hatóság szerepe</w:t>
      </w:r>
    </w:p>
    <w:p w14:paraId="10FF3765" w14:textId="77777777" w:rsidR="00492075" w:rsidRPr="00902155" w:rsidRDefault="00492075" w:rsidP="00651AFA">
      <w:pPr>
        <w:jc w:val="both"/>
        <w:rPr>
          <w:rFonts w:ascii="Times New Roman" w:hAnsi="Times New Roman" w:cs="Times New Roman"/>
        </w:rPr>
      </w:pPr>
    </w:p>
    <w:p w14:paraId="0663F238" w14:textId="1FD43E73" w:rsidR="008409B1" w:rsidRDefault="00E86F79" w:rsidP="00E86F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color w:val="000000"/>
        </w:rPr>
      </w:pPr>
      <w:r w:rsidRPr="00E86F79">
        <w:rPr>
          <w:rFonts w:ascii="Times New Roman" w:hAnsi="Times New Roman" w:cs="Times New Roman"/>
          <w:bCs/>
        </w:rPr>
        <w:t>Relevánsnak tartjuk</w:t>
      </w:r>
      <w:r w:rsidR="004A6F02" w:rsidRPr="00E86F79">
        <w:rPr>
          <w:rFonts w:ascii="Times New Roman" w:hAnsi="Times New Roman" w:cs="Times New Roman"/>
          <w:bCs/>
        </w:rPr>
        <w:t xml:space="preserve"> azt a problémát, hogy </w:t>
      </w:r>
      <w:r w:rsidR="00633419">
        <w:rPr>
          <w:rFonts w:ascii="Times New Roman" w:hAnsi="Times New Roman" w:cs="Times New Roman"/>
          <w:bCs/>
        </w:rPr>
        <w:t>ha</w:t>
      </w:r>
      <w:r w:rsidR="00633419" w:rsidRPr="00E86F79">
        <w:rPr>
          <w:rFonts w:ascii="Times New Roman" w:hAnsi="Times New Roman" w:cs="Times New Roman"/>
          <w:bCs/>
        </w:rPr>
        <w:t xml:space="preserve"> </w:t>
      </w:r>
      <w:r w:rsidR="004A6F02" w:rsidRPr="00E86F79">
        <w:rPr>
          <w:rFonts w:ascii="Times New Roman" w:hAnsi="Times New Roman" w:cs="Times New Roman"/>
          <w:bCs/>
        </w:rPr>
        <w:t xml:space="preserve">a szakszervezetek Mt.-ben rögzített (tételes) jogai sérülnek, jelenleg a jogsérelem orvoslására a bírósági úton kívül érdemben nincs más lehetőség. </w:t>
      </w:r>
      <w:r w:rsidR="004A6F02" w:rsidRPr="00E86F79">
        <w:rPr>
          <w:rFonts w:ascii="Times New Roman" w:hAnsi="Times New Roman" w:cs="Times New Roman"/>
          <w:bCs/>
          <w:color w:val="000000"/>
        </w:rPr>
        <w:t>Ezen jogok megsértése esetén a szakszervezet</w:t>
      </w:r>
      <w:r w:rsidRPr="00E86F79">
        <w:rPr>
          <w:rFonts w:ascii="Times New Roman" w:hAnsi="Times New Roman" w:cs="Times New Roman"/>
          <w:bCs/>
          <w:color w:val="000000"/>
        </w:rPr>
        <w:t xml:space="preserve"> </w:t>
      </w:r>
      <w:r w:rsidR="004A6F02" w:rsidRPr="00E86F79">
        <w:rPr>
          <w:rFonts w:ascii="Times New Roman" w:hAnsi="Times New Roman" w:cs="Times New Roman"/>
          <w:bCs/>
          <w:color w:val="000000"/>
        </w:rPr>
        <w:t xml:space="preserve">ugyan munkaügyi jogvitát kezdeményezhet [Mt. 285. § (1) bekezdés], a bíróság viszont legfeljebb csupán megállapíthatja a jogsértés tényét; szankciót a törvény nem </w:t>
      </w:r>
      <w:proofErr w:type="spellStart"/>
      <w:r w:rsidR="004A6F02" w:rsidRPr="00E86F79">
        <w:rPr>
          <w:rFonts w:ascii="Times New Roman" w:hAnsi="Times New Roman" w:cs="Times New Roman"/>
          <w:bCs/>
          <w:color w:val="000000"/>
        </w:rPr>
        <w:t>nevesít</w:t>
      </w:r>
      <w:proofErr w:type="spellEnd"/>
      <w:r w:rsidR="004A6F02" w:rsidRPr="00E86F79">
        <w:rPr>
          <w:rFonts w:ascii="Times New Roman" w:hAnsi="Times New Roman" w:cs="Times New Roman"/>
          <w:bCs/>
          <w:color w:val="000000"/>
        </w:rPr>
        <w:t xml:space="preserve"> („</w:t>
      </w:r>
      <w:proofErr w:type="spellStart"/>
      <w:r w:rsidR="004A6F02" w:rsidRPr="00E86F79">
        <w:rPr>
          <w:rFonts w:ascii="Times New Roman" w:hAnsi="Times New Roman" w:cs="Times New Roman"/>
          <w:bCs/>
          <w:color w:val="000000"/>
        </w:rPr>
        <w:t>lex</w:t>
      </w:r>
      <w:proofErr w:type="spellEnd"/>
      <w:r w:rsidR="004A6F02" w:rsidRPr="00E86F79">
        <w:rPr>
          <w:rFonts w:ascii="Times New Roman" w:hAnsi="Times New Roman" w:cs="Times New Roman"/>
          <w:bCs/>
          <w:color w:val="000000"/>
        </w:rPr>
        <w:t xml:space="preserve"> </w:t>
      </w:r>
      <w:proofErr w:type="spellStart"/>
      <w:r w:rsidR="004A6F02" w:rsidRPr="00E86F79">
        <w:rPr>
          <w:rFonts w:ascii="Times New Roman" w:hAnsi="Times New Roman" w:cs="Times New Roman"/>
          <w:bCs/>
          <w:color w:val="000000"/>
        </w:rPr>
        <w:t>imperfecta</w:t>
      </w:r>
      <w:proofErr w:type="spellEnd"/>
      <w:r w:rsidR="004A6F02" w:rsidRPr="00E86F79">
        <w:rPr>
          <w:rFonts w:ascii="Times New Roman" w:hAnsi="Times New Roman" w:cs="Times New Roman"/>
          <w:bCs/>
          <w:color w:val="000000"/>
        </w:rPr>
        <w:t xml:space="preserve">”, azaz következmények nélküli szabály). </w:t>
      </w:r>
    </w:p>
    <w:p w14:paraId="54587F11" w14:textId="77777777" w:rsidR="008409B1" w:rsidRDefault="008409B1" w:rsidP="00E86F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color w:val="000000"/>
        </w:rPr>
      </w:pPr>
    </w:p>
    <w:p w14:paraId="02666E53" w14:textId="2C6C8D75" w:rsidR="004A6F02" w:rsidRPr="00E86F79" w:rsidRDefault="004A6F02" w:rsidP="00E86F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rPr>
      </w:pPr>
      <w:r w:rsidRPr="00E86F79">
        <w:rPr>
          <w:rFonts w:ascii="Times New Roman" w:hAnsi="Times New Roman" w:cs="Times New Roman"/>
          <w:bCs/>
        </w:rPr>
        <w:t>Ezzel a problematikával sem a hatályos, sem a korábbi munkaügyi ellenőrzési jogszabály</w:t>
      </w:r>
      <w:r w:rsidR="00A72966">
        <w:rPr>
          <w:rStyle w:val="Lbjegyzet-hivatkozs"/>
          <w:rFonts w:ascii="Times New Roman" w:hAnsi="Times New Roman" w:cs="Times New Roman"/>
          <w:bCs/>
        </w:rPr>
        <w:footnoteReference w:id="43"/>
      </w:r>
      <w:r w:rsidRPr="00E86F79">
        <w:rPr>
          <w:rFonts w:ascii="Times New Roman" w:hAnsi="Times New Roman" w:cs="Times New Roman"/>
          <w:bCs/>
        </w:rPr>
        <w:t xml:space="preserve"> ) sem </w:t>
      </w:r>
      <w:proofErr w:type="gramStart"/>
      <w:r w:rsidRPr="00E86F79">
        <w:rPr>
          <w:rFonts w:ascii="Times New Roman" w:hAnsi="Times New Roman" w:cs="Times New Roman"/>
          <w:bCs/>
        </w:rPr>
        <w:t>kezd(</w:t>
      </w:r>
      <w:proofErr w:type="spellStart"/>
      <w:proofErr w:type="gramEnd"/>
      <w:r w:rsidRPr="00E86F79">
        <w:rPr>
          <w:rFonts w:ascii="Times New Roman" w:hAnsi="Times New Roman" w:cs="Times New Roman"/>
          <w:bCs/>
        </w:rPr>
        <w:t>ett</w:t>
      </w:r>
      <w:proofErr w:type="spellEnd"/>
      <w:r w:rsidRPr="00E86F79">
        <w:rPr>
          <w:rFonts w:ascii="Times New Roman" w:hAnsi="Times New Roman" w:cs="Times New Roman"/>
          <w:bCs/>
        </w:rPr>
        <w:t xml:space="preserve">) érdemben semmit, azaz a hatóság hatásköre nem terjed ki ilyen esetekre. Ugyan a korábban hatályos </w:t>
      </w:r>
      <w:proofErr w:type="spellStart"/>
      <w:r w:rsidRPr="00E86F79">
        <w:rPr>
          <w:rFonts w:ascii="Times New Roman" w:hAnsi="Times New Roman" w:cs="Times New Roman"/>
          <w:bCs/>
        </w:rPr>
        <w:t>Met</w:t>
      </w:r>
      <w:proofErr w:type="spellEnd"/>
      <w:r w:rsidRPr="00E86F79">
        <w:rPr>
          <w:rFonts w:ascii="Times New Roman" w:hAnsi="Times New Roman" w:cs="Times New Roman"/>
          <w:bCs/>
        </w:rPr>
        <w:t xml:space="preserve">. szövege tartalmazta, hogy a jogszabályi feltételeknek „meg nem </w:t>
      </w:r>
      <w:r w:rsidRPr="00E86F79">
        <w:rPr>
          <w:rFonts w:ascii="Times New Roman" w:hAnsi="Times New Roman" w:cs="Times New Roman"/>
          <w:bCs/>
        </w:rPr>
        <w:lastRenderedPageBreak/>
        <w:t>felelő foglalkoztatás”, illetve munkavállalás visszaszorítására, valamint a munkavállalók és érdekképviseleti szervei jogainak védelmére lett alkotva, de ennek oka az volt, hogy a hatóságnak még 1996-ban léteztek konkrét jogosultságai ezen a területen.</w:t>
      </w:r>
      <w:r w:rsidRPr="00E86F79">
        <w:rPr>
          <w:rStyle w:val="Lbjegyzet-hivatkozs"/>
          <w:rFonts w:ascii="Times New Roman" w:hAnsi="Times New Roman" w:cs="Times New Roman"/>
          <w:bCs/>
        </w:rPr>
        <w:footnoteReference w:id="44"/>
      </w:r>
      <w:r w:rsidRPr="00E86F79">
        <w:rPr>
          <w:rFonts w:ascii="Times New Roman" w:hAnsi="Times New Roman" w:cs="Times New Roman"/>
          <w:bCs/>
        </w:rPr>
        <w:t xml:space="preserve"> Így </w:t>
      </w:r>
      <w:bookmarkStart w:id="3" w:name="_Hlk60599321"/>
      <w:r w:rsidRPr="00E86F79">
        <w:rPr>
          <w:rFonts w:ascii="Times New Roman" w:hAnsi="Times New Roman" w:cs="Times New Roman"/>
          <w:bCs/>
        </w:rPr>
        <w:t>a munkaügyi ellenőrzés kiterjedt a munkavállalók gazdasági és társadalmi érdekei védelme céljából szakszervezet szervezését biztosító szabályokkal összefüggő munkáltatói kötelességekre, a választott szakszervezeti tisztséget betöltő munkavállalónak, az üzemi és a közalkalmazotti tanács tagjának és a munkavédelmi képviselőnek a munkajogi védelmére, valamint kedvezményére vonatkozó szabályok ellenőrzésére, illetve a szakszervezet által kifogásolt intézkedésekkel összefüggő munkáltatói kötelességek végrehajtására vonatkozó szabályok betartására.</w:t>
      </w:r>
      <w:r w:rsidRPr="00E86F79">
        <w:rPr>
          <w:rStyle w:val="Lbjegyzet-hivatkozs"/>
          <w:rFonts w:ascii="Times New Roman" w:hAnsi="Times New Roman" w:cs="Times New Roman"/>
          <w:bCs/>
        </w:rPr>
        <w:footnoteReference w:id="45"/>
      </w:r>
      <w:r w:rsidRPr="00E86F79">
        <w:rPr>
          <w:rFonts w:ascii="Times New Roman" w:hAnsi="Times New Roman" w:cs="Times New Roman"/>
          <w:bCs/>
        </w:rPr>
        <w:t xml:space="preserve"> </w:t>
      </w:r>
      <w:bookmarkEnd w:id="3"/>
    </w:p>
    <w:p w14:paraId="67DC6E5C" w14:textId="77777777" w:rsidR="00E86F79" w:rsidRPr="00E86F79" w:rsidRDefault="00E86F79" w:rsidP="00E86F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color w:val="000000"/>
        </w:rPr>
      </w:pPr>
    </w:p>
    <w:p w14:paraId="5FF9FFF3" w14:textId="77777777" w:rsidR="008409B1" w:rsidRDefault="004A6F02" w:rsidP="00E86F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rPr>
      </w:pPr>
      <w:r w:rsidRPr="00E86F79">
        <w:rPr>
          <w:rFonts w:ascii="Times New Roman" w:hAnsi="Times New Roman" w:cs="Times New Roman"/>
          <w:bCs/>
          <w:color w:val="000000"/>
        </w:rPr>
        <w:t>Indokoltnak tartanánk ezért az ellenőrzési tárgykörök – körültekintő, jól átgondolt – bővítését. Ennek megfelelő iránya lehet, hogy a</w:t>
      </w:r>
      <w:r w:rsidRPr="00E86F79">
        <w:rPr>
          <w:rFonts w:ascii="Times New Roman" w:hAnsi="Times New Roman" w:cs="Times New Roman"/>
          <w:bCs/>
        </w:rPr>
        <w:t>z Mt.-ben foglalt egyes (hatósági eszközökkel is bizonyítható) munkavállalói érdekképviseleti jogok megfelelő érvényesülésének vizsgálata kerüljön ismét a munkaügyi (foglalkoztatás-felügyeleti) ellenőrzés hatáskörébe, a jogsértéshez pedig kapcsolódjon szankció (klasszikusan a munkaügyi bírság kiszabása). Ilyenek lehetnének például</w:t>
      </w:r>
      <w:r w:rsidR="008409B1">
        <w:rPr>
          <w:rFonts w:ascii="Times New Roman" w:hAnsi="Times New Roman" w:cs="Times New Roman"/>
          <w:bCs/>
        </w:rPr>
        <w:t>:</w:t>
      </w:r>
      <w:r w:rsidRPr="00E86F79">
        <w:rPr>
          <w:rFonts w:ascii="Times New Roman" w:hAnsi="Times New Roman" w:cs="Times New Roman"/>
          <w:bCs/>
        </w:rPr>
        <w:t xml:space="preserve"> </w:t>
      </w:r>
    </w:p>
    <w:p w14:paraId="29601FB7" w14:textId="77777777" w:rsidR="008409B1" w:rsidRDefault="008409B1" w:rsidP="00E86F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rPr>
      </w:pPr>
      <w:r>
        <w:rPr>
          <w:rFonts w:ascii="Times New Roman" w:hAnsi="Times New Roman" w:cs="Times New Roman"/>
          <w:bCs/>
        </w:rPr>
        <w:t xml:space="preserve">- </w:t>
      </w:r>
      <w:r w:rsidR="004A6F02" w:rsidRPr="00E86F79">
        <w:rPr>
          <w:rFonts w:ascii="Times New Roman" w:hAnsi="Times New Roman" w:cs="Times New Roman"/>
          <w:bCs/>
        </w:rPr>
        <w:t xml:space="preserve">a szakszervezeti </w:t>
      </w:r>
      <w:r w:rsidR="004A6F02" w:rsidRPr="008409B1">
        <w:rPr>
          <w:rFonts w:ascii="Times New Roman" w:hAnsi="Times New Roman" w:cs="Times New Roman"/>
          <w:bCs/>
        </w:rPr>
        <w:t>tájékoztatási jog, a „propaganda” jog;</w:t>
      </w:r>
    </w:p>
    <w:p w14:paraId="7B8D967A" w14:textId="77777777" w:rsidR="008409B1" w:rsidRDefault="008409B1" w:rsidP="00E86F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rPr>
      </w:pPr>
      <w:r>
        <w:rPr>
          <w:rFonts w:ascii="Times New Roman" w:hAnsi="Times New Roman" w:cs="Times New Roman"/>
          <w:bCs/>
        </w:rPr>
        <w:t>-</w:t>
      </w:r>
      <w:r w:rsidR="004A6F02" w:rsidRPr="008409B1">
        <w:rPr>
          <w:rFonts w:ascii="Times New Roman" w:hAnsi="Times New Roman" w:cs="Times New Roman"/>
          <w:bCs/>
        </w:rPr>
        <w:t xml:space="preserve"> a „helyiséghasználati” jog, a „belépési” jog; </w:t>
      </w:r>
    </w:p>
    <w:p w14:paraId="3148F268" w14:textId="6C6BC1AC" w:rsidR="008409B1" w:rsidRDefault="008409B1" w:rsidP="00E86F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rPr>
      </w:pPr>
      <w:r>
        <w:rPr>
          <w:rFonts w:ascii="Times New Roman" w:hAnsi="Times New Roman" w:cs="Times New Roman"/>
          <w:bCs/>
        </w:rPr>
        <w:t xml:space="preserve">- </w:t>
      </w:r>
      <w:r w:rsidR="004A6F02" w:rsidRPr="008409B1">
        <w:rPr>
          <w:rFonts w:ascii="Times New Roman" w:hAnsi="Times New Roman" w:cs="Times New Roman"/>
          <w:bCs/>
        </w:rPr>
        <w:t>az üzemi tanács működését biztosító bizonyos jogosítványok</w:t>
      </w:r>
      <w:r>
        <w:rPr>
          <w:rFonts w:ascii="Times New Roman" w:hAnsi="Times New Roman" w:cs="Times New Roman"/>
          <w:bCs/>
        </w:rPr>
        <w:t>,</w:t>
      </w:r>
      <w:r w:rsidR="004A6F02" w:rsidRPr="008409B1">
        <w:rPr>
          <w:rFonts w:ascii="Times New Roman" w:hAnsi="Times New Roman" w:cs="Times New Roman"/>
          <w:bCs/>
        </w:rPr>
        <w:t xml:space="preserve"> </w:t>
      </w:r>
    </w:p>
    <w:p w14:paraId="423D859C" w14:textId="28E5FAA3" w:rsidR="004A6F02" w:rsidRPr="008409B1" w:rsidRDefault="008409B1" w:rsidP="00E86F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rPr>
      </w:pPr>
      <w:r>
        <w:rPr>
          <w:rFonts w:ascii="Times New Roman" w:hAnsi="Times New Roman" w:cs="Times New Roman"/>
          <w:bCs/>
        </w:rPr>
        <w:t xml:space="preserve">- </w:t>
      </w:r>
      <w:r w:rsidR="004A6F02" w:rsidRPr="008409B1">
        <w:rPr>
          <w:rFonts w:ascii="Times New Roman" w:hAnsi="Times New Roman" w:cs="Times New Roman"/>
          <w:bCs/>
        </w:rPr>
        <w:t>az információs és konzultációs jogok megsértése.</w:t>
      </w:r>
    </w:p>
    <w:p w14:paraId="4BC0396A" w14:textId="77777777" w:rsidR="004A6F02" w:rsidRPr="00902155" w:rsidRDefault="004A6F02" w:rsidP="00651AFA">
      <w:pPr>
        <w:jc w:val="both"/>
        <w:rPr>
          <w:rFonts w:ascii="Times New Roman" w:hAnsi="Times New Roman" w:cs="Times New Roman"/>
          <w:b/>
          <w:bCs/>
        </w:rPr>
      </w:pPr>
    </w:p>
    <w:p w14:paraId="025F8A75" w14:textId="2494DFC6" w:rsidR="00915C91" w:rsidRDefault="00915C91" w:rsidP="00651AFA">
      <w:pPr>
        <w:autoSpaceDE w:val="0"/>
        <w:autoSpaceDN w:val="0"/>
        <w:adjustRightInd w:val="0"/>
        <w:jc w:val="both"/>
        <w:rPr>
          <w:rFonts w:ascii="Times New Roman" w:hAnsi="Times New Roman" w:cs="Times New Roman"/>
        </w:rPr>
      </w:pPr>
    </w:p>
    <w:p w14:paraId="4DBD5575" w14:textId="77777777" w:rsidR="00915C91" w:rsidRPr="009C1A9D" w:rsidRDefault="00915C91" w:rsidP="00915C91">
      <w:pPr>
        <w:spacing w:line="276" w:lineRule="auto"/>
        <w:jc w:val="center"/>
        <w:rPr>
          <w:rFonts w:ascii="Times New Roman" w:hAnsi="Times New Roman" w:cs="Times New Roman"/>
          <w:b/>
        </w:rPr>
      </w:pPr>
      <w:r w:rsidRPr="009C1A9D">
        <w:rPr>
          <w:rFonts w:ascii="Times New Roman" w:hAnsi="Times New Roman" w:cs="Times New Roman"/>
          <w:b/>
        </w:rPr>
        <w:t xml:space="preserve">A FEJEZETBEN </w:t>
      </w:r>
      <w:r>
        <w:rPr>
          <w:rFonts w:ascii="Times New Roman" w:hAnsi="Times New Roman" w:cs="Times New Roman"/>
          <w:b/>
        </w:rPr>
        <w:t xml:space="preserve">SZEREPLŐ </w:t>
      </w:r>
      <w:r w:rsidRPr="009C1A9D">
        <w:rPr>
          <w:rFonts w:ascii="Times New Roman" w:hAnsi="Times New Roman" w:cs="Times New Roman"/>
          <w:b/>
        </w:rPr>
        <w:t xml:space="preserve">JAVASLATOK RÖVIDEN </w:t>
      </w:r>
    </w:p>
    <w:p w14:paraId="738437CD" w14:textId="77777777" w:rsidR="00915C91" w:rsidRDefault="00915C91" w:rsidP="00915C91">
      <w:pPr>
        <w:spacing w:line="276" w:lineRule="auto"/>
        <w:jc w:val="both"/>
        <w:rPr>
          <w:rFonts w:ascii="Times New Roman" w:hAnsi="Times New Roman" w:cs="Times New Roman"/>
        </w:rPr>
      </w:pPr>
    </w:p>
    <w:p w14:paraId="78372C9F" w14:textId="008EADE3" w:rsidR="00CB1507" w:rsidRPr="009D606E" w:rsidRDefault="00CB1507" w:rsidP="00651AFA">
      <w:pPr>
        <w:autoSpaceDE w:val="0"/>
        <w:autoSpaceDN w:val="0"/>
        <w:adjustRightInd w:val="0"/>
        <w:jc w:val="both"/>
        <w:rPr>
          <w:rFonts w:ascii="Times New Roman" w:hAnsi="Times New Roman" w:cs="Times New Roman"/>
          <w:b/>
          <w:bCs/>
        </w:rPr>
      </w:pPr>
      <w:r w:rsidRPr="009D606E">
        <w:rPr>
          <w:rFonts w:ascii="Times New Roman" w:hAnsi="Times New Roman" w:cs="Times New Roman"/>
          <w:b/>
          <w:bCs/>
        </w:rPr>
        <w:t>A</w:t>
      </w:r>
      <w:r w:rsidR="001C510C" w:rsidRPr="009D606E">
        <w:rPr>
          <w:rFonts w:ascii="Times New Roman" w:hAnsi="Times New Roman" w:cs="Times New Roman"/>
          <w:b/>
          <w:bCs/>
        </w:rPr>
        <w:t xml:space="preserve"> fentiekben </w:t>
      </w:r>
      <w:r w:rsidR="00F3096F" w:rsidRPr="009D606E">
        <w:rPr>
          <w:rFonts w:ascii="Times New Roman" w:hAnsi="Times New Roman" w:cs="Times New Roman"/>
          <w:b/>
          <w:bCs/>
        </w:rPr>
        <w:t>kifejtett</w:t>
      </w:r>
      <w:r w:rsidRPr="009D606E">
        <w:rPr>
          <w:rFonts w:ascii="Times New Roman" w:hAnsi="Times New Roman" w:cs="Times New Roman"/>
          <w:b/>
          <w:bCs/>
        </w:rPr>
        <w:t xml:space="preserve"> javaslatain</w:t>
      </w:r>
      <w:r w:rsidR="00F3096F" w:rsidRPr="009D606E">
        <w:rPr>
          <w:rFonts w:ascii="Times New Roman" w:hAnsi="Times New Roman" w:cs="Times New Roman"/>
          <w:b/>
          <w:bCs/>
        </w:rPr>
        <w:t>k</w:t>
      </w:r>
      <w:r w:rsidRPr="009D606E">
        <w:rPr>
          <w:rFonts w:ascii="Times New Roman" w:hAnsi="Times New Roman" w:cs="Times New Roman"/>
          <w:b/>
          <w:bCs/>
        </w:rPr>
        <w:t xml:space="preserve"> az alábbiak</w:t>
      </w:r>
      <w:r w:rsidR="00F3096F" w:rsidRPr="009D606E">
        <w:rPr>
          <w:rFonts w:ascii="Times New Roman" w:hAnsi="Times New Roman" w:cs="Times New Roman"/>
          <w:b/>
          <w:bCs/>
        </w:rPr>
        <w:t xml:space="preserve"> szerint</w:t>
      </w:r>
      <w:r w:rsidRPr="009D606E">
        <w:rPr>
          <w:rFonts w:ascii="Times New Roman" w:hAnsi="Times New Roman" w:cs="Times New Roman"/>
          <w:b/>
          <w:bCs/>
        </w:rPr>
        <w:t xml:space="preserve"> </w:t>
      </w:r>
      <w:r w:rsidR="00F3096F" w:rsidRPr="009D606E">
        <w:rPr>
          <w:rFonts w:ascii="Times New Roman" w:hAnsi="Times New Roman" w:cs="Times New Roman"/>
          <w:b/>
          <w:bCs/>
        </w:rPr>
        <w:t>foglalhatók</w:t>
      </w:r>
      <w:r w:rsidRPr="009D606E">
        <w:rPr>
          <w:rFonts w:ascii="Times New Roman" w:hAnsi="Times New Roman" w:cs="Times New Roman"/>
          <w:b/>
          <w:bCs/>
        </w:rPr>
        <w:t xml:space="preserve"> össze:</w:t>
      </w:r>
    </w:p>
    <w:p w14:paraId="1179677A" w14:textId="0D5774C0" w:rsidR="00CB1507" w:rsidRPr="009D606E" w:rsidRDefault="00CB1507" w:rsidP="00651AFA">
      <w:pPr>
        <w:autoSpaceDE w:val="0"/>
        <w:autoSpaceDN w:val="0"/>
        <w:adjustRightInd w:val="0"/>
        <w:jc w:val="both"/>
        <w:rPr>
          <w:rFonts w:ascii="Times New Roman" w:hAnsi="Times New Roman" w:cs="Times New Roman"/>
          <w:b/>
          <w:bCs/>
        </w:rPr>
      </w:pPr>
      <w:r w:rsidRPr="009D606E">
        <w:rPr>
          <w:rFonts w:ascii="Times New Roman" w:hAnsi="Times New Roman" w:cs="Times New Roman"/>
          <w:b/>
          <w:bCs/>
        </w:rPr>
        <w:t xml:space="preserve">- </w:t>
      </w:r>
      <w:r w:rsidR="00857683">
        <w:rPr>
          <w:rFonts w:ascii="Times New Roman" w:eastAsia="Calibri" w:hAnsi="Times New Roman" w:cs="Times New Roman"/>
          <w:b/>
          <w:bCs/>
        </w:rPr>
        <w:t>I</w:t>
      </w:r>
      <w:r w:rsidRPr="009D606E">
        <w:rPr>
          <w:rFonts w:ascii="Times New Roman" w:eastAsia="Calibri" w:hAnsi="Times New Roman" w:cs="Times New Roman"/>
          <w:b/>
          <w:bCs/>
        </w:rPr>
        <w:t>ndokolt az Mt. szakszervezetekkel kapcsolatos fogalomhasználat</w:t>
      </w:r>
      <w:r w:rsidR="00057949" w:rsidRPr="009D606E">
        <w:rPr>
          <w:rFonts w:ascii="Times New Roman" w:eastAsia="Calibri" w:hAnsi="Times New Roman" w:cs="Times New Roman"/>
          <w:b/>
          <w:bCs/>
        </w:rPr>
        <w:t xml:space="preserve">ának </w:t>
      </w:r>
      <w:r w:rsidRPr="009D606E">
        <w:rPr>
          <w:rFonts w:ascii="Times New Roman" w:eastAsia="Calibri" w:hAnsi="Times New Roman" w:cs="Times New Roman"/>
          <w:b/>
          <w:bCs/>
          <w:shd w:val="clear" w:color="auto" w:fill="FFFFFF"/>
          <w:lang w:eastAsia="hu-HU"/>
        </w:rPr>
        <w:t>(</w:t>
      </w:r>
      <w:r w:rsidR="00057949" w:rsidRPr="009D606E">
        <w:rPr>
          <w:rFonts w:ascii="Times New Roman" w:eastAsia="Calibri" w:hAnsi="Times New Roman" w:cs="Times New Roman"/>
          <w:b/>
          <w:bCs/>
          <w:shd w:val="clear" w:color="auto" w:fill="FFFFFF"/>
          <w:lang w:eastAsia="hu-HU"/>
        </w:rPr>
        <w:t xml:space="preserve">például </w:t>
      </w:r>
      <w:r w:rsidRPr="009D606E">
        <w:rPr>
          <w:rFonts w:ascii="Times New Roman" w:eastAsia="Calibri" w:hAnsi="Times New Roman" w:cs="Times New Roman"/>
          <w:b/>
          <w:bCs/>
          <w:shd w:val="clear" w:color="auto" w:fill="FFFFFF"/>
          <w:lang w:eastAsia="hu-HU"/>
        </w:rPr>
        <w:t>„tisztségviselő”, „felsőbb szerv”) átfogó felülvizsgálat</w:t>
      </w:r>
      <w:r w:rsidR="00057949" w:rsidRPr="009D606E">
        <w:rPr>
          <w:rFonts w:ascii="Times New Roman" w:eastAsia="Calibri" w:hAnsi="Times New Roman" w:cs="Times New Roman"/>
          <w:b/>
          <w:bCs/>
          <w:shd w:val="clear" w:color="auto" w:fill="FFFFFF"/>
          <w:lang w:eastAsia="hu-HU"/>
        </w:rPr>
        <w:t>a</w:t>
      </w:r>
      <w:r w:rsidR="00857683">
        <w:rPr>
          <w:rFonts w:ascii="Times New Roman" w:eastAsia="Calibri" w:hAnsi="Times New Roman" w:cs="Times New Roman"/>
          <w:b/>
          <w:bCs/>
          <w:shd w:val="clear" w:color="auto" w:fill="FFFFFF"/>
          <w:lang w:eastAsia="hu-HU"/>
        </w:rPr>
        <w:t>.</w:t>
      </w:r>
    </w:p>
    <w:p w14:paraId="3A86FE7B" w14:textId="3BE1FD4F" w:rsidR="00CB1507" w:rsidRPr="009D606E" w:rsidRDefault="00CB1507" w:rsidP="00CB1507">
      <w:pPr>
        <w:autoSpaceDE w:val="0"/>
        <w:autoSpaceDN w:val="0"/>
        <w:adjustRightInd w:val="0"/>
        <w:jc w:val="both"/>
        <w:rPr>
          <w:rFonts w:ascii="Times New Roman" w:eastAsia="Calibri" w:hAnsi="Times New Roman" w:cs="Times New Roman"/>
          <w:b/>
          <w:bCs/>
        </w:rPr>
      </w:pPr>
      <w:r w:rsidRPr="009D606E">
        <w:rPr>
          <w:rFonts w:ascii="Times New Roman" w:eastAsia="Calibri" w:hAnsi="Times New Roman" w:cs="Times New Roman"/>
          <w:b/>
          <w:bCs/>
        </w:rPr>
        <w:t xml:space="preserve">- </w:t>
      </w:r>
      <w:r w:rsidR="00857683">
        <w:rPr>
          <w:rFonts w:ascii="Times New Roman" w:eastAsia="Calibri" w:hAnsi="Times New Roman" w:cs="Times New Roman"/>
          <w:b/>
          <w:bCs/>
        </w:rPr>
        <w:t>S</w:t>
      </w:r>
      <w:r w:rsidRPr="009D606E">
        <w:rPr>
          <w:rFonts w:ascii="Times New Roman" w:eastAsia="Calibri" w:hAnsi="Times New Roman" w:cs="Times New Roman"/>
          <w:b/>
          <w:bCs/>
        </w:rPr>
        <w:t>zükséges a szakszervezeti jogosítványok jogállás- és szektorsemleges biztosítása, a kollektív szerződéses szabályozás lehetőségeinek differenciálása mellet</w:t>
      </w:r>
      <w:r w:rsidR="008F1108">
        <w:rPr>
          <w:rFonts w:ascii="Times New Roman" w:eastAsia="Calibri" w:hAnsi="Times New Roman" w:cs="Times New Roman"/>
          <w:b/>
          <w:bCs/>
        </w:rPr>
        <w:t>t a közszféra, illetve a versenyszféra területén.</w:t>
      </w:r>
    </w:p>
    <w:p w14:paraId="6C4C8F61" w14:textId="54A55CDB" w:rsidR="00470A89" w:rsidRPr="009D606E" w:rsidRDefault="00470A89" w:rsidP="00CB1507">
      <w:pPr>
        <w:autoSpaceDE w:val="0"/>
        <w:autoSpaceDN w:val="0"/>
        <w:adjustRightInd w:val="0"/>
        <w:jc w:val="both"/>
        <w:rPr>
          <w:rFonts w:ascii="Times New Roman" w:eastAsia="Times New Roman" w:hAnsi="Times New Roman" w:cs="Times New Roman"/>
          <w:b/>
          <w:bCs/>
          <w:color w:val="000000" w:themeColor="text1"/>
          <w:lang w:eastAsia="hu-HU"/>
        </w:rPr>
      </w:pPr>
      <w:r w:rsidRPr="009D606E">
        <w:rPr>
          <w:rFonts w:ascii="Times New Roman" w:eastAsia="Calibri" w:hAnsi="Times New Roman" w:cs="Times New Roman"/>
          <w:b/>
          <w:bCs/>
        </w:rPr>
        <w:t xml:space="preserve">- </w:t>
      </w:r>
      <w:r w:rsidR="00857683">
        <w:rPr>
          <w:rFonts w:ascii="Times New Roman" w:eastAsia="Times New Roman" w:hAnsi="Times New Roman" w:cs="Times New Roman"/>
          <w:b/>
          <w:bCs/>
          <w:color w:val="000000" w:themeColor="text1"/>
          <w:lang w:eastAsia="hu-HU"/>
        </w:rPr>
        <w:t>S</w:t>
      </w:r>
      <w:r w:rsidRPr="009D606E">
        <w:rPr>
          <w:rFonts w:ascii="Times New Roman" w:eastAsia="Times New Roman" w:hAnsi="Times New Roman" w:cs="Times New Roman"/>
          <w:b/>
          <w:bCs/>
          <w:color w:val="000000" w:themeColor="text1"/>
          <w:lang w:eastAsia="hu-HU"/>
        </w:rPr>
        <w:t>zükséges az üzemi tanács és a szakszervezet funkcionális szétválasztása, és jogosítványaik „profiltisztítása”</w:t>
      </w:r>
      <w:r w:rsidR="00650026">
        <w:rPr>
          <w:rFonts w:ascii="Times New Roman" w:eastAsia="Times New Roman" w:hAnsi="Times New Roman" w:cs="Times New Roman"/>
          <w:b/>
          <w:bCs/>
          <w:color w:val="000000" w:themeColor="text1"/>
          <w:lang w:eastAsia="hu-HU"/>
        </w:rPr>
        <w:t xml:space="preserve"> (így pl. </w:t>
      </w:r>
      <w:r w:rsidR="00C2281E">
        <w:rPr>
          <w:rFonts w:ascii="Times New Roman" w:eastAsia="Times New Roman" w:hAnsi="Times New Roman" w:cs="Times New Roman"/>
          <w:b/>
          <w:bCs/>
          <w:color w:val="000000" w:themeColor="text1"/>
          <w:lang w:eastAsia="hu-HU"/>
        </w:rPr>
        <w:t xml:space="preserve">indokolt lenne </w:t>
      </w:r>
      <w:r w:rsidR="00650026">
        <w:rPr>
          <w:rFonts w:ascii="Times New Roman" w:eastAsia="Times New Roman" w:hAnsi="Times New Roman" w:cs="Times New Roman"/>
          <w:b/>
          <w:bCs/>
          <w:color w:val="000000" w:themeColor="text1"/>
          <w:lang w:eastAsia="hu-HU"/>
        </w:rPr>
        <w:t>a normatív hatályú üzemi megállapodás lehetőségének eltörlés</w:t>
      </w:r>
      <w:r w:rsidR="00C2281E">
        <w:rPr>
          <w:rFonts w:ascii="Times New Roman" w:eastAsia="Times New Roman" w:hAnsi="Times New Roman" w:cs="Times New Roman"/>
          <w:b/>
          <w:bCs/>
          <w:color w:val="000000" w:themeColor="text1"/>
          <w:lang w:eastAsia="hu-HU"/>
        </w:rPr>
        <w:t>e)</w:t>
      </w:r>
      <w:r w:rsidR="00857683">
        <w:rPr>
          <w:rFonts w:ascii="Times New Roman" w:eastAsia="Times New Roman" w:hAnsi="Times New Roman" w:cs="Times New Roman"/>
          <w:b/>
          <w:bCs/>
          <w:color w:val="000000" w:themeColor="text1"/>
          <w:lang w:eastAsia="hu-HU"/>
        </w:rPr>
        <w:t>.</w:t>
      </w:r>
    </w:p>
    <w:p w14:paraId="758762AA" w14:textId="799A5820" w:rsidR="00470A89" w:rsidRPr="009D606E" w:rsidRDefault="00545645" w:rsidP="00CB1507">
      <w:pPr>
        <w:autoSpaceDE w:val="0"/>
        <w:autoSpaceDN w:val="0"/>
        <w:adjustRightInd w:val="0"/>
        <w:jc w:val="both"/>
        <w:rPr>
          <w:rFonts w:ascii="Times New Roman" w:eastAsia="Times New Roman" w:hAnsi="Times New Roman" w:cs="Times New Roman"/>
          <w:b/>
          <w:bCs/>
          <w:lang w:eastAsia="hu-HU"/>
        </w:rPr>
      </w:pPr>
      <w:r w:rsidRPr="009D606E">
        <w:rPr>
          <w:rFonts w:ascii="Times New Roman" w:eastAsia="Calibri" w:hAnsi="Times New Roman" w:cs="Times New Roman"/>
          <w:b/>
          <w:bCs/>
        </w:rPr>
        <w:t xml:space="preserve">- </w:t>
      </w:r>
      <w:r w:rsidR="00857683">
        <w:rPr>
          <w:rFonts w:ascii="Times New Roman" w:eastAsia="Times New Roman" w:hAnsi="Times New Roman" w:cs="Times New Roman"/>
          <w:b/>
          <w:bCs/>
          <w:lang w:eastAsia="hu-HU"/>
        </w:rPr>
        <w:t>A</w:t>
      </w:r>
      <w:r w:rsidRPr="009D606E">
        <w:rPr>
          <w:rFonts w:ascii="Times New Roman" w:eastAsia="Times New Roman" w:hAnsi="Times New Roman" w:cs="Times New Roman"/>
          <w:b/>
          <w:bCs/>
          <w:lang w:eastAsia="hu-HU"/>
        </w:rPr>
        <w:t xml:space="preserve"> szakszervezeti tisztségviselők munkajogi védelmét a szakszervezeti taglétszám</w:t>
      </w:r>
      <w:r w:rsidR="00A61FE5" w:rsidRPr="009D606E">
        <w:rPr>
          <w:rFonts w:ascii="Times New Roman" w:eastAsia="Times New Roman" w:hAnsi="Times New Roman" w:cs="Times New Roman"/>
          <w:b/>
          <w:bCs/>
          <w:lang w:eastAsia="hu-HU"/>
        </w:rPr>
        <w:t xml:space="preserve">tól </w:t>
      </w:r>
      <w:r w:rsidR="00857683">
        <w:rPr>
          <w:rFonts w:ascii="Times New Roman" w:eastAsia="Times New Roman" w:hAnsi="Times New Roman" w:cs="Times New Roman"/>
          <w:b/>
          <w:bCs/>
          <w:lang w:eastAsia="hu-HU"/>
        </w:rPr>
        <w:t xml:space="preserve">kellene </w:t>
      </w:r>
      <w:r w:rsidR="00A61FE5" w:rsidRPr="009D606E">
        <w:rPr>
          <w:rFonts w:ascii="Times New Roman" w:eastAsia="Times New Roman" w:hAnsi="Times New Roman" w:cs="Times New Roman"/>
          <w:b/>
          <w:bCs/>
          <w:lang w:eastAsia="hu-HU"/>
        </w:rPr>
        <w:t>függővé tenni</w:t>
      </w:r>
      <w:r w:rsidR="00857683">
        <w:rPr>
          <w:rFonts w:ascii="Times New Roman" w:eastAsia="Times New Roman" w:hAnsi="Times New Roman" w:cs="Times New Roman"/>
          <w:b/>
          <w:bCs/>
          <w:lang w:eastAsia="hu-HU"/>
        </w:rPr>
        <w:t>.</w:t>
      </w:r>
    </w:p>
    <w:p w14:paraId="279F79D6" w14:textId="70284EBE" w:rsidR="00A61FE5" w:rsidRPr="009D606E" w:rsidRDefault="00A61FE5" w:rsidP="00CB1507">
      <w:pPr>
        <w:autoSpaceDE w:val="0"/>
        <w:autoSpaceDN w:val="0"/>
        <w:adjustRightInd w:val="0"/>
        <w:jc w:val="both"/>
        <w:rPr>
          <w:rFonts w:ascii="Times New Roman" w:eastAsia="Calibri" w:hAnsi="Times New Roman" w:cs="Times New Roman"/>
          <w:b/>
          <w:bCs/>
        </w:rPr>
      </w:pPr>
      <w:r w:rsidRPr="009D606E">
        <w:rPr>
          <w:rFonts w:ascii="Times New Roman" w:eastAsia="Times New Roman" w:hAnsi="Times New Roman" w:cs="Times New Roman"/>
          <w:b/>
          <w:bCs/>
          <w:lang w:eastAsia="hu-HU"/>
        </w:rPr>
        <w:t xml:space="preserve">- </w:t>
      </w:r>
      <w:r w:rsidR="00857683">
        <w:rPr>
          <w:rFonts w:ascii="Times New Roman" w:eastAsia="Times New Roman" w:hAnsi="Times New Roman" w:cs="Times New Roman"/>
          <w:b/>
          <w:bCs/>
          <w:color w:val="000000" w:themeColor="text1"/>
          <w:lang w:eastAsia="hu-HU"/>
        </w:rPr>
        <w:t xml:space="preserve">Lehetővé kellene tenni </w:t>
      </w:r>
      <w:r w:rsidR="00CB3709" w:rsidRPr="009D606E">
        <w:rPr>
          <w:rFonts w:ascii="Times New Roman" w:eastAsia="Times New Roman" w:hAnsi="Times New Roman" w:cs="Times New Roman"/>
          <w:b/>
          <w:bCs/>
          <w:color w:val="000000" w:themeColor="text1"/>
          <w:lang w:eastAsia="hu-HU"/>
        </w:rPr>
        <w:t xml:space="preserve">a szakszervezet </w:t>
      </w:r>
      <w:r w:rsidR="00857683">
        <w:rPr>
          <w:rFonts w:ascii="Times New Roman" w:eastAsia="Times New Roman" w:hAnsi="Times New Roman" w:cs="Times New Roman"/>
          <w:b/>
          <w:bCs/>
          <w:color w:val="000000" w:themeColor="text1"/>
          <w:lang w:eastAsia="hu-HU"/>
        </w:rPr>
        <w:t xml:space="preserve">számára a </w:t>
      </w:r>
      <w:r w:rsidR="00CB3709" w:rsidRPr="009D606E">
        <w:rPr>
          <w:rFonts w:ascii="Times New Roman" w:eastAsia="Times New Roman" w:hAnsi="Times New Roman" w:cs="Times New Roman"/>
          <w:b/>
          <w:bCs/>
          <w:color w:val="000000" w:themeColor="text1"/>
          <w:lang w:eastAsia="hu-HU"/>
        </w:rPr>
        <w:t xml:space="preserve">közérdekű </w:t>
      </w:r>
      <w:r w:rsidR="00FA00E4" w:rsidRPr="009D606E">
        <w:rPr>
          <w:rFonts w:ascii="Times New Roman" w:eastAsia="Times New Roman" w:hAnsi="Times New Roman" w:cs="Times New Roman"/>
          <w:b/>
          <w:bCs/>
          <w:color w:val="000000" w:themeColor="text1"/>
          <w:lang w:eastAsia="hu-HU"/>
        </w:rPr>
        <w:t>igényérvényesítés</w:t>
      </w:r>
      <w:r w:rsidR="00857683">
        <w:rPr>
          <w:rFonts w:ascii="Times New Roman" w:eastAsia="Times New Roman" w:hAnsi="Times New Roman" w:cs="Times New Roman"/>
          <w:b/>
          <w:bCs/>
          <w:color w:val="000000" w:themeColor="text1"/>
          <w:lang w:eastAsia="hu-HU"/>
        </w:rPr>
        <w:t>.</w:t>
      </w:r>
    </w:p>
    <w:p w14:paraId="0172394E" w14:textId="3928577C" w:rsidR="00FB6D7F" w:rsidRPr="009D606E" w:rsidRDefault="00CB1507" w:rsidP="00CB1507">
      <w:pPr>
        <w:autoSpaceDE w:val="0"/>
        <w:autoSpaceDN w:val="0"/>
        <w:adjustRightInd w:val="0"/>
        <w:jc w:val="both"/>
        <w:rPr>
          <w:rFonts w:ascii="Times New Roman" w:eastAsia="Calibri" w:hAnsi="Times New Roman" w:cs="Times New Roman"/>
          <w:b/>
          <w:bCs/>
        </w:rPr>
      </w:pPr>
      <w:r w:rsidRPr="009D606E">
        <w:rPr>
          <w:rFonts w:ascii="Times New Roman" w:eastAsia="Calibri" w:hAnsi="Times New Roman" w:cs="Times New Roman"/>
          <w:b/>
          <w:bCs/>
        </w:rPr>
        <w:t xml:space="preserve">- </w:t>
      </w:r>
      <w:r w:rsidR="00857683">
        <w:rPr>
          <w:rFonts w:ascii="Times New Roman" w:eastAsia="Calibri" w:hAnsi="Times New Roman" w:cs="Times New Roman"/>
          <w:b/>
          <w:bCs/>
        </w:rPr>
        <w:t xml:space="preserve">Át kellene alakítani </w:t>
      </w:r>
      <w:r w:rsidR="006A37CD" w:rsidRPr="009D606E">
        <w:rPr>
          <w:rFonts w:ascii="Times New Roman" w:eastAsia="Calibri" w:hAnsi="Times New Roman" w:cs="Times New Roman"/>
          <w:b/>
          <w:bCs/>
        </w:rPr>
        <w:t xml:space="preserve">a munkaidő-kedvezmény </w:t>
      </w:r>
      <w:r w:rsidR="00857683">
        <w:rPr>
          <w:rFonts w:ascii="Times New Roman" w:eastAsia="Calibri" w:hAnsi="Times New Roman" w:cs="Times New Roman"/>
          <w:b/>
          <w:bCs/>
        </w:rPr>
        <w:t>szabályait</w:t>
      </w:r>
      <w:r w:rsidR="00FB6D7F" w:rsidRPr="009D606E">
        <w:rPr>
          <w:rFonts w:ascii="Times New Roman" w:eastAsia="Calibri" w:hAnsi="Times New Roman" w:cs="Times New Roman"/>
          <w:b/>
          <w:bCs/>
        </w:rPr>
        <w:t xml:space="preserve">, valamint </w:t>
      </w:r>
      <w:r w:rsidR="00857683">
        <w:rPr>
          <w:rFonts w:ascii="Times New Roman" w:eastAsia="Calibri" w:hAnsi="Times New Roman" w:cs="Times New Roman"/>
          <w:b/>
          <w:bCs/>
        </w:rPr>
        <w:t xml:space="preserve">lehetővé kellene tenni </w:t>
      </w:r>
      <w:r w:rsidR="00FB6D7F" w:rsidRPr="009D606E">
        <w:rPr>
          <w:rFonts w:ascii="Times New Roman" w:eastAsia="Calibri" w:hAnsi="Times New Roman" w:cs="Times New Roman"/>
          <w:b/>
          <w:bCs/>
        </w:rPr>
        <w:t xml:space="preserve">a </w:t>
      </w:r>
      <w:r w:rsidR="001A7B9C" w:rsidRPr="009D606E">
        <w:rPr>
          <w:rFonts w:ascii="Times New Roman" w:eastAsia="Calibri" w:hAnsi="Times New Roman" w:cs="Times New Roman"/>
          <w:b/>
          <w:bCs/>
        </w:rPr>
        <w:t xml:space="preserve">szakszervezet által foglalkoztatott tisztségviselők és szakértők </w:t>
      </w:r>
      <w:r w:rsidR="00631EC4" w:rsidRPr="009D606E">
        <w:rPr>
          <w:rFonts w:ascii="Times New Roman" w:eastAsia="Calibri" w:hAnsi="Times New Roman" w:cs="Times New Roman"/>
          <w:b/>
          <w:bCs/>
        </w:rPr>
        <w:t>állami alapból történő finanszírozás</w:t>
      </w:r>
      <w:r w:rsidR="00857683">
        <w:rPr>
          <w:rFonts w:ascii="Times New Roman" w:eastAsia="Calibri" w:hAnsi="Times New Roman" w:cs="Times New Roman"/>
          <w:b/>
          <w:bCs/>
        </w:rPr>
        <w:t>át.</w:t>
      </w:r>
    </w:p>
    <w:p w14:paraId="483C51D7" w14:textId="417BD2EF" w:rsidR="00001836" w:rsidRPr="009D606E" w:rsidRDefault="00FB6D7F" w:rsidP="00486B05">
      <w:pPr>
        <w:jc w:val="both"/>
        <w:rPr>
          <w:rFonts w:ascii="Times New Roman" w:eastAsia="Calibri" w:hAnsi="Times New Roman" w:cs="Times New Roman"/>
          <w:b/>
          <w:bCs/>
        </w:rPr>
      </w:pPr>
      <w:r w:rsidRPr="009D606E">
        <w:rPr>
          <w:rFonts w:ascii="Times New Roman" w:eastAsia="Calibri" w:hAnsi="Times New Roman" w:cs="Times New Roman"/>
          <w:b/>
          <w:bCs/>
        </w:rPr>
        <w:t xml:space="preserve">- </w:t>
      </w:r>
      <w:r w:rsidR="006A37CD" w:rsidRPr="009D606E">
        <w:rPr>
          <w:rFonts w:ascii="Times New Roman" w:eastAsia="Calibri" w:hAnsi="Times New Roman" w:cs="Times New Roman"/>
          <w:b/>
          <w:bCs/>
        </w:rPr>
        <w:t xml:space="preserve"> </w:t>
      </w:r>
      <w:r w:rsidR="00857683">
        <w:rPr>
          <w:rFonts w:ascii="Times New Roman" w:eastAsia="Calibri" w:hAnsi="Times New Roman" w:cs="Times New Roman"/>
          <w:b/>
          <w:bCs/>
        </w:rPr>
        <w:t>I</w:t>
      </w:r>
      <w:r w:rsidR="004A15C5" w:rsidRPr="009D606E">
        <w:rPr>
          <w:rFonts w:ascii="Times New Roman" w:eastAsia="Calibri" w:hAnsi="Times New Roman" w:cs="Times New Roman"/>
          <w:b/>
          <w:bCs/>
        </w:rPr>
        <w:t>ndokolt lenne kidolgozni</w:t>
      </w:r>
      <w:r w:rsidR="00486B05" w:rsidRPr="009D606E">
        <w:rPr>
          <w:rFonts w:ascii="Times New Roman" w:eastAsia="Calibri" w:hAnsi="Times New Roman" w:cs="Times New Roman"/>
          <w:b/>
          <w:bCs/>
        </w:rPr>
        <w:t xml:space="preserve"> a szakszervezetek normatív támogatási rendszeré</w:t>
      </w:r>
      <w:r w:rsidR="004A15C5" w:rsidRPr="009D606E">
        <w:rPr>
          <w:rFonts w:ascii="Times New Roman" w:eastAsia="Calibri" w:hAnsi="Times New Roman" w:cs="Times New Roman"/>
          <w:b/>
          <w:bCs/>
        </w:rPr>
        <w:t>t a</w:t>
      </w:r>
      <w:r w:rsidR="00486B05" w:rsidRPr="009D606E">
        <w:rPr>
          <w:rFonts w:ascii="Times New Roman" w:eastAsia="Calibri" w:hAnsi="Times New Roman" w:cs="Times New Roman"/>
          <w:b/>
          <w:bCs/>
        </w:rPr>
        <w:t xml:space="preserve"> taglétszám</w:t>
      </w:r>
      <w:r w:rsidR="00857683">
        <w:rPr>
          <w:rFonts w:ascii="Times New Roman" w:eastAsia="Calibri" w:hAnsi="Times New Roman" w:cs="Times New Roman"/>
          <w:b/>
          <w:bCs/>
        </w:rPr>
        <w:t xml:space="preserve"> alapján.</w:t>
      </w:r>
    </w:p>
    <w:p w14:paraId="436C5D39" w14:textId="38D35621" w:rsidR="00486B05" w:rsidRPr="009D606E" w:rsidRDefault="00001836" w:rsidP="00486B05">
      <w:pPr>
        <w:jc w:val="both"/>
        <w:rPr>
          <w:rFonts w:ascii="Times New Roman" w:eastAsia="Calibri" w:hAnsi="Times New Roman" w:cs="Times New Roman"/>
          <w:b/>
          <w:bCs/>
        </w:rPr>
      </w:pPr>
      <w:r w:rsidRPr="009D606E">
        <w:rPr>
          <w:rFonts w:ascii="Times New Roman" w:eastAsia="Calibri" w:hAnsi="Times New Roman" w:cs="Times New Roman"/>
          <w:b/>
          <w:bCs/>
        </w:rPr>
        <w:t xml:space="preserve">- </w:t>
      </w:r>
      <w:r w:rsidR="00857683">
        <w:rPr>
          <w:rFonts w:ascii="Times New Roman" w:eastAsia="Calibri" w:hAnsi="Times New Roman" w:cs="Times New Roman"/>
          <w:b/>
          <w:bCs/>
        </w:rPr>
        <w:t xml:space="preserve">Ki kellene dolgozni </w:t>
      </w:r>
      <w:r w:rsidRPr="009D606E">
        <w:rPr>
          <w:rFonts w:ascii="Times New Roman" w:eastAsia="Calibri" w:hAnsi="Times New Roman" w:cs="Times New Roman"/>
          <w:b/>
          <w:bCs/>
        </w:rPr>
        <w:t xml:space="preserve">a </w:t>
      </w:r>
      <w:r w:rsidR="00486B05" w:rsidRPr="009D606E">
        <w:rPr>
          <w:rFonts w:ascii="Times New Roman" w:eastAsia="Calibri" w:hAnsi="Times New Roman" w:cs="Times New Roman"/>
          <w:b/>
          <w:bCs/>
        </w:rPr>
        <w:t>szakszervezeti taglétszámok igazolására vonatkozó szabályozás</w:t>
      </w:r>
      <w:r w:rsidR="00857683">
        <w:rPr>
          <w:rFonts w:ascii="Times New Roman" w:eastAsia="Calibri" w:hAnsi="Times New Roman" w:cs="Times New Roman"/>
          <w:b/>
          <w:bCs/>
        </w:rPr>
        <w:t>t</w:t>
      </w:r>
      <w:r w:rsidRPr="009D606E">
        <w:rPr>
          <w:rFonts w:ascii="Times New Roman" w:eastAsia="Calibri" w:hAnsi="Times New Roman" w:cs="Times New Roman"/>
          <w:b/>
          <w:bCs/>
        </w:rPr>
        <w:t xml:space="preserve">, </w:t>
      </w:r>
      <w:r w:rsidR="00857683">
        <w:rPr>
          <w:rFonts w:ascii="Times New Roman" w:eastAsia="Calibri" w:hAnsi="Times New Roman" w:cs="Times New Roman"/>
          <w:b/>
          <w:bCs/>
        </w:rPr>
        <w:t>a</w:t>
      </w:r>
      <w:r w:rsidRPr="009D606E">
        <w:rPr>
          <w:rFonts w:ascii="Times New Roman" w:eastAsia="Calibri" w:hAnsi="Times New Roman" w:cs="Times New Roman"/>
          <w:b/>
          <w:bCs/>
        </w:rPr>
        <w:t>mely</w:t>
      </w:r>
      <w:r w:rsidR="009A2D40" w:rsidRPr="009D606E">
        <w:rPr>
          <w:rFonts w:ascii="Times New Roman" w:eastAsia="Calibri" w:hAnsi="Times New Roman" w:cs="Times New Roman"/>
          <w:b/>
          <w:bCs/>
        </w:rPr>
        <w:t xml:space="preserve"> célra javasoljuk a </w:t>
      </w:r>
      <w:r w:rsidR="00486B05" w:rsidRPr="009D606E">
        <w:rPr>
          <w:rFonts w:ascii="Times New Roman" w:eastAsia="Calibri" w:hAnsi="Times New Roman" w:cs="Times New Roman"/>
          <w:b/>
          <w:bCs/>
        </w:rPr>
        <w:t>bíróságon vezetett átlátható, naprakész, közhiteles nyilvántartás létrehozás</w:t>
      </w:r>
      <w:r w:rsidR="009A2D40" w:rsidRPr="009D606E">
        <w:rPr>
          <w:rFonts w:ascii="Times New Roman" w:eastAsia="Calibri" w:hAnsi="Times New Roman" w:cs="Times New Roman"/>
          <w:b/>
          <w:bCs/>
        </w:rPr>
        <w:t>át</w:t>
      </w:r>
      <w:r w:rsidR="00857683">
        <w:rPr>
          <w:rFonts w:ascii="Times New Roman" w:eastAsia="Calibri" w:hAnsi="Times New Roman" w:cs="Times New Roman"/>
          <w:b/>
          <w:bCs/>
        </w:rPr>
        <w:t>.</w:t>
      </w:r>
    </w:p>
    <w:p w14:paraId="5972F518" w14:textId="500376EA" w:rsidR="009B012F" w:rsidRPr="009D606E" w:rsidRDefault="009B012F" w:rsidP="009B012F">
      <w:pPr>
        <w:jc w:val="both"/>
        <w:rPr>
          <w:rFonts w:ascii="Times New Roman" w:hAnsi="Times New Roman" w:cs="Times New Roman"/>
          <w:b/>
          <w:bCs/>
        </w:rPr>
      </w:pPr>
      <w:r w:rsidRPr="009D606E">
        <w:rPr>
          <w:rFonts w:ascii="Times New Roman" w:hAnsi="Times New Roman" w:cs="Times New Roman"/>
          <w:b/>
          <w:bCs/>
        </w:rPr>
        <w:t xml:space="preserve">- </w:t>
      </w:r>
      <w:r w:rsidR="00857683">
        <w:rPr>
          <w:rFonts w:ascii="Times New Roman" w:hAnsi="Times New Roman" w:cs="Times New Roman"/>
          <w:b/>
          <w:bCs/>
        </w:rPr>
        <w:t>A</w:t>
      </w:r>
      <w:r w:rsidRPr="009D606E">
        <w:rPr>
          <w:rFonts w:ascii="Times New Roman" w:hAnsi="Times New Roman" w:cs="Times New Roman"/>
          <w:b/>
          <w:bCs/>
        </w:rPr>
        <w:t xml:space="preserve"> szakszervezetek nyilvántartásba vétele és az egyes változásbejegyzési aktusok során indokolt a gazdasági társaságokéhoz hasonló, </w:t>
      </w:r>
      <w:r w:rsidRPr="009D606E">
        <w:rPr>
          <w:rFonts w:ascii="Times New Roman" w:hAnsi="Times New Roman" w:cs="Times New Roman"/>
          <w:b/>
          <w:bCs/>
          <w:i/>
          <w:iCs/>
        </w:rPr>
        <w:t>„</w:t>
      </w:r>
      <w:proofErr w:type="spellStart"/>
      <w:r w:rsidRPr="009D606E">
        <w:rPr>
          <w:rFonts w:ascii="Times New Roman" w:hAnsi="Times New Roman" w:cs="Times New Roman"/>
          <w:b/>
          <w:bCs/>
          <w:i/>
          <w:iCs/>
        </w:rPr>
        <w:t>sui</w:t>
      </w:r>
      <w:proofErr w:type="spellEnd"/>
      <w:r w:rsidRPr="009D606E">
        <w:rPr>
          <w:rFonts w:ascii="Times New Roman" w:hAnsi="Times New Roman" w:cs="Times New Roman"/>
          <w:b/>
          <w:bCs/>
          <w:i/>
          <w:iCs/>
        </w:rPr>
        <w:t xml:space="preserve"> generis”</w:t>
      </w:r>
      <w:r w:rsidRPr="009D606E">
        <w:rPr>
          <w:rFonts w:ascii="Times New Roman" w:hAnsi="Times New Roman" w:cs="Times New Roman"/>
          <w:b/>
          <w:bCs/>
        </w:rPr>
        <w:t xml:space="preserve"> eljárásjogi szabályozás </w:t>
      </w:r>
      <w:r w:rsidR="00F5454E" w:rsidRPr="009D606E">
        <w:rPr>
          <w:rFonts w:ascii="Times New Roman" w:hAnsi="Times New Roman" w:cs="Times New Roman"/>
          <w:b/>
          <w:bCs/>
        </w:rPr>
        <w:lastRenderedPageBreak/>
        <w:t xml:space="preserve">(polgári nemperes eljárás) </w:t>
      </w:r>
      <w:r w:rsidRPr="009D606E">
        <w:rPr>
          <w:rFonts w:ascii="Times New Roman" w:hAnsi="Times New Roman" w:cs="Times New Roman"/>
          <w:b/>
          <w:bCs/>
        </w:rPr>
        <w:t xml:space="preserve">megalkotása, amely jóval rövidebb </w:t>
      </w:r>
      <w:r w:rsidR="00F5454E" w:rsidRPr="009D606E">
        <w:rPr>
          <w:rFonts w:ascii="Times New Roman" w:hAnsi="Times New Roman" w:cs="Times New Roman"/>
          <w:b/>
          <w:bCs/>
        </w:rPr>
        <w:t>– például tizenöt napos –</w:t>
      </w:r>
      <w:r w:rsidRPr="009D606E">
        <w:rPr>
          <w:rFonts w:ascii="Times New Roman" w:hAnsi="Times New Roman" w:cs="Times New Roman"/>
          <w:b/>
          <w:bCs/>
        </w:rPr>
        <w:t xml:space="preserve"> ügyintézési határidőket tenne lehetővé</w:t>
      </w:r>
      <w:r w:rsidR="00857683">
        <w:rPr>
          <w:rFonts w:ascii="Times New Roman" w:hAnsi="Times New Roman" w:cs="Times New Roman"/>
          <w:b/>
          <w:bCs/>
        </w:rPr>
        <w:t>.</w:t>
      </w:r>
    </w:p>
    <w:p w14:paraId="01ACDC27" w14:textId="77777777" w:rsidR="000B04CD" w:rsidRDefault="00A02A81" w:rsidP="002B68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rPr>
      </w:pPr>
      <w:r w:rsidRPr="009D606E">
        <w:rPr>
          <w:rFonts w:ascii="Times New Roman" w:hAnsi="Times New Roman" w:cs="Times New Roman"/>
          <w:b/>
          <w:bCs/>
        </w:rPr>
        <w:t xml:space="preserve">- </w:t>
      </w:r>
      <w:r w:rsidR="00857683">
        <w:rPr>
          <w:rFonts w:ascii="Times New Roman" w:hAnsi="Times New Roman" w:cs="Times New Roman"/>
          <w:b/>
          <w:bCs/>
        </w:rPr>
        <w:t>A</w:t>
      </w:r>
      <w:r w:rsidR="001C510C" w:rsidRPr="009D606E">
        <w:rPr>
          <w:rFonts w:ascii="Times New Roman" w:hAnsi="Times New Roman" w:cs="Times New Roman"/>
          <w:b/>
          <w:bCs/>
          <w:color w:val="000000"/>
        </w:rPr>
        <w:t xml:space="preserve"> </w:t>
      </w:r>
      <w:r w:rsidR="001C510C" w:rsidRPr="009D606E">
        <w:rPr>
          <w:rFonts w:ascii="Times New Roman" w:hAnsi="Times New Roman" w:cs="Times New Roman"/>
          <w:b/>
          <w:bCs/>
        </w:rPr>
        <w:t>munkavállalói érdekképviseleti jogok megfelelő érvényesülésének vizsgálata kerüljön ismét a munkaügyi (foglalkoztatás-felügyeleti) ellenőrzés hatáskörébe, a jogsértéshez pedig kapcsolódjon szankció (például munkaügyi bírság)</w:t>
      </w:r>
      <w:r w:rsidR="002B6868">
        <w:rPr>
          <w:rFonts w:ascii="Times New Roman" w:hAnsi="Times New Roman" w:cs="Times New Roman"/>
          <w:b/>
          <w:bCs/>
        </w:rPr>
        <w:t>.</w:t>
      </w:r>
    </w:p>
    <w:p w14:paraId="3D70A885" w14:textId="77777777" w:rsidR="004A6F02" w:rsidRPr="009D606E" w:rsidRDefault="004A6F02" w:rsidP="00651AFA">
      <w:pPr>
        <w:jc w:val="both"/>
        <w:rPr>
          <w:rFonts w:ascii="Times New Roman" w:hAnsi="Times New Roman" w:cs="Times New Roman"/>
          <w:b/>
          <w:bCs/>
        </w:rPr>
      </w:pPr>
    </w:p>
    <w:sectPr w:rsidR="004A6F02" w:rsidRPr="009D60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62196" w14:textId="77777777" w:rsidR="00FA254A" w:rsidRDefault="00FA254A" w:rsidP="004A6F02">
      <w:r>
        <w:separator/>
      </w:r>
    </w:p>
  </w:endnote>
  <w:endnote w:type="continuationSeparator" w:id="0">
    <w:p w14:paraId="2117A285" w14:textId="77777777" w:rsidR="00FA254A" w:rsidRDefault="00FA254A" w:rsidP="004A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93EB8" w14:textId="77777777" w:rsidR="00FA254A" w:rsidRDefault="00FA254A" w:rsidP="004A6F02">
      <w:r>
        <w:separator/>
      </w:r>
    </w:p>
  </w:footnote>
  <w:footnote w:type="continuationSeparator" w:id="0">
    <w:p w14:paraId="2A58694B" w14:textId="77777777" w:rsidR="00FA254A" w:rsidRDefault="00FA254A" w:rsidP="004A6F02">
      <w:r>
        <w:continuationSeparator/>
      </w:r>
    </w:p>
  </w:footnote>
  <w:footnote w:id="1">
    <w:p w14:paraId="34E68625" w14:textId="77777777" w:rsidR="00902155" w:rsidRPr="00E86F79" w:rsidRDefault="00902155" w:rsidP="00902155">
      <w:pPr>
        <w:pStyle w:val="Lbjegyzetszveg"/>
        <w:rPr>
          <w:rFonts w:cs="Times New Roman"/>
        </w:rPr>
      </w:pPr>
      <w:r w:rsidRPr="00E86F79">
        <w:rPr>
          <w:rStyle w:val="Lbjegyzet-hivatkozs"/>
          <w:rFonts w:cs="Times New Roman"/>
        </w:rPr>
        <w:footnoteRef/>
      </w:r>
      <w:r w:rsidRPr="00E86F79">
        <w:rPr>
          <w:rFonts w:cs="Times New Roman"/>
        </w:rPr>
        <w:t xml:space="preserve"> PhD, ügyvezető alelnök, Munkástanácsok Országos Szövetsége; ügyvéd; egyetemi adjunktus, Károli Gáspár Református Egyetem Állam- és Jogtudományi Kar, Munkajogi és Szociális Jogi Tanszék</w:t>
      </w:r>
    </w:p>
  </w:footnote>
  <w:footnote w:id="2">
    <w:p w14:paraId="640A21C8" w14:textId="0209C563" w:rsidR="006B5569" w:rsidRDefault="006B5569">
      <w:pPr>
        <w:pStyle w:val="Lbjegyzetszveg"/>
      </w:pPr>
      <w:r>
        <w:rPr>
          <w:rStyle w:val="Lbjegyzet-hivatkozs"/>
        </w:rPr>
        <w:footnoteRef/>
      </w:r>
      <w:r>
        <w:t xml:space="preserve"> Adjunktus, Eötvös Loránd Tudományegyetem Állam- és Jogtudományi Kar, Munkajogi és Szociális Jogi Tanszék; egyetemi docens, Nemzeti Közszolgálati Egyetem Államtudományi és Nemzetközi Tanulmányok Kar, Emberi Erőforrás Tanszék.</w:t>
      </w:r>
    </w:p>
  </w:footnote>
  <w:footnote w:id="3">
    <w:p w14:paraId="0C14F3A1" w14:textId="66F14370" w:rsidR="005F18FB" w:rsidRDefault="005F18FB">
      <w:pPr>
        <w:pStyle w:val="Lbjegyzetszveg"/>
      </w:pPr>
      <w:r>
        <w:rPr>
          <w:rStyle w:val="Lbjegyzet-hivatkozs"/>
        </w:rPr>
        <w:footnoteRef/>
      </w:r>
      <w:r>
        <w:t xml:space="preserve"> Ld. még ehhez Szabó </w:t>
      </w:r>
      <w:r w:rsidR="00A75C65">
        <w:t>Imre Szilárd: A kollektív szerződések szerepe a megújult munkajogi szabályozásban. Magyar Munkajog E-folyóirat, hllj.hu, 2015/1.</w:t>
      </w:r>
    </w:p>
  </w:footnote>
  <w:footnote w:id="4">
    <w:p w14:paraId="27C3AE82" w14:textId="0DFEEF36" w:rsidR="005F18FB" w:rsidRDefault="005F18FB">
      <w:pPr>
        <w:pStyle w:val="Lbjegyzetszveg"/>
      </w:pPr>
      <w:r>
        <w:rPr>
          <w:rStyle w:val="Lbjegyzet-hivatkozs"/>
        </w:rPr>
        <w:footnoteRef/>
      </w:r>
      <w:r>
        <w:t xml:space="preserve"> 1992. évi Mt. 21. § (1) </w:t>
      </w:r>
      <w:proofErr w:type="spellStart"/>
      <w:r>
        <w:t>bek</w:t>
      </w:r>
      <w:proofErr w:type="spellEnd"/>
      <w:r>
        <w:t>.</w:t>
      </w:r>
    </w:p>
  </w:footnote>
  <w:footnote w:id="5">
    <w:p w14:paraId="736CA077" w14:textId="3BA24FE9" w:rsidR="002578B5" w:rsidRDefault="002578B5">
      <w:pPr>
        <w:pStyle w:val="Lbjegyzetszveg"/>
      </w:pPr>
      <w:r>
        <w:rPr>
          <w:rStyle w:val="Lbjegyzet-hivatkozs"/>
        </w:rPr>
        <w:footnoteRef/>
      </w:r>
      <w:r>
        <w:t xml:space="preserve"> 1992. évi Mt. 25. § (1) </w:t>
      </w:r>
      <w:proofErr w:type="spellStart"/>
      <w:r>
        <w:t>bek</w:t>
      </w:r>
      <w:proofErr w:type="spellEnd"/>
      <w:proofErr w:type="gramStart"/>
      <w:r>
        <w:t>.,</w:t>
      </w:r>
      <w:proofErr w:type="gramEnd"/>
      <w:r>
        <w:t xml:space="preserve"> Mt. 273. §. A szabályozás változásának összehasonlítását lásd: Kártyás Gábor: A szakszervezeti tisztségviselők munkajogi védelme és legújabb fejleményei. In: Bankó Zoltán – Berke Gyula – </w:t>
      </w:r>
      <w:proofErr w:type="spellStart"/>
      <w:r>
        <w:t>Tálné</w:t>
      </w:r>
      <w:proofErr w:type="spellEnd"/>
      <w:r>
        <w:t xml:space="preserve"> Molnár Erika (</w:t>
      </w:r>
      <w:proofErr w:type="spellStart"/>
      <w:r>
        <w:t>szerk</w:t>
      </w:r>
      <w:proofErr w:type="spellEnd"/>
      <w:r>
        <w:t xml:space="preserve">.): </w:t>
      </w:r>
      <w:proofErr w:type="spellStart"/>
      <w:r>
        <w:t>Quid</w:t>
      </w:r>
      <w:proofErr w:type="spellEnd"/>
      <w:r>
        <w:t xml:space="preserve"> </w:t>
      </w:r>
      <w:proofErr w:type="spellStart"/>
      <w:r>
        <w:t>Juris</w:t>
      </w:r>
      <w:proofErr w:type="spellEnd"/>
      <w:r>
        <w:t>? Ünnepi kötet a Munkaügyi Bírák Országos Egyesülete megalakulásának 20. évfordulójára. Budapest, Pécs, PTE ÁJK, Kúria, Munkaügyi Bírák Országos Egyesülete, 2018, 202–205</w:t>
      </w:r>
      <w:r w:rsidR="00F83B8E">
        <w:t>.</w:t>
      </w:r>
    </w:p>
  </w:footnote>
  <w:footnote w:id="6">
    <w:p w14:paraId="2B5A35F4" w14:textId="4D544634" w:rsidR="00F83B8E" w:rsidRDefault="00F83B8E">
      <w:pPr>
        <w:pStyle w:val="Lbjegyzetszveg"/>
      </w:pPr>
      <w:r>
        <w:rPr>
          <w:rStyle w:val="Lbjegyzet-hivatkozs"/>
        </w:rPr>
        <w:footnoteRef/>
      </w:r>
      <w:r>
        <w:t xml:space="preserve"> </w:t>
      </w:r>
      <w:r w:rsidR="005B5CB9">
        <w:t xml:space="preserve">1992. évi Mt. 25. § (2) </w:t>
      </w:r>
      <w:proofErr w:type="spellStart"/>
      <w:r w:rsidR="005B5CB9">
        <w:t>bek</w:t>
      </w:r>
      <w:proofErr w:type="spellEnd"/>
      <w:proofErr w:type="gramStart"/>
      <w:r w:rsidR="005B5CB9">
        <w:t>.,</w:t>
      </w:r>
      <w:proofErr w:type="gramEnd"/>
      <w:r w:rsidR="005B5CB9">
        <w:t xml:space="preserve"> Mt. 274. § (2) </w:t>
      </w:r>
      <w:proofErr w:type="spellStart"/>
      <w:r w:rsidR="005B5CB9">
        <w:t>bek</w:t>
      </w:r>
      <w:proofErr w:type="spellEnd"/>
      <w:r w:rsidR="005B5CB9">
        <w:t>.</w:t>
      </w:r>
    </w:p>
  </w:footnote>
  <w:footnote w:id="7">
    <w:p w14:paraId="615CE6DB" w14:textId="1434D604" w:rsidR="00426553" w:rsidRDefault="00426553">
      <w:pPr>
        <w:pStyle w:val="Lbjegyzetszveg"/>
      </w:pPr>
      <w:r>
        <w:rPr>
          <w:rStyle w:val="Lbjegyzet-hivatkozs"/>
        </w:rPr>
        <w:footnoteRef/>
      </w:r>
      <w:r>
        <w:t xml:space="preserve"> 1992. évi Mt. 25. § (5) </w:t>
      </w:r>
      <w:proofErr w:type="spellStart"/>
      <w:r>
        <w:t>bek</w:t>
      </w:r>
      <w:proofErr w:type="spellEnd"/>
      <w:r>
        <w:t>.</w:t>
      </w:r>
    </w:p>
  </w:footnote>
  <w:footnote w:id="8">
    <w:p w14:paraId="50F21271" w14:textId="58D4D2C6" w:rsidR="005B5CB9" w:rsidRDefault="005B5CB9">
      <w:pPr>
        <w:pStyle w:val="Lbjegyzetszveg"/>
      </w:pPr>
      <w:r>
        <w:rPr>
          <w:rStyle w:val="Lbjegyzet-hivatkozs"/>
        </w:rPr>
        <w:footnoteRef/>
      </w:r>
      <w:r>
        <w:t xml:space="preserve"> </w:t>
      </w:r>
      <w:r w:rsidR="00AA3298">
        <w:t xml:space="preserve">Mt. 274. § (4) </w:t>
      </w:r>
      <w:proofErr w:type="spellStart"/>
      <w:r w:rsidR="00AA3298">
        <w:t>bek</w:t>
      </w:r>
      <w:proofErr w:type="spellEnd"/>
      <w:r w:rsidR="00AA3298">
        <w:t>.</w:t>
      </w:r>
    </w:p>
  </w:footnote>
  <w:footnote w:id="9">
    <w:p w14:paraId="5E48462E" w14:textId="181B650B" w:rsidR="005B5CB9" w:rsidRDefault="005B5CB9">
      <w:pPr>
        <w:pStyle w:val="Lbjegyzetszveg"/>
      </w:pPr>
      <w:r>
        <w:rPr>
          <w:rStyle w:val="Lbjegyzet-hivatkozs"/>
        </w:rPr>
        <w:footnoteRef/>
      </w:r>
      <w:r>
        <w:t xml:space="preserve"> </w:t>
      </w:r>
      <w:r w:rsidR="00AA3298">
        <w:t>1992. évi Mt. 23. §.</w:t>
      </w:r>
    </w:p>
  </w:footnote>
  <w:footnote w:id="10">
    <w:p w14:paraId="67CD23B8" w14:textId="0E5B79E1" w:rsidR="005B5CB9" w:rsidRDefault="005B5CB9">
      <w:pPr>
        <w:pStyle w:val="Lbjegyzetszveg"/>
      </w:pPr>
      <w:r>
        <w:rPr>
          <w:rStyle w:val="Lbjegyzet-hivatkozs"/>
        </w:rPr>
        <w:footnoteRef/>
      </w:r>
      <w:r>
        <w:t xml:space="preserve"> </w:t>
      </w:r>
      <w:r w:rsidR="00342AED">
        <w:t xml:space="preserve">1992. évi Mt. 76. § (7) </w:t>
      </w:r>
      <w:proofErr w:type="spellStart"/>
      <w:r w:rsidR="00342AED">
        <w:t>bek</w:t>
      </w:r>
      <w:proofErr w:type="spellEnd"/>
      <w:r w:rsidR="00342AED">
        <w:t xml:space="preserve">. </w:t>
      </w:r>
      <w:proofErr w:type="gramStart"/>
      <w:r w:rsidR="00342AED">
        <w:t>h</w:t>
      </w:r>
      <w:proofErr w:type="gramEnd"/>
      <w:r w:rsidR="00342AED">
        <w:t>) pont, Mt. 46. §.</w:t>
      </w:r>
    </w:p>
  </w:footnote>
  <w:footnote w:id="11">
    <w:p w14:paraId="12B8B095" w14:textId="7580E595" w:rsidR="005B5CB9" w:rsidRDefault="005B5CB9">
      <w:pPr>
        <w:pStyle w:val="Lbjegyzetszveg"/>
      </w:pPr>
      <w:r>
        <w:rPr>
          <w:rStyle w:val="Lbjegyzet-hivatkozs"/>
        </w:rPr>
        <w:footnoteRef/>
      </w:r>
      <w:r>
        <w:t xml:space="preserve"> </w:t>
      </w:r>
      <w:r w:rsidR="001119F1">
        <w:t>A munkaügyi ellenőrzésről szóló 1996. évi LXXV. törvény (</w:t>
      </w:r>
      <w:proofErr w:type="spellStart"/>
      <w:r w:rsidR="001119F1">
        <w:t>Met</w:t>
      </w:r>
      <w:proofErr w:type="spellEnd"/>
      <w:r w:rsidR="001119F1">
        <w:t xml:space="preserve">.) 3. § (1) </w:t>
      </w:r>
      <w:proofErr w:type="spellStart"/>
      <w:r w:rsidR="001119F1">
        <w:t>bek</w:t>
      </w:r>
      <w:proofErr w:type="spellEnd"/>
      <w:r w:rsidR="001119F1">
        <w:t>. m–n) pontok.</w:t>
      </w:r>
    </w:p>
  </w:footnote>
  <w:footnote w:id="12">
    <w:p w14:paraId="1DF0D41F" w14:textId="3920935A" w:rsidR="00384F97" w:rsidRDefault="00384F97">
      <w:pPr>
        <w:pStyle w:val="Lbjegyzetszveg"/>
      </w:pPr>
      <w:r>
        <w:rPr>
          <w:rStyle w:val="Lbjegyzet-hivatkozs"/>
        </w:rPr>
        <w:footnoteRef/>
      </w:r>
      <w:r>
        <w:t xml:space="preserve"> </w:t>
      </w:r>
      <w:r w:rsidR="00E75349">
        <w:t xml:space="preserve">Az államháztartásról szóló 1992. évi XXXIII. törvény 15. § (5) </w:t>
      </w:r>
      <w:proofErr w:type="spellStart"/>
      <w:r w:rsidR="00E75349">
        <w:t>bek</w:t>
      </w:r>
      <w:proofErr w:type="spellEnd"/>
      <w:r w:rsidR="00E75349">
        <w:t>. b) pont.</w:t>
      </w:r>
    </w:p>
  </w:footnote>
  <w:footnote w:id="13">
    <w:p w14:paraId="7DEAEB80" w14:textId="06D5699D" w:rsidR="00384F97" w:rsidRDefault="00384F97">
      <w:pPr>
        <w:pStyle w:val="Lbjegyzetszveg"/>
      </w:pPr>
      <w:r>
        <w:rPr>
          <w:rStyle w:val="Lbjegyzet-hivatkozs"/>
        </w:rPr>
        <w:footnoteRef/>
      </w:r>
      <w:r>
        <w:t xml:space="preserve"> Az egyes szabálysértésekről szóló 218/1999. (XII. 28.) Korm. rendelet 95. §.</w:t>
      </w:r>
    </w:p>
  </w:footnote>
  <w:footnote w:id="14">
    <w:p w14:paraId="7C05032A" w14:textId="7BFBD2DD" w:rsidR="00AA3B40" w:rsidRDefault="00AA3B40">
      <w:pPr>
        <w:pStyle w:val="Lbjegyzetszveg"/>
      </w:pPr>
      <w:r>
        <w:rPr>
          <w:rStyle w:val="Lbjegyzet-hivatkozs"/>
        </w:rPr>
        <w:footnoteRef/>
      </w:r>
      <w:r>
        <w:t xml:space="preserve"> Gyulavári Tamás – Kártyás Gábor: </w:t>
      </w:r>
      <w:r w:rsidR="001F7735">
        <w:t>A kollektív szerződéses lefedettség csökkenése Magyarországon (2012-2023).</w:t>
      </w:r>
      <w:r w:rsidR="00E8678E">
        <w:t xml:space="preserve"> Friedrich-Ebert-</w:t>
      </w:r>
      <w:proofErr w:type="spellStart"/>
      <w:r w:rsidR="00E8678E">
        <w:t>Stiftung</w:t>
      </w:r>
      <w:proofErr w:type="spellEnd"/>
      <w:r w:rsidR="00E8678E">
        <w:t xml:space="preserve"> Budapesti Irodája, Budapest, 2023. szeptember</w:t>
      </w:r>
      <w:r w:rsidR="008D0506">
        <w:t xml:space="preserve"> https:</w:t>
      </w:r>
      <w:r w:rsidR="008D0506" w:rsidRPr="008D0506">
        <w:t>//library.fes.de/pdf-files/bueros/budapest/20640.pdf</w:t>
      </w:r>
      <w:r w:rsidR="008D0506">
        <w:t xml:space="preserve"> (2024. május 9.)</w:t>
      </w:r>
      <w:r w:rsidR="0071330A">
        <w:t xml:space="preserve"> 31.</w:t>
      </w:r>
    </w:p>
  </w:footnote>
  <w:footnote w:id="15">
    <w:p w14:paraId="0528E9D4" w14:textId="77777777" w:rsidR="00627904" w:rsidRPr="00E86F79" w:rsidRDefault="00627904" w:rsidP="00627904">
      <w:pPr>
        <w:pStyle w:val="Lbjegyzetszveg"/>
        <w:rPr>
          <w:rFonts w:cs="Times New Roman"/>
        </w:rPr>
      </w:pPr>
      <w:r w:rsidRPr="00E86F79">
        <w:rPr>
          <w:rStyle w:val="Lbjegyzet-hivatkozs"/>
          <w:rFonts w:cs="Times New Roman"/>
        </w:rPr>
        <w:footnoteRef/>
      </w:r>
      <w:r w:rsidRPr="00E86F79">
        <w:rPr>
          <w:rFonts w:cs="Times New Roman"/>
        </w:rPr>
        <w:t xml:space="preserve"> Példák a versenyszférában működő szakszervezeti konföderációk elmúlt években született állásfoglalásaiból: </w:t>
      </w:r>
    </w:p>
    <w:p w14:paraId="0D9F2570" w14:textId="77777777" w:rsidR="00627904" w:rsidRPr="00E86F79" w:rsidRDefault="00627904" w:rsidP="00627904">
      <w:pPr>
        <w:pStyle w:val="Lbjegyzetszveg"/>
        <w:numPr>
          <w:ilvl w:val="0"/>
          <w:numId w:val="3"/>
        </w:numPr>
        <w:ind w:left="426" w:hanging="284"/>
        <w:rPr>
          <w:rFonts w:cs="Times New Roman"/>
        </w:rPr>
      </w:pPr>
      <w:r w:rsidRPr="00E86F79">
        <w:rPr>
          <w:rFonts w:cs="Times New Roman"/>
        </w:rPr>
        <w:t xml:space="preserve">A LIGA Szakszervezetek álláspontja: </w:t>
      </w:r>
      <w:r w:rsidRPr="00E86F79">
        <w:rPr>
          <w:rFonts w:cs="Times New Roman"/>
          <w:i/>
          <w:iCs/>
        </w:rPr>
        <w:t>„A kollektív jogok területén pedig a változás a jogok érvényesítésére szolgáló garanciák szisztematikus eltávolításában jelenik meg.”</w:t>
      </w:r>
      <w:r w:rsidRPr="00E86F79">
        <w:rPr>
          <w:rFonts w:cs="Times New Roman"/>
        </w:rPr>
        <w:t xml:space="preserve"> Részlet a tanulmány szakszervezeti </w:t>
      </w:r>
      <w:proofErr w:type="spellStart"/>
      <w:r w:rsidRPr="00E86F79">
        <w:rPr>
          <w:rFonts w:cs="Times New Roman"/>
        </w:rPr>
        <w:t>előszavából</w:t>
      </w:r>
      <w:proofErr w:type="spellEnd"/>
      <w:r w:rsidRPr="00E86F79">
        <w:rPr>
          <w:rFonts w:cs="Times New Roman"/>
        </w:rPr>
        <w:t xml:space="preserve">. In: </w:t>
      </w:r>
      <w:proofErr w:type="spellStart"/>
      <w:r w:rsidRPr="00E86F79">
        <w:rPr>
          <w:rFonts w:cs="Times New Roman"/>
        </w:rPr>
        <w:t>Dabis</w:t>
      </w:r>
      <w:proofErr w:type="spellEnd"/>
      <w:r w:rsidRPr="00E86F79">
        <w:rPr>
          <w:rFonts w:cs="Times New Roman"/>
        </w:rPr>
        <w:t xml:space="preserve"> Erzsébet–</w:t>
      </w:r>
      <w:proofErr w:type="spellStart"/>
      <w:r w:rsidRPr="00E86F79">
        <w:rPr>
          <w:rFonts w:cs="Times New Roman"/>
        </w:rPr>
        <w:t>Feleky</w:t>
      </w:r>
      <w:proofErr w:type="spellEnd"/>
      <w:r w:rsidRPr="00E86F79">
        <w:rPr>
          <w:rFonts w:cs="Times New Roman"/>
        </w:rPr>
        <w:t xml:space="preserve"> Gábor–Lőrinczi János–</w:t>
      </w:r>
      <w:proofErr w:type="spellStart"/>
      <w:r w:rsidRPr="00E86F79">
        <w:rPr>
          <w:rFonts w:cs="Times New Roman"/>
        </w:rPr>
        <w:t>Rossu</w:t>
      </w:r>
      <w:proofErr w:type="spellEnd"/>
      <w:r w:rsidRPr="00E86F79">
        <w:rPr>
          <w:rFonts w:cs="Times New Roman"/>
        </w:rPr>
        <w:t xml:space="preserve"> Balázs–</w:t>
      </w:r>
      <w:proofErr w:type="spellStart"/>
      <w:r w:rsidRPr="00E86F79">
        <w:rPr>
          <w:rFonts w:cs="Times New Roman"/>
        </w:rPr>
        <w:t>Ruzs</w:t>
      </w:r>
      <w:proofErr w:type="spellEnd"/>
      <w:r w:rsidRPr="00E86F79">
        <w:rPr>
          <w:rFonts w:cs="Times New Roman"/>
        </w:rPr>
        <w:t xml:space="preserve"> Molnár Krisztina: Elemző tanulmány – az új Munka Törvénykönyvének hatásvizsgálata. (Független Szakszervezetek Demokratikus Ligája, TÁMOP-2.5.3</w:t>
      </w:r>
      <w:proofErr w:type="gramStart"/>
      <w:r w:rsidRPr="00E86F79">
        <w:rPr>
          <w:rFonts w:cs="Times New Roman"/>
        </w:rPr>
        <w:t>.C-13</w:t>
      </w:r>
      <w:proofErr w:type="gramEnd"/>
      <w:r w:rsidRPr="00E86F79">
        <w:rPr>
          <w:rFonts w:cs="Times New Roman"/>
        </w:rPr>
        <w:t>/1-2013-0001). 2015. 3.</w:t>
      </w:r>
    </w:p>
    <w:p w14:paraId="2D6BEEBD" w14:textId="77777777" w:rsidR="00627904" w:rsidRPr="00E86F79" w:rsidRDefault="00627904" w:rsidP="00627904">
      <w:pPr>
        <w:pStyle w:val="Lbjegyzetszveg"/>
        <w:ind w:left="426"/>
        <w:rPr>
          <w:rFonts w:cs="Times New Roman"/>
        </w:rPr>
      </w:pPr>
      <w:r w:rsidRPr="00E86F79">
        <w:rPr>
          <w:rFonts w:cs="Times New Roman"/>
        </w:rPr>
        <w:t xml:space="preserve">Lásd részletesen: Az új Mt. története (2011): </w:t>
      </w:r>
      <w:hyperlink r:id="rId1" w:history="1">
        <w:r w:rsidRPr="00E86F79">
          <w:rPr>
            <w:rFonts w:cs="Times New Roman"/>
          </w:rPr>
          <w:t>http://www.liganet.hu/page/88/art/6296/akt/0/html/az-uj-mt-tortenete.html</w:t>
        </w:r>
      </w:hyperlink>
      <w:r w:rsidRPr="00E86F79">
        <w:rPr>
          <w:rFonts w:cs="Times New Roman"/>
        </w:rPr>
        <w:t xml:space="preserve"> (Letöltés ideje: 2019. 12. 26.).</w:t>
      </w:r>
    </w:p>
    <w:p w14:paraId="20B29337" w14:textId="77777777" w:rsidR="00627904" w:rsidRPr="00E86F79" w:rsidRDefault="00627904" w:rsidP="00627904">
      <w:pPr>
        <w:pStyle w:val="Lbjegyzetszveg"/>
        <w:numPr>
          <w:ilvl w:val="0"/>
          <w:numId w:val="3"/>
        </w:numPr>
        <w:ind w:left="426" w:hanging="284"/>
        <w:rPr>
          <w:rFonts w:cs="Times New Roman"/>
        </w:rPr>
      </w:pPr>
      <w:r w:rsidRPr="00E86F79">
        <w:rPr>
          <w:rFonts w:cs="Times New Roman"/>
        </w:rPr>
        <w:t xml:space="preserve">A Munkástanácsok Országos Szövetségének véleménye az Mt. tervezetéről (2011): </w:t>
      </w:r>
      <w:r w:rsidRPr="00E86F79">
        <w:rPr>
          <w:rFonts w:cs="Times New Roman"/>
          <w:i/>
          <w:iCs/>
        </w:rPr>
        <w:t>„lényegesen korlátozza a szakszervezetek munkahelyi jogait”</w:t>
      </w:r>
      <w:r w:rsidRPr="00E86F79">
        <w:rPr>
          <w:rFonts w:cs="Times New Roman"/>
        </w:rPr>
        <w:t xml:space="preserve">. </w:t>
      </w:r>
    </w:p>
    <w:p w14:paraId="7DC6748D" w14:textId="77777777" w:rsidR="00627904" w:rsidRPr="00E86F79" w:rsidRDefault="00FA254A" w:rsidP="00627904">
      <w:pPr>
        <w:pStyle w:val="Lbjegyzetszveg"/>
        <w:ind w:left="426"/>
        <w:rPr>
          <w:rFonts w:cs="Times New Roman"/>
        </w:rPr>
      </w:pPr>
      <w:hyperlink r:id="rId2" w:history="1">
        <w:r w:rsidR="00627904" w:rsidRPr="00E86F79">
          <w:rPr>
            <w:rFonts w:cs="Times New Roman"/>
          </w:rPr>
          <w:t>http://www.vpdsz.hu/2011pdffajl/pdf_08/Mt_MOSZ_velemeny_110804.pdf</w:t>
        </w:r>
      </w:hyperlink>
      <w:r w:rsidR="00627904" w:rsidRPr="00E86F79">
        <w:rPr>
          <w:rFonts w:cs="Times New Roman"/>
        </w:rPr>
        <w:t xml:space="preserve"> (Letöltés ideje: 2019. 12. 26.)</w:t>
      </w:r>
    </w:p>
    <w:p w14:paraId="417241AE" w14:textId="77777777" w:rsidR="00627904" w:rsidRPr="00E86F79" w:rsidRDefault="00627904" w:rsidP="00627904">
      <w:pPr>
        <w:pStyle w:val="Lbjegyzetszveg"/>
        <w:numPr>
          <w:ilvl w:val="0"/>
          <w:numId w:val="3"/>
        </w:numPr>
        <w:ind w:left="426" w:hanging="284"/>
        <w:rPr>
          <w:rFonts w:cs="Times New Roman"/>
        </w:rPr>
      </w:pPr>
      <w:r w:rsidRPr="00E86F79">
        <w:rPr>
          <w:rFonts w:cs="Times New Roman"/>
        </w:rPr>
        <w:t xml:space="preserve">A Magyar Szakszervezeti Szövetség (2018) az ún. „fehér könyvben” így fogalmaz: </w:t>
      </w:r>
      <w:r w:rsidRPr="00E86F79">
        <w:rPr>
          <w:rFonts w:cs="Times New Roman"/>
          <w:i/>
          <w:iCs/>
        </w:rPr>
        <w:t xml:space="preserve">„a szabályozásból kirajzolódó tendencia egyértelmű: a cél a szakszervezetek szerepének gyengítése, így a munkavállalói érdekek védelmének korlátozása a nemzetközi standardok által megkívánt minimális szintre, sőt bizonyos esetekben még ez alá is…” </w:t>
      </w:r>
      <w:hyperlink r:id="rId3" w:history="1">
        <w:r w:rsidRPr="00E86F79">
          <w:rPr>
            <w:rFonts w:cs="Times New Roman"/>
          </w:rPr>
          <w:t>https://www.pvdsz.hu/uploads/Feher_konyv.pdf</w:t>
        </w:r>
      </w:hyperlink>
      <w:r w:rsidRPr="00E86F79">
        <w:rPr>
          <w:rFonts w:cs="Times New Roman"/>
        </w:rPr>
        <w:t xml:space="preserve"> (Letöltés ideje: 2019. 12. 26.)</w:t>
      </w:r>
    </w:p>
  </w:footnote>
  <w:footnote w:id="16">
    <w:p w14:paraId="574E7ECF" w14:textId="77777777" w:rsidR="00627904" w:rsidRPr="00E86F79" w:rsidRDefault="00627904" w:rsidP="00A57CDE">
      <w:pPr>
        <w:pStyle w:val="Lbjegyzetszveg"/>
        <w:rPr>
          <w:rFonts w:cs="Times New Roman"/>
        </w:rPr>
      </w:pPr>
      <w:r w:rsidRPr="00E86F79">
        <w:rPr>
          <w:rStyle w:val="Lbjegyzet-hivatkozs"/>
          <w:rFonts w:cs="Times New Roman"/>
        </w:rPr>
        <w:footnoteRef/>
      </w:r>
      <w:r w:rsidRPr="00E86F79">
        <w:rPr>
          <w:rFonts w:cs="Times New Roman"/>
        </w:rPr>
        <w:t xml:space="preserve"> Lásd az ún. szakszervezeti „kifogás” jogának megszűnése, amellyel kapcsolatban a szakszervezetek jelezték, hogy annak elhagyásával párhuzamosan legalább a bírósági eljárásban biztosítani kellene a munkáltatói döntés végrehajtásának felfüggesztését a szakszervezet alapos indítványára.</w:t>
      </w:r>
    </w:p>
  </w:footnote>
  <w:footnote w:id="17">
    <w:p w14:paraId="7963B9CA" w14:textId="77777777" w:rsidR="00627904" w:rsidRPr="00E86F79" w:rsidRDefault="00627904" w:rsidP="00A57CDE">
      <w:pPr>
        <w:pStyle w:val="Lbjegyzetszveg"/>
        <w:rPr>
          <w:rFonts w:cs="Times New Roman"/>
        </w:rPr>
      </w:pPr>
      <w:r w:rsidRPr="00E86F79">
        <w:rPr>
          <w:rStyle w:val="Lbjegyzet-hivatkozs"/>
          <w:rFonts w:cs="Times New Roman"/>
        </w:rPr>
        <w:footnoteRef/>
      </w:r>
      <w:r w:rsidRPr="00E86F79">
        <w:rPr>
          <w:rFonts w:cs="Times New Roman"/>
        </w:rPr>
        <w:t xml:space="preserve"> Például a munkaidő-kedvezmény mértékének csökkentése, a munkáltató részéről a „</w:t>
      </w:r>
      <w:proofErr w:type="spellStart"/>
      <w:r w:rsidRPr="00E86F79">
        <w:rPr>
          <w:rFonts w:cs="Times New Roman"/>
        </w:rPr>
        <w:t>bennragadt</w:t>
      </w:r>
      <w:proofErr w:type="spellEnd"/>
      <w:r w:rsidRPr="00E86F79">
        <w:rPr>
          <w:rFonts w:cs="Times New Roman"/>
        </w:rPr>
        <w:t xml:space="preserve"> órák” törvényben előírt megváltásának megszűnése, védett tisztségviselők számának korlátozása stb.</w:t>
      </w:r>
    </w:p>
  </w:footnote>
  <w:footnote w:id="18">
    <w:p w14:paraId="01DB7E7C" w14:textId="77777777" w:rsidR="00627904" w:rsidRPr="00E86F79" w:rsidRDefault="00627904" w:rsidP="00A57CDE">
      <w:pPr>
        <w:shd w:val="clear" w:color="auto" w:fill="FFFFFF"/>
        <w:jc w:val="both"/>
        <w:rPr>
          <w:rFonts w:ascii="Times New Roman" w:hAnsi="Times New Roman" w:cs="Times New Roman"/>
          <w:sz w:val="20"/>
          <w:szCs w:val="20"/>
        </w:rPr>
      </w:pPr>
      <w:r w:rsidRPr="00E86F79">
        <w:rPr>
          <w:rStyle w:val="Lbjegyzet-hivatkozs"/>
          <w:rFonts w:ascii="Times New Roman" w:hAnsi="Times New Roman" w:cs="Times New Roman"/>
          <w:sz w:val="20"/>
          <w:szCs w:val="20"/>
        </w:rPr>
        <w:footnoteRef/>
      </w:r>
      <w:r w:rsidRPr="00E86F79">
        <w:rPr>
          <w:rFonts w:ascii="Times New Roman" w:hAnsi="Times New Roman" w:cs="Times New Roman"/>
          <w:sz w:val="20"/>
          <w:szCs w:val="20"/>
        </w:rPr>
        <w:t xml:space="preserve"> Egyes szakszervezeti vélemények szerint szimbolikus üzenettel bírt már önmagában az is, hogy a szakszervezetekre vonatkozó joganyag a törvény végén kapott helyet, ráadásul a munkavállalói </w:t>
      </w:r>
      <w:proofErr w:type="spellStart"/>
      <w:r w:rsidRPr="00E86F79">
        <w:rPr>
          <w:rFonts w:ascii="Times New Roman" w:hAnsi="Times New Roman" w:cs="Times New Roman"/>
          <w:sz w:val="20"/>
          <w:szCs w:val="20"/>
        </w:rPr>
        <w:t>participációt</w:t>
      </w:r>
      <w:proofErr w:type="spellEnd"/>
      <w:r w:rsidRPr="00E86F79">
        <w:rPr>
          <w:rFonts w:ascii="Times New Roman" w:hAnsi="Times New Roman" w:cs="Times New Roman"/>
          <w:sz w:val="20"/>
          <w:szCs w:val="20"/>
        </w:rPr>
        <w:t xml:space="preserve"> megvalósító üzemi tanácsi szabályozást követően.</w:t>
      </w:r>
    </w:p>
  </w:footnote>
  <w:footnote w:id="19">
    <w:p w14:paraId="2E78AF2F" w14:textId="55694C47" w:rsidR="00902155" w:rsidRPr="00E86F79" w:rsidRDefault="00902155">
      <w:pPr>
        <w:pStyle w:val="Lbjegyzetszveg"/>
        <w:rPr>
          <w:rFonts w:cs="Times New Roman"/>
        </w:rPr>
      </w:pPr>
      <w:r w:rsidRPr="00E86F79">
        <w:rPr>
          <w:rStyle w:val="Lbjegyzet-hivatkozs"/>
          <w:rFonts w:cs="Times New Roman"/>
        </w:rPr>
        <w:footnoteRef/>
      </w:r>
      <w:r w:rsidRPr="00E86F79">
        <w:rPr>
          <w:rFonts w:cs="Times New Roman"/>
        </w:rPr>
        <w:t xml:space="preserve"> Erről részletesen: Szabó Imre Szilárd: A szakszervezet jogállása a magyar munkajogban (2022), </w:t>
      </w:r>
      <w:proofErr w:type="spellStart"/>
      <w:r w:rsidRPr="00E86F79">
        <w:rPr>
          <w:rFonts w:cs="Times New Roman"/>
        </w:rPr>
        <w:t>Novissima</w:t>
      </w:r>
      <w:proofErr w:type="spellEnd"/>
      <w:r w:rsidRPr="00E86F79">
        <w:rPr>
          <w:rFonts w:cs="Times New Roman"/>
        </w:rPr>
        <w:t xml:space="preserve">. </w:t>
      </w:r>
    </w:p>
  </w:footnote>
  <w:footnote w:id="20">
    <w:p w14:paraId="4FBA1051" w14:textId="475FAC8F" w:rsidR="00F76A9A" w:rsidRDefault="00F76A9A" w:rsidP="00F76A9A">
      <w:pPr>
        <w:pStyle w:val="Lbjegyzetszveg"/>
      </w:pPr>
      <w:r>
        <w:rPr>
          <w:rStyle w:val="Lbjegyzet-hivatkozs"/>
        </w:rPr>
        <w:footnoteRef/>
      </w:r>
      <w:r>
        <w:t xml:space="preserve"> 1992. évi Mt. 22. § (3) </w:t>
      </w:r>
      <w:proofErr w:type="spellStart"/>
      <w:r>
        <w:t>bek</w:t>
      </w:r>
      <w:proofErr w:type="spellEnd"/>
      <w:r>
        <w:t>.</w:t>
      </w:r>
    </w:p>
  </w:footnote>
  <w:footnote w:id="21">
    <w:p w14:paraId="0715C02C" w14:textId="447680AB" w:rsidR="0088484D" w:rsidRDefault="0088484D">
      <w:pPr>
        <w:pStyle w:val="Lbjegyzetszveg"/>
      </w:pPr>
      <w:r>
        <w:rPr>
          <w:rStyle w:val="Lbjegyzet-hivatkozs"/>
        </w:rPr>
        <w:footnoteRef/>
      </w:r>
      <w:r>
        <w:t xml:space="preserve"> Mt. 262. § (1) </w:t>
      </w:r>
      <w:proofErr w:type="spellStart"/>
      <w:r>
        <w:t>bek</w:t>
      </w:r>
      <w:proofErr w:type="spellEnd"/>
      <w:r>
        <w:t>.</w:t>
      </w:r>
    </w:p>
  </w:footnote>
  <w:footnote w:id="22">
    <w:p w14:paraId="420ACF8D" w14:textId="24517C8D" w:rsidR="00B94718" w:rsidRPr="004173A3" w:rsidRDefault="00B94718" w:rsidP="00B94718">
      <w:pPr>
        <w:pStyle w:val="Lbjegyzetszveg"/>
      </w:pPr>
      <w:r>
        <w:rPr>
          <w:rStyle w:val="Lbjegyzet-hivatkozs"/>
        </w:rPr>
        <w:footnoteRef/>
      </w:r>
      <w:r>
        <w:t xml:space="preserve"> Munkajogi jogutódlás (mai terminológia szerint munkáltató személyében bekövetkező változás) esetén a jogelőd és jogutód munkáltató a munkáltatónál képviselettel rendelkező szakszervezetet, szakszervezet hiányában az üzemi tanácsot, üzemi tanács hiányában a nem szervezett munkavállalók képviselőiből létrehozott bizottságot volt köteles tájékoztatni [</w:t>
      </w:r>
      <w:r w:rsidR="00EF77EB">
        <w:t>1992. évi Mt.</w:t>
      </w:r>
      <w:r>
        <w:t xml:space="preserve"> 85/B. § (1) </w:t>
      </w:r>
      <w:proofErr w:type="spellStart"/>
      <w:r>
        <w:t>bek</w:t>
      </w:r>
      <w:proofErr w:type="spellEnd"/>
      <w:r>
        <w:t xml:space="preserve">.]. Amennyiben pedig a </w:t>
      </w:r>
      <w:r w:rsidRPr="004173A3">
        <w:t>munkáltató csoportos létszámcsökkentés végrehajtását tervez</w:t>
      </w:r>
      <w:r>
        <w:t xml:space="preserve">te, </w:t>
      </w:r>
      <w:r w:rsidRPr="004173A3">
        <w:t>üzemi tanács hiányában a munkáltatónál képviselettel rendelkező szakszervezetek és a munkavállalók képviselőiből létrehozott bizottsággal</w:t>
      </w:r>
      <w:r>
        <w:t xml:space="preserve"> volt köteles </w:t>
      </w:r>
      <w:r w:rsidRPr="004173A3">
        <w:t>konzultációt kezdeményezn</w:t>
      </w:r>
      <w:r>
        <w:t xml:space="preserve">i [1992. évi Mt. 94/B. § (1) </w:t>
      </w:r>
      <w:proofErr w:type="spellStart"/>
      <w:r>
        <w:t>bek</w:t>
      </w:r>
      <w:proofErr w:type="spellEnd"/>
      <w:r>
        <w:t>.].</w:t>
      </w:r>
    </w:p>
  </w:footnote>
  <w:footnote w:id="23">
    <w:p w14:paraId="0186B98F" w14:textId="6588B521" w:rsidR="00EF77EB" w:rsidRDefault="00EF77EB">
      <w:pPr>
        <w:pStyle w:val="Lbjegyzetszveg"/>
      </w:pPr>
      <w:r>
        <w:rPr>
          <w:rStyle w:val="Lbjegyzet-hivatkozs"/>
        </w:rPr>
        <w:footnoteRef/>
      </w:r>
      <w:r>
        <w:t xml:space="preserve"> Mt. 72. § (1) </w:t>
      </w:r>
      <w:proofErr w:type="spellStart"/>
      <w:r>
        <w:t>bek</w:t>
      </w:r>
      <w:proofErr w:type="spellEnd"/>
      <w:proofErr w:type="gramStart"/>
      <w:r>
        <w:t>.,</w:t>
      </w:r>
      <w:proofErr w:type="gramEnd"/>
      <w:r>
        <w:t xml:space="preserve"> 265. § (2) </w:t>
      </w:r>
      <w:proofErr w:type="spellStart"/>
      <w:r>
        <w:t>bek</w:t>
      </w:r>
      <w:proofErr w:type="spellEnd"/>
      <w:r>
        <w:t>.</w:t>
      </w:r>
    </w:p>
  </w:footnote>
  <w:footnote w:id="24">
    <w:p w14:paraId="4FB4BC5F" w14:textId="77777777" w:rsidR="003C040E" w:rsidRDefault="003C040E" w:rsidP="003C040E">
      <w:pPr>
        <w:pStyle w:val="Lbjegyzetszveg"/>
      </w:pPr>
      <w:r>
        <w:rPr>
          <w:rStyle w:val="Lbjegyzet-hivatkozs"/>
        </w:rPr>
        <w:footnoteRef/>
      </w:r>
      <w:r>
        <w:t xml:space="preserve"> Mt. 264. § (2) </w:t>
      </w:r>
      <w:proofErr w:type="spellStart"/>
      <w:r>
        <w:t>bek</w:t>
      </w:r>
      <w:proofErr w:type="spellEnd"/>
      <w:r>
        <w:t>. j), k) és n) pont.</w:t>
      </w:r>
    </w:p>
  </w:footnote>
  <w:footnote w:id="25">
    <w:p w14:paraId="41F904B4" w14:textId="1D426611" w:rsidR="009034D9" w:rsidRDefault="009034D9">
      <w:pPr>
        <w:pStyle w:val="Lbjegyzetszveg"/>
      </w:pPr>
      <w:r>
        <w:rPr>
          <w:rStyle w:val="Lbjegyzet-hivatkozs"/>
        </w:rPr>
        <w:footnoteRef/>
      </w:r>
      <w:r>
        <w:t xml:space="preserve"> Mt. 266. §.</w:t>
      </w:r>
    </w:p>
  </w:footnote>
  <w:footnote w:id="26">
    <w:p w14:paraId="08B0A51A" w14:textId="605066DA" w:rsidR="00D42ADD" w:rsidRDefault="00D42ADD" w:rsidP="00D42ADD">
      <w:pPr>
        <w:pStyle w:val="Lbjegyzetszveg"/>
      </w:pPr>
      <w:r>
        <w:rPr>
          <w:rStyle w:val="Lbjegyzet-hivatkozs"/>
        </w:rPr>
        <w:footnoteRef/>
      </w:r>
      <w:r>
        <w:t xml:space="preserve"> Szabó Imre Szilárd: A szakszervezetek jogállása a magyar jogban. Doktori (PhD) értekezés. Pécsi Tudományegyetem Állam- és Jogtudományi Kar. Budapest-Pécs, 2022. 160–161.</w:t>
      </w:r>
    </w:p>
  </w:footnote>
  <w:footnote w:id="27">
    <w:p w14:paraId="0D005401" w14:textId="77777777" w:rsidR="003F4957" w:rsidRPr="0040118B" w:rsidRDefault="003F4957" w:rsidP="003F4957">
      <w:pPr>
        <w:shd w:val="clear" w:color="auto" w:fill="FFFFFF"/>
        <w:jc w:val="both"/>
        <w:rPr>
          <w:rFonts w:ascii="Times New Roman" w:eastAsia="Times New Roman" w:hAnsi="Times New Roman" w:cs="Times New Roman"/>
          <w:sz w:val="20"/>
          <w:szCs w:val="20"/>
          <w:lang w:eastAsia="hu-HU"/>
        </w:rPr>
      </w:pPr>
      <w:r w:rsidRPr="0040118B">
        <w:rPr>
          <w:rStyle w:val="Lbjegyzet-hivatkozs"/>
          <w:rFonts w:ascii="Times New Roman" w:hAnsi="Times New Roman" w:cs="Times New Roman"/>
          <w:sz w:val="20"/>
          <w:szCs w:val="20"/>
        </w:rPr>
        <w:footnoteRef/>
      </w:r>
      <w:r w:rsidRPr="0040118B">
        <w:rPr>
          <w:rFonts w:ascii="Times New Roman" w:hAnsi="Times New Roman" w:cs="Times New Roman"/>
          <w:sz w:val="20"/>
          <w:szCs w:val="20"/>
        </w:rPr>
        <w:t xml:space="preserve"> Az Mt. alapján a </w:t>
      </w:r>
      <w:r w:rsidRPr="0040118B">
        <w:rPr>
          <w:rFonts w:ascii="Times New Roman" w:eastAsia="Times New Roman" w:hAnsi="Times New Roman" w:cs="Times New Roman"/>
          <w:sz w:val="20"/>
          <w:szCs w:val="20"/>
          <w:lang w:eastAsia="hu-HU"/>
        </w:rPr>
        <w:t xml:space="preserve">szakszervezet a 236. </w:t>
      </w:r>
      <w:proofErr w:type="gramStart"/>
      <w:r w:rsidRPr="0040118B">
        <w:rPr>
          <w:rFonts w:ascii="Times New Roman" w:eastAsia="Times New Roman" w:hAnsi="Times New Roman" w:cs="Times New Roman"/>
          <w:sz w:val="20"/>
          <w:szCs w:val="20"/>
          <w:lang w:eastAsia="hu-HU"/>
        </w:rPr>
        <w:t>§ (2) bekezdésben foglaltak szerint önállónak minősülő telephelyen foglalkoztatott tisztségviselők közül, ha a munkavállalóknak a naptári év első napján a megelőző naptári évre számított átlagos statisztikai létszáma</w:t>
      </w:r>
      <w:r>
        <w:rPr>
          <w:rFonts w:ascii="Times New Roman" w:eastAsia="Times New Roman" w:hAnsi="Times New Roman" w:cs="Times New Roman"/>
          <w:sz w:val="20"/>
          <w:szCs w:val="20"/>
          <w:lang w:eastAsia="hu-HU"/>
        </w:rPr>
        <w:t xml:space="preserve"> </w:t>
      </w:r>
      <w:r w:rsidRPr="0040118B">
        <w:rPr>
          <w:rFonts w:ascii="Times New Roman" w:eastAsia="Times New Roman" w:hAnsi="Times New Roman" w:cs="Times New Roman"/>
          <w:i/>
          <w:iCs/>
          <w:sz w:val="20"/>
          <w:szCs w:val="20"/>
          <w:lang w:eastAsia="hu-HU"/>
        </w:rPr>
        <w:t>a) </w:t>
      </w:r>
      <w:r w:rsidRPr="0040118B">
        <w:rPr>
          <w:rFonts w:ascii="Times New Roman" w:eastAsia="Times New Roman" w:hAnsi="Times New Roman" w:cs="Times New Roman"/>
          <w:sz w:val="20"/>
          <w:szCs w:val="20"/>
          <w:lang w:eastAsia="hu-HU"/>
        </w:rPr>
        <w:t>az ötszáz főt nem haladja meg, egy főt,</w:t>
      </w:r>
      <w:r>
        <w:rPr>
          <w:rFonts w:ascii="Times New Roman" w:eastAsia="Times New Roman" w:hAnsi="Times New Roman" w:cs="Times New Roman"/>
          <w:sz w:val="20"/>
          <w:szCs w:val="20"/>
          <w:lang w:eastAsia="hu-HU"/>
        </w:rPr>
        <w:t xml:space="preserve"> </w:t>
      </w:r>
      <w:r w:rsidRPr="0040118B">
        <w:rPr>
          <w:rFonts w:ascii="Times New Roman" w:eastAsia="Times New Roman" w:hAnsi="Times New Roman" w:cs="Times New Roman"/>
          <w:i/>
          <w:iCs/>
          <w:sz w:val="20"/>
          <w:szCs w:val="20"/>
          <w:lang w:eastAsia="hu-HU"/>
        </w:rPr>
        <w:t>b) </w:t>
      </w:r>
      <w:r w:rsidRPr="0040118B">
        <w:rPr>
          <w:rFonts w:ascii="Times New Roman" w:eastAsia="Times New Roman" w:hAnsi="Times New Roman" w:cs="Times New Roman"/>
          <w:sz w:val="20"/>
          <w:szCs w:val="20"/>
          <w:lang w:eastAsia="hu-HU"/>
        </w:rPr>
        <w:t>az ötszáz főt meghaladja, de az ezer főt nem haladja meg, két főt,</w:t>
      </w:r>
      <w:r>
        <w:rPr>
          <w:rFonts w:ascii="Times New Roman" w:eastAsia="Times New Roman" w:hAnsi="Times New Roman" w:cs="Times New Roman"/>
          <w:sz w:val="20"/>
          <w:szCs w:val="20"/>
          <w:lang w:eastAsia="hu-HU"/>
        </w:rPr>
        <w:t xml:space="preserve"> </w:t>
      </w:r>
      <w:r w:rsidRPr="0040118B">
        <w:rPr>
          <w:rFonts w:ascii="Times New Roman" w:eastAsia="Times New Roman" w:hAnsi="Times New Roman" w:cs="Times New Roman"/>
          <w:i/>
          <w:iCs/>
          <w:sz w:val="20"/>
          <w:szCs w:val="20"/>
          <w:lang w:eastAsia="hu-HU"/>
        </w:rPr>
        <w:t>c) </w:t>
      </w:r>
      <w:r w:rsidRPr="0040118B">
        <w:rPr>
          <w:rFonts w:ascii="Times New Roman" w:eastAsia="Times New Roman" w:hAnsi="Times New Roman" w:cs="Times New Roman"/>
          <w:sz w:val="20"/>
          <w:szCs w:val="20"/>
          <w:lang w:eastAsia="hu-HU"/>
        </w:rPr>
        <w:t>az ezer főt meghaladja, de a kétezer főt nem haladja meg, három főt,</w:t>
      </w:r>
      <w:r>
        <w:rPr>
          <w:rFonts w:ascii="Times New Roman" w:eastAsia="Times New Roman" w:hAnsi="Times New Roman" w:cs="Times New Roman"/>
          <w:sz w:val="20"/>
          <w:szCs w:val="20"/>
          <w:lang w:eastAsia="hu-HU"/>
        </w:rPr>
        <w:t xml:space="preserve"> </w:t>
      </w:r>
      <w:r w:rsidRPr="0040118B">
        <w:rPr>
          <w:rFonts w:ascii="Times New Roman" w:eastAsia="Times New Roman" w:hAnsi="Times New Roman" w:cs="Times New Roman"/>
          <w:i/>
          <w:iCs/>
          <w:sz w:val="20"/>
          <w:szCs w:val="20"/>
          <w:lang w:eastAsia="hu-HU"/>
        </w:rPr>
        <w:t>d) </w:t>
      </w:r>
      <w:r w:rsidRPr="0040118B">
        <w:rPr>
          <w:rFonts w:ascii="Times New Roman" w:eastAsia="Times New Roman" w:hAnsi="Times New Roman" w:cs="Times New Roman"/>
          <w:sz w:val="20"/>
          <w:szCs w:val="20"/>
          <w:lang w:eastAsia="hu-HU"/>
        </w:rPr>
        <w:t>a kétezer főt meghaladja, de a négyezer főt nem haladja meg, négy főt,</w:t>
      </w:r>
      <w:r>
        <w:rPr>
          <w:rFonts w:ascii="Times New Roman" w:eastAsia="Times New Roman" w:hAnsi="Times New Roman" w:cs="Times New Roman"/>
          <w:sz w:val="20"/>
          <w:szCs w:val="20"/>
          <w:lang w:eastAsia="hu-HU"/>
        </w:rPr>
        <w:t xml:space="preserve"> </w:t>
      </w:r>
      <w:r w:rsidRPr="0040118B">
        <w:rPr>
          <w:rFonts w:ascii="Times New Roman" w:eastAsia="Times New Roman" w:hAnsi="Times New Roman" w:cs="Times New Roman"/>
          <w:i/>
          <w:iCs/>
          <w:sz w:val="20"/>
          <w:szCs w:val="20"/>
          <w:lang w:eastAsia="hu-HU"/>
        </w:rPr>
        <w:t>e) </w:t>
      </w:r>
      <w:r w:rsidRPr="0040118B">
        <w:rPr>
          <w:rFonts w:ascii="Times New Roman" w:eastAsia="Times New Roman" w:hAnsi="Times New Roman" w:cs="Times New Roman"/>
          <w:sz w:val="20"/>
          <w:szCs w:val="20"/>
          <w:lang w:eastAsia="hu-HU"/>
        </w:rPr>
        <w:t>a négyezer főt meghaladja, öt főt</w:t>
      </w:r>
      <w:r>
        <w:rPr>
          <w:rFonts w:ascii="Times New Roman" w:eastAsia="Times New Roman" w:hAnsi="Times New Roman" w:cs="Times New Roman"/>
          <w:sz w:val="20"/>
          <w:szCs w:val="20"/>
          <w:lang w:eastAsia="hu-HU"/>
        </w:rPr>
        <w:t xml:space="preserve"> </w:t>
      </w:r>
      <w:r w:rsidRPr="0040118B">
        <w:rPr>
          <w:rFonts w:ascii="Times New Roman" w:eastAsia="Times New Roman" w:hAnsi="Times New Roman" w:cs="Times New Roman"/>
          <w:sz w:val="20"/>
          <w:szCs w:val="20"/>
          <w:lang w:eastAsia="hu-HU"/>
        </w:rPr>
        <w:t>jelölhet meg.</w:t>
      </w:r>
      <w:proofErr w:type="gramEnd"/>
      <w:r>
        <w:rPr>
          <w:rFonts w:ascii="Times New Roman" w:eastAsia="Times New Roman" w:hAnsi="Times New Roman" w:cs="Times New Roman"/>
          <w:sz w:val="20"/>
          <w:szCs w:val="20"/>
          <w:lang w:eastAsia="hu-HU"/>
        </w:rPr>
        <w:t xml:space="preserve"> Az így</w:t>
      </w:r>
      <w:r w:rsidRPr="0040118B">
        <w:rPr>
          <w:rFonts w:ascii="Times New Roman" w:eastAsia="Times New Roman" w:hAnsi="Times New Roman" w:cs="Times New Roman"/>
          <w:sz w:val="20"/>
          <w:szCs w:val="20"/>
          <w:lang w:eastAsia="hu-HU"/>
        </w:rPr>
        <w:t xml:space="preserve"> megjelölt tisztségviselőn túlmenően védelem illeti meg a munkáltatónál képviselettel rendelkező szakszervezet alapszabály szerinti legfelsőbb szerve által megjelölt egy tisztségviselőt</w:t>
      </w:r>
      <w:r>
        <w:rPr>
          <w:rFonts w:ascii="Times New Roman" w:eastAsia="Times New Roman" w:hAnsi="Times New Roman" w:cs="Times New Roman"/>
          <w:sz w:val="20"/>
          <w:szCs w:val="20"/>
          <w:lang w:eastAsia="hu-HU"/>
        </w:rPr>
        <w:t xml:space="preserve"> [Mt. 273. § (3)–(4) </w:t>
      </w:r>
      <w:proofErr w:type="spellStart"/>
      <w:r>
        <w:rPr>
          <w:rFonts w:ascii="Times New Roman" w:eastAsia="Times New Roman" w:hAnsi="Times New Roman" w:cs="Times New Roman"/>
          <w:sz w:val="20"/>
          <w:szCs w:val="20"/>
          <w:lang w:eastAsia="hu-HU"/>
        </w:rPr>
        <w:t>bek</w:t>
      </w:r>
      <w:proofErr w:type="spellEnd"/>
      <w:r>
        <w:rPr>
          <w:rFonts w:ascii="Times New Roman" w:eastAsia="Times New Roman" w:hAnsi="Times New Roman" w:cs="Times New Roman"/>
          <w:sz w:val="20"/>
          <w:szCs w:val="20"/>
          <w:lang w:eastAsia="hu-HU"/>
        </w:rPr>
        <w:t>.].</w:t>
      </w:r>
    </w:p>
  </w:footnote>
  <w:footnote w:id="28">
    <w:p w14:paraId="054F4374" w14:textId="5BC5E9B3" w:rsidR="008054D6" w:rsidRDefault="008054D6">
      <w:pPr>
        <w:pStyle w:val="Lbjegyzetszveg"/>
      </w:pPr>
      <w:r>
        <w:rPr>
          <w:rStyle w:val="Lbjegyzet-hivatkozs"/>
        </w:rPr>
        <w:footnoteRef/>
      </w:r>
      <w:r>
        <w:t xml:space="preserve"> </w:t>
      </w:r>
      <w:r w:rsidR="00370535">
        <w:t>Szabó Imre Szilárd: A szakszervezetek jogállása a magyar jogban. Doktori (PhD) értekezés. Pécsi Tudományegyetem Állam- és Jogtudományi Kar. Budapest-Pécs, 2022. 145.</w:t>
      </w:r>
    </w:p>
  </w:footnote>
  <w:footnote w:id="29">
    <w:p w14:paraId="267869EB" w14:textId="41E969E2" w:rsidR="00724754" w:rsidRDefault="00724754">
      <w:pPr>
        <w:pStyle w:val="Lbjegyzetszveg"/>
      </w:pPr>
      <w:r>
        <w:rPr>
          <w:rStyle w:val="Lbjegyzet-hivatkozs"/>
        </w:rPr>
        <w:footnoteRef/>
      </w:r>
      <w:r>
        <w:t xml:space="preserve"> </w:t>
      </w:r>
      <w:r w:rsidR="002D254B">
        <w:t xml:space="preserve">Kártyás Gábor: A szakszervezeti tisztségviselők munkajogi védelme és legújabb fejleményei. In: Bankó Zoltán – Berke Gyula – </w:t>
      </w:r>
      <w:proofErr w:type="spellStart"/>
      <w:r w:rsidR="002D254B">
        <w:t>Tálné</w:t>
      </w:r>
      <w:proofErr w:type="spellEnd"/>
      <w:r w:rsidR="002D254B">
        <w:t xml:space="preserve"> Molnár Erika (</w:t>
      </w:r>
      <w:proofErr w:type="spellStart"/>
      <w:r w:rsidR="002D254B">
        <w:t>szerk</w:t>
      </w:r>
      <w:proofErr w:type="spellEnd"/>
      <w:r w:rsidR="002D254B">
        <w:t xml:space="preserve">.): </w:t>
      </w:r>
      <w:proofErr w:type="spellStart"/>
      <w:r w:rsidR="002D254B">
        <w:t>Quid</w:t>
      </w:r>
      <w:proofErr w:type="spellEnd"/>
      <w:r w:rsidR="002D254B">
        <w:t xml:space="preserve"> </w:t>
      </w:r>
      <w:proofErr w:type="spellStart"/>
      <w:r w:rsidR="002D254B">
        <w:t>Juris</w:t>
      </w:r>
      <w:proofErr w:type="spellEnd"/>
      <w:r w:rsidR="002D254B">
        <w:t>? Ünnepi kötet a Munkaügyi Bírák Országos Egyesülete megalakulásának 20. évfordulójára. Pécs–Budapest, Pécsi Tudományegyetem Állam- és Jogtudományi Kar, Kúria, Munkaügyi Bírák Országos Egyesülete, 2018, 207.</w:t>
      </w:r>
    </w:p>
  </w:footnote>
  <w:footnote w:id="30">
    <w:p w14:paraId="7B7849F9" w14:textId="46672512" w:rsidR="00441C13" w:rsidRDefault="008144A0">
      <w:pPr>
        <w:pStyle w:val="Lbjegyzetszveg"/>
      </w:pPr>
      <w:r>
        <w:rPr>
          <w:rStyle w:val="Lbjegyzet-hivatkozs"/>
        </w:rPr>
        <w:footnoteRef/>
      </w:r>
      <w:r>
        <w:t xml:space="preserve"> Mt. 272. § (6)–(7) </w:t>
      </w:r>
      <w:proofErr w:type="spellStart"/>
      <w:r>
        <w:t>bek</w:t>
      </w:r>
      <w:proofErr w:type="spellEnd"/>
      <w:r>
        <w:t>.</w:t>
      </w:r>
      <w:r w:rsidR="00441C13">
        <w:t xml:space="preserve"> E rendelkezések lényegében nem különböznek az 1992. évi Mt. szabályaitól, melyek szerint a</w:t>
      </w:r>
      <w:r w:rsidR="00441C13" w:rsidRPr="00441C13">
        <w:t xml:space="preserve"> szakszervezet joga</w:t>
      </w:r>
      <w:r w:rsidR="00441C13">
        <w:t xml:space="preserve"> volt</w:t>
      </w:r>
      <w:r w:rsidR="00441C13" w:rsidRPr="00441C13">
        <w:t xml:space="preserve">, hogy a munkavállalókat anyagi, szociális és kulturális, valamint élet- és munkakörülményeiket érintő jogaikról és kötelezettségeikről tájékoztassa, továbbá a munkaügyi kapcsolatokat és a munkaviszonyt érintő körben tagjait a munkáltatóval szemben, illetőleg az állami szervek előtt képviselje. A szakszervezet jogosult </w:t>
      </w:r>
      <w:r w:rsidR="00441C13">
        <w:t xml:space="preserve">volt továbbá </w:t>
      </w:r>
      <w:r w:rsidR="00441C13" w:rsidRPr="00441C13">
        <w:t xml:space="preserve">a tagját </w:t>
      </w:r>
      <w:r w:rsidR="00441C13">
        <w:t>–</w:t>
      </w:r>
      <w:r w:rsidR="00441C13" w:rsidRPr="00441C13">
        <w:t xml:space="preserve"> meghatalmazás alapján </w:t>
      </w:r>
      <w:r w:rsidR="00441C13">
        <w:t>–</w:t>
      </w:r>
      <w:r w:rsidR="00441C13" w:rsidRPr="00441C13">
        <w:t>, annak élet- és munkakörülményeit érintő kérdésekben bíróság, más hatóság, illetve egyéb szervek előtt képviselni</w:t>
      </w:r>
      <w:r w:rsidR="00441C13">
        <w:t xml:space="preserve"> [1992. évi Mt. 19. § (2)–(3) </w:t>
      </w:r>
      <w:proofErr w:type="spellStart"/>
      <w:r w:rsidR="00441C13">
        <w:t>bek</w:t>
      </w:r>
      <w:proofErr w:type="spellEnd"/>
      <w:r w:rsidR="00441C13">
        <w:t>.].</w:t>
      </w:r>
    </w:p>
  </w:footnote>
  <w:footnote w:id="31">
    <w:p w14:paraId="54CA122B" w14:textId="6E330981" w:rsidR="00A40257" w:rsidRDefault="00A40257">
      <w:pPr>
        <w:pStyle w:val="Lbjegyzetszveg"/>
      </w:pPr>
      <w:r>
        <w:rPr>
          <w:rStyle w:val="Lbjegyzet-hivatkozs"/>
        </w:rPr>
        <w:footnoteRef/>
      </w:r>
      <w:r>
        <w:t xml:space="preserve"> </w:t>
      </w:r>
      <w:proofErr w:type="spellStart"/>
      <w:r>
        <w:t>Ebktv</w:t>
      </w:r>
      <w:proofErr w:type="spellEnd"/>
      <w:r>
        <w:t>. 20. §.</w:t>
      </w:r>
    </w:p>
  </w:footnote>
  <w:footnote w:id="32">
    <w:p w14:paraId="1E6971ED" w14:textId="77777777" w:rsidR="00651AFA" w:rsidRPr="00E86F79" w:rsidRDefault="00651AFA" w:rsidP="00651AFA">
      <w:pPr>
        <w:pStyle w:val="Lbjegyzetszveg"/>
        <w:rPr>
          <w:rFonts w:cs="Times New Roman"/>
        </w:rPr>
      </w:pPr>
      <w:r w:rsidRPr="00E86F79">
        <w:rPr>
          <w:rStyle w:val="Lbjegyzet-hivatkozs"/>
          <w:rFonts w:cs="Times New Roman"/>
        </w:rPr>
        <w:footnoteRef/>
      </w:r>
      <w:r w:rsidRPr="00E86F79">
        <w:rPr>
          <w:rFonts w:cs="Times New Roman"/>
        </w:rPr>
        <w:t xml:space="preserve"> BH 2014. 345.</w:t>
      </w:r>
    </w:p>
  </w:footnote>
  <w:footnote w:id="33">
    <w:p w14:paraId="3C8E0D33" w14:textId="77777777" w:rsidR="00492075" w:rsidRPr="00E86F79" w:rsidRDefault="00492075" w:rsidP="00492075">
      <w:pPr>
        <w:pStyle w:val="Lbjegyzetszveg"/>
        <w:rPr>
          <w:rFonts w:cs="Times New Roman"/>
          <w:b/>
          <w:bCs/>
        </w:rPr>
      </w:pPr>
      <w:r w:rsidRPr="00E86F79">
        <w:rPr>
          <w:rStyle w:val="Lbjegyzet-hivatkozs"/>
          <w:rFonts w:cs="Times New Roman"/>
        </w:rPr>
        <w:footnoteRef/>
      </w:r>
      <w:r w:rsidRPr="00E86F79">
        <w:rPr>
          <w:rFonts w:cs="Times New Roman"/>
        </w:rPr>
        <w:t xml:space="preserve"> Az egyesületre vonatkozó részletszabályokat a Ptk. 3:63–3:87. §-</w:t>
      </w:r>
      <w:proofErr w:type="spellStart"/>
      <w:r w:rsidRPr="00E86F79">
        <w:rPr>
          <w:rFonts w:cs="Times New Roman"/>
        </w:rPr>
        <w:t>ai</w:t>
      </w:r>
      <w:proofErr w:type="spellEnd"/>
      <w:r w:rsidRPr="00E86F79">
        <w:rPr>
          <w:rFonts w:cs="Times New Roman"/>
        </w:rPr>
        <w:t xml:space="preserve"> tartalmazzák.</w:t>
      </w:r>
    </w:p>
  </w:footnote>
  <w:footnote w:id="34">
    <w:p w14:paraId="309D3425" w14:textId="77777777" w:rsidR="00492075" w:rsidRPr="00E86F79" w:rsidRDefault="00492075" w:rsidP="00492075">
      <w:pPr>
        <w:pStyle w:val="Lbjegyzetszveg"/>
        <w:rPr>
          <w:rFonts w:cs="Times New Roman"/>
          <w:b/>
          <w:bCs/>
        </w:rPr>
      </w:pPr>
      <w:r w:rsidRPr="00E86F79">
        <w:rPr>
          <w:rStyle w:val="Lbjegyzet-hivatkozs"/>
          <w:rFonts w:cs="Times New Roman"/>
        </w:rPr>
        <w:footnoteRef/>
      </w:r>
      <w:r w:rsidRPr="00E86F79">
        <w:rPr>
          <w:rFonts w:cs="Times New Roman"/>
        </w:rPr>
        <w:t xml:space="preserve"> Az </w:t>
      </w:r>
      <w:proofErr w:type="spellStart"/>
      <w:r w:rsidRPr="00E86F79">
        <w:rPr>
          <w:rFonts w:cs="Times New Roman"/>
        </w:rPr>
        <w:t>Ectv</w:t>
      </w:r>
      <w:proofErr w:type="spellEnd"/>
      <w:r w:rsidRPr="00E86F79">
        <w:rPr>
          <w:rFonts w:cs="Times New Roman"/>
        </w:rPr>
        <w:t>. 4. § (3) szerint a szövetség olyan egyesület, amely két tag részvételével is alapítható, működtethető. A szövetség tagja egyesület, alapítvány, egyéb jogi személy, jogi személyiséggel nem rendelkező szervezet vagy civil társaság lehet; szövetség tagja természetes személy nem lehet.</w:t>
      </w:r>
    </w:p>
  </w:footnote>
  <w:footnote w:id="35">
    <w:p w14:paraId="28C97A3C" w14:textId="77777777" w:rsidR="008F1108" w:rsidRPr="00E86F79" w:rsidRDefault="008F1108" w:rsidP="008F1108">
      <w:pPr>
        <w:pStyle w:val="Lbjegyzetszveg"/>
        <w:rPr>
          <w:rFonts w:cs="Times New Roman"/>
        </w:rPr>
      </w:pPr>
      <w:r w:rsidRPr="00E86F79">
        <w:rPr>
          <w:rStyle w:val="Lbjegyzet-hivatkozs"/>
          <w:rFonts w:cs="Times New Roman"/>
        </w:rPr>
        <w:footnoteRef/>
      </w:r>
      <w:r w:rsidRPr="00E86F79">
        <w:rPr>
          <w:rStyle w:val="Lbjegyzet-hivatkozs"/>
          <w:rFonts w:cs="Times New Roman"/>
        </w:rPr>
        <w:t xml:space="preserve"> </w:t>
      </w:r>
      <w:r w:rsidRPr="00E86F79">
        <w:rPr>
          <w:rFonts w:cs="Times New Roman"/>
        </w:rPr>
        <w:t xml:space="preserve">A névjegyzék a 2011. évi CLXXXI. törvény 86.§ (1) bekezdése szerint közhiteles. Elérhető itt: </w:t>
      </w:r>
      <w:hyperlink r:id="rId4" w:history="1">
        <w:r w:rsidRPr="00E86F79">
          <w:rPr>
            <w:rFonts w:cs="Times New Roman"/>
          </w:rPr>
          <w:t>https://birosag.hu/civil-szervezetek-nevjegyzeke</w:t>
        </w:r>
      </w:hyperlink>
    </w:p>
  </w:footnote>
  <w:footnote w:id="36">
    <w:p w14:paraId="6A44859E" w14:textId="671CD6B2" w:rsidR="00E86F79" w:rsidRPr="00E86F79" w:rsidRDefault="00E86F79">
      <w:pPr>
        <w:pStyle w:val="Lbjegyzetszveg"/>
        <w:rPr>
          <w:rFonts w:cs="Times New Roman"/>
        </w:rPr>
      </w:pPr>
      <w:r w:rsidRPr="00E86F79">
        <w:rPr>
          <w:rStyle w:val="Lbjegyzet-hivatkozs"/>
          <w:rFonts w:cs="Times New Roman"/>
        </w:rPr>
        <w:footnoteRef/>
      </w:r>
      <w:r w:rsidRPr="00E86F79">
        <w:rPr>
          <w:rFonts w:cs="Times New Roman"/>
        </w:rPr>
        <w:t xml:space="preserve"> Reményünket fejezzük ki, hogy a 2026-tól hatályba lépő a jogi személyek nyilvántartásáról és a nyilvántartási eljárásról szóló 2021. évi XCII. törvény meg fog felelni ennek a kívánalomnak.</w:t>
      </w:r>
    </w:p>
  </w:footnote>
  <w:footnote w:id="37">
    <w:p w14:paraId="3273A262" w14:textId="77777777" w:rsidR="00492075" w:rsidRPr="00E86F79" w:rsidRDefault="00492075" w:rsidP="00492075">
      <w:pPr>
        <w:pStyle w:val="Lbjegyzetszveg"/>
        <w:rPr>
          <w:rFonts w:cs="Times New Roman"/>
        </w:rPr>
      </w:pPr>
      <w:r w:rsidRPr="00E86F79">
        <w:rPr>
          <w:rStyle w:val="Lbjegyzet-hivatkozs"/>
          <w:rFonts w:cs="Times New Roman"/>
        </w:rPr>
        <w:footnoteRef/>
      </w:r>
      <w:r w:rsidRPr="00E86F79">
        <w:rPr>
          <w:rFonts w:cs="Times New Roman"/>
        </w:rPr>
        <w:t xml:space="preserve"> </w:t>
      </w:r>
      <w:proofErr w:type="spellStart"/>
      <w:r w:rsidRPr="00E86F79">
        <w:rPr>
          <w:rFonts w:cs="Times New Roman"/>
        </w:rPr>
        <w:t>Committee</w:t>
      </w:r>
      <w:proofErr w:type="spellEnd"/>
      <w:r w:rsidRPr="00E86F79">
        <w:rPr>
          <w:rFonts w:cs="Times New Roman"/>
        </w:rPr>
        <w:t xml:space="preserve"> </w:t>
      </w:r>
      <w:proofErr w:type="spellStart"/>
      <w:r w:rsidRPr="00E86F79">
        <w:rPr>
          <w:rFonts w:cs="Times New Roman"/>
        </w:rPr>
        <w:t>on</w:t>
      </w:r>
      <w:proofErr w:type="spellEnd"/>
      <w:r w:rsidRPr="00E86F79">
        <w:rPr>
          <w:rFonts w:cs="Times New Roman"/>
        </w:rPr>
        <w:t xml:space="preserve"> </w:t>
      </w:r>
      <w:proofErr w:type="spellStart"/>
      <w:r w:rsidRPr="00E86F79">
        <w:rPr>
          <w:rFonts w:cs="Times New Roman"/>
        </w:rPr>
        <w:t>Freedom</w:t>
      </w:r>
      <w:proofErr w:type="spellEnd"/>
      <w:r w:rsidRPr="00E86F79">
        <w:rPr>
          <w:rFonts w:cs="Times New Roman"/>
        </w:rPr>
        <w:t xml:space="preserve"> of </w:t>
      </w:r>
      <w:proofErr w:type="spellStart"/>
      <w:r w:rsidRPr="00E86F79">
        <w:rPr>
          <w:rFonts w:cs="Times New Roman"/>
        </w:rPr>
        <w:t>Association</w:t>
      </w:r>
      <w:proofErr w:type="spellEnd"/>
    </w:p>
  </w:footnote>
  <w:footnote w:id="38">
    <w:p w14:paraId="192947B8" w14:textId="41F54490" w:rsidR="00492075" w:rsidRPr="00E86F79" w:rsidRDefault="00492075" w:rsidP="00492075">
      <w:pPr>
        <w:pStyle w:val="Lbjegyzetszveg"/>
        <w:rPr>
          <w:rFonts w:cs="Times New Roman"/>
        </w:rPr>
      </w:pPr>
      <w:r w:rsidRPr="00E86F79">
        <w:rPr>
          <w:rStyle w:val="Lbjegyzet-hivatkozs"/>
          <w:rFonts w:cs="Times New Roman"/>
        </w:rPr>
        <w:footnoteRef/>
      </w:r>
      <w:r w:rsidRPr="00E86F79">
        <w:rPr>
          <w:rFonts w:cs="Times New Roman"/>
        </w:rPr>
        <w:t xml:space="preserve"> 337th </w:t>
      </w:r>
      <w:proofErr w:type="spellStart"/>
      <w:r w:rsidRPr="00E86F79">
        <w:rPr>
          <w:rFonts w:cs="Times New Roman"/>
        </w:rPr>
        <w:t>Report</w:t>
      </w:r>
      <w:proofErr w:type="spellEnd"/>
      <w:r w:rsidRPr="00E86F79">
        <w:rPr>
          <w:rFonts w:cs="Times New Roman"/>
        </w:rPr>
        <w:t xml:space="preserve">, </w:t>
      </w:r>
      <w:proofErr w:type="spellStart"/>
      <w:r w:rsidRPr="00E86F79">
        <w:rPr>
          <w:rFonts w:cs="Times New Roman"/>
        </w:rPr>
        <w:t>Case</w:t>
      </w:r>
      <w:proofErr w:type="spellEnd"/>
      <w:r w:rsidRPr="00E86F79">
        <w:rPr>
          <w:rFonts w:cs="Times New Roman"/>
        </w:rPr>
        <w:t xml:space="preserve"> No. 2244, para. 1261. Lásd: </w:t>
      </w:r>
      <w:proofErr w:type="spellStart"/>
      <w:r w:rsidRPr="00E86F79">
        <w:rPr>
          <w:rFonts w:cs="Times New Roman"/>
        </w:rPr>
        <w:t>Freedom</w:t>
      </w:r>
      <w:proofErr w:type="spellEnd"/>
      <w:r w:rsidRPr="00E86F79">
        <w:rPr>
          <w:rFonts w:cs="Times New Roman"/>
        </w:rPr>
        <w:t xml:space="preserve"> of </w:t>
      </w:r>
      <w:proofErr w:type="spellStart"/>
      <w:r w:rsidRPr="00E86F79">
        <w:rPr>
          <w:rFonts w:cs="Times New Roman"/>
        </w:rPr>
        <w:t>Association</w:t>
      </w:r>
      <w:proofErr w:type="spellEnd"/>
      <w:r w:rsidRPr="00E86F79">
        <w:rPr>
          <w:rFonts w:cs="Times New Roman"/>
        </w:rPr>
        <w:t xml:space="preserve"> ILO, </w:t>
      </w:r>
      <w:proofErr w:type="spellStart"/>
      <w:r w:rsidRPr="00E86F79">
        <w:rPr>
          <w:rFonts w:cs="Times New Roman"/>
        </w:rPr>
        <w:t>Digest</w:t>
      </w:r>
      <w:proofErr w:type="spellEnd"/>
      <w:r w:rsidRPr="00E86F79">
        <w:rPr>
          <w:rFonts w:cs="Times New Roman"/>
        </w:rPr>
        <w:t xml:space="preserve"> of </w:t>
      </w:r>
      <w:proofErr w:type="spellStart"/>
      <w:r w:rsidRPr="00E86F79">
        <w:rPr>
          <w:rFonts w:cs="Times New Roman"/>
        </w:rPr>
        <w:t>decisions</w:t>
      </w:r>
      <w:proofErr w:type="spellEnd"/>
      <w:r w:rsidRPr="00E86F79">
        <w:rPr>
          <w:rFonts w:cs="Times New Roman"/>
        </w:rPr>
        <w:t xml:space="preserve"> and </w:t>
      </w:r>
      <w:proofErr w:type="spellStart"/>
      <w:r w:rsidRPr="00E86F79">
        <w:rPr>
          <w:rFonts w:cs="Times New Roman"/>
        </w:rPr>
        <w:t>principles</w:t>
      </w:r>
      <w:proofErr w:type="spellEnd"/>
      <w:r w:rsidRPr="00E86F79">
        <w:rPr>
          <w:rFonts w:cs="Times New Roman"/>
        </w:rPr>
        <w:t xml:space="preserve"> of </w:t>
      </w:r>
      <w:proofErr w:type="spellStart"/>
      <w:r w:rsidRPr="00E86F79">
        <w:rPr>
          <w:rFonts w:cs="Times New Roman"/>
        </w:rPr>
        <w:t>the</w:t>
      </w:r>
      <w:proofErr w:type="spellEnd"/>
      <w:r w:rsidRPr="00E86F79">
        <w:rPr>
          <w:rFonts w:cs="Times New Roman"/>
        </w:rPr>
        <w:t xml:space="preserve"> </w:t>
      </w:r>
      <w:proofErr w:type="spellStart"/>
      <w:r w:rsidRPr="00E86F79">
        <w:rPr>
          <w:rFonts w:cs="Times New Roman"/>
        </w:rPr>
        <w:t>Freedom</w:t>
      </w:r>
      <w:proofErr w:type="spellEnd"/>
      <w:r w:rsidRPr="00E86F79">
        <w:rPr>
          <w:rFonts w:cs="Times New Roman"/>
        </w:rPr>
        <w:t xml:space="preserve"> of </w:t>
      </w:r>
      <w:proofErr w:type="spellStart"/>
      <w:r w:rsidRPr="00E86F79">
        <w:rPr>
          <w:rFonts w:cs="Times New Roman"/>
        </w:rPr>
        <w:t>Association</w:t>
      </w:r>
      <w:proofErr w:type="spellEnd"/>
      <w:r w:rsidRPr="00E86F79">
        <w:rPr>
          <w:rFonts w:cs="Times New Roman"/>
        </w:rPr>
        <w:t xml:space="preserve"> </w:t>
      </w:r>
      <w:proofErr w:type="spellStart"/>
      <w:r w:rsidRPr="00E86F79">
        <w:rPr>
          <w:rFonts w:cs="Times New Roman"/>
        </w:rPr>
        <w:t>Committee</w:t>
      </w:r>
      <w:proofErr w:type="spellEnd"/>
      <w:r w:rsidRPr="00E86F79">
        <w:rPr>
          <w:rFonts w:cs="Times New Roman"/>
        </w:rPr>
        <w:t xml:space="preserve"> of </w:t>
      </w:r>
      <w:proofErr w:type="spellStart"/>
      <w:r w:rsidRPr="00E86F79">
        <w:rPr>
          <w:rFonts w:cs="Times New Roman"/>
        </w:rPr>
        <w:t>the</w:t>
      </w:r>
      <w:proofErr w:type="spellEnd"/>
      <w:r w:rsidRPr="00E86F79">
        <w:rPr>
          <w:rFonts w:cs="Times New Roman"/>
        </w:rPr>
        <w:t xml:space="preserve"> </w:t>
      </w:r>
      <w:proofErr w:type="spellStart"/>
      <w:r w:rsidRPr="00E86F79">
        <w:rPr>
          <w:rFonts w:cs="Times New Roman"/>
        </w:rPr>
        <w:t>Governing</w:t>
      </w:r>
      <w:proofErr w:type="spellEnd"/>
      <w:r w:rsidRPr="00E86F79">
        <w:rPr>
          <w:rFonts w:cs="Times New Roman"/>
        </w:rPr>
        <w:t xml:space="preserve"> Body of </w:t>
      </w:r>
      <w:proofErr w:type="spellStart"/>
      <w:r w:rsidRPr="00E86F79">
        <w:rPr>
          <w:rFonts w:cs="Times New Roman"/>
        </w:rPr>
        <w:t>the</w:t>
      </w:r>
      <w:proofErr w:type="spellEnd"/>
      <w:r w:rsidRPr="00E86F79">
        <w:rPr>
          <w:rFonts w:cs="Times New Roman"/>
        </w:rPr>
        <w:t xml:space="preserve"> ILO, </w:t>
      </w:r>
      <w:proofErr w:type="spellStart"/>
      <w:r w:rsidRPr="00E86F79">
        <w:rPr>
          <w:rFonts w:cs="Times New Roman"/>
        </w:rPr>
        <w:t>Fifth</w:t>
      </w:r>
      <w:proofErr w:type="spellEnd"/>
      <w:r w:rsidRPr="00E86F79">
        <w:rPr>
          <w:rFonts w:cs="Times New Roman"/>
        </w:rPr>
        <w:t xml:space="preserve"> (</w:t>
      </w:r>
      <w:proofErr w:type="spellStart"/>
      <w:r w:rsidRPr="00E86F79">
        <w:rPr>
          <w:rFonts w:cs="Times New Roman"/>
        </w:rPr>
        <w:t>revised</w:t>
      </w:r>
      <w:proofErr w:type="spellEnd"/>
      <w:r w:rsidRPr="00E86F79">
        <w:rPr>
          <w:rFonts w:cs="Times New Roman"/>
        </w:rPr>
        <w:t xml:space="preserve">) </w:t>
      </w:r>
      <w:proofErr w:type="spellStart"/>
      <w:r w:rsidRPr="00E86F79">
        <w:rPr>
          <w:rFonts w:cs="Times New Roman"/>
        </w:rPr>
        <w:t>edition</w:t>
      </w:r>
      <w:proofErr w:type="spellEnd"/>
      <w:r w:rsidRPr="00E86F79">
        <w:rPr>
          <w:rFonts w:cs="Times New Roman"/>
        </w:rPr>
        <w:t>. 63.</w:t>
      </w:r>
    </w:p>
  </w:footnote>
  <w:footnote w:id="39">
    <w:p w14:paraId="745C9CEE" w14:textId="77777777" w:rsidR="00902155" w:rsidRPr="00E86F79" w:rsidRDefault="00902155" w:rsidP="00902155">
      <w:pPr>
        <w:pStyle w:val="Lbjegyzetszveg"/>
        <w:rPr>
          <w:rFonts w:cs="Times New Roman"/>
        </w:rPr>
      </w:pPr>
      <w:r w:rsidRPr="00E86F79">
        <w:rPr>
          <w:rStyle w:val="Lbjegyzet-hivatkozs"/>
          <w:rFonts w:cs="Times New Roman"/>
        </w:rPr>
        <w:footnoteRef/>
      </w:r>
      <w:r w:rsidRPr="00E86F79">
        <w:rPr>
          <w:rFonts w:cs="Times New Roman"/>
        </w:rPr>
        <w:t xml:space="preserve"> A 87. számú Egyezmény 2. cikke értelmében a munkavállalók és munkáltatók mindennemű megkülönböztetés nélkül jogosultak szervezetek létrehozására, valamint, kizárólag az érintett szervezet szabályaitól függően, jogosultak csatlakozni a maguk választotta szervezethez, előzetes jóváhagyás nélkül. A 3. cikk 1. bekezdése rögzíti, hogy a munkavállalók és a munkáltatók szervezeteinek jogában áll alapszabályaik és szabályaik kidolgozása, képviselőik szabad megválasztása, szervezetük irányításának, illetve tevékenységük megszervezése, valamint programjaik megfogalmazása. Ugyanezen cikk 2. bekezdése szerint az állami hatóságok kötelesek tartózkodni minden beavatkozástól, ami ezt a jogot korlátozná, vagy annak törvényes gyakorlását gátolná.</w:t>
      </w:r>
    </w:p>
  </w:footnote>
  <w:footnote w:id="40">
    <w:p w14:paraId="1FFD5EAF" w14:textId="77777777" w:rsidR="00902155" w:rsidRPr="00E86F79" w:rsidRDefault="00902155" w:rsidP="00902155">
      <w:pPr>
        <w:pStyle w:val="Lbjegyzetszveg"/>
        <w:rPr>
          <w:rFonts w:cs="Times New Roman"/>
        </w:rPr>
      </w:pPr>
      <w:r w:rsidRPr="00E86F79">
        <w:rPr>
          <w:rStyle w:val="Lbjegyzet-hivatkozs"/>
          <w:rFonts w:cs="Times New Roman"/>
        </w:rPr>
        <w:footnoteRef/>
      </w:r>
      <w:r w:rsidRPr="00E86F79">
        <w:rPr>
          <w:rFonts w:cs="Times New Roman"/>
        </w:rPr>
        <w:t xml:space="preserve"> </w:t>
      </w:r>
      <w:proofErr w:type="spellStart"/>
      <w:r w:rsidRPr="00E86F79">
        <w:rPr>
          <w:rFonts w:cs="Times New Roman"/>
        </w:rPr>
        <w:t>Committee</w:t>
      </w:r>
      <w:proofErr w:type="spellEnd"/>
      <w:r w:rsidRPr="00E86F79">
        <w:rPr>
          <w:rFonts w:cs="Times New Roman"/>
        </w:rPr>
        <w:t xml:space="preserve"> </w:t>
      </w:r>
      <w:proofErr w:type="spellStart"/>
      <w:r w:rsidRPr="00E86F79">
        <w:rPr>
          <w:rFonts w:cs="Times New Roman"/>
        </w:rPr>
        <w:t>on</w:t>
      </w:r>
      <w:proofErr w:type="spellEnd"/>
      <w:r w:rsidRPr="00E86F79">
        <w:rPr>
          <w:rFonts w:cs="Times New Roman"/>
        </w:rPr>
        <w:t xml:space="preserve"> </w:t>
      </w:r>
      <w:proofErr w:type="spellStart"/>
      <w:r w:rsidRPr="00E86F79">
        <w:rPr>
          <w:rFonts w:cs="Times New Roman"/>
        </w:rPr>
        <w:t>Freedom</w:t>
      </w:r>
      <w:proofErr w:type="spellEnd"/>
      <w:r w:rsidRPr="00E86F79">
        <w:rPr>
          <w:rFonts w:cs="Times New Roman"/>
        </w:rPr>
        <w:t xml:space="preserve"> of </w:t>
      </w:r>
      <w:proofErr w:type="spellStart"/>
      <w:r w:rsidRPr="00E86F79">
        <w:rPr>
          <w:rFonts w:cs="Times New Roman"/>
        </w:rPr>
        <w:t>Association</w:t>
      </w:r>
      <w:proofErr w:type="spellEnd"/>
      <w:r w:rsidRPr="00E86F79">
        <w:rPr>
          <w:rFonts w:cs="Times New Roman"/>
        </w:rPr>
        <w:t xml:space="preserve"> (CFA),</w:t>
      </w:r>
    </w:p>
  </w:footnote>
  <w:footnote w:id="41">
    <w:p w14:paraId="56261BBE" w14:textId="77777777" w:rsidR="00902155" w:rsidRPr="00E86F79" w:rsidRDefault="00902155" w:rsidP="00902155">
      <w:pPr>
        <w:pStyle w:val="Lbjegyzetszveg"/>
        <w:rPr>
          <w:rFonts w:cs="Times New Roman"/>
        </w:rPr>
      </w:pPr>
      <w:r w:rsidRPr="00E86F79">
        <w:rPr>
          <w:rStyle w:val="Lbjegyzet-hivatkozs"/>
          <w:rFonts w:cs="Times New Roman"/>
        </w:rPr>
        <w:footnoteRef/>
      </w:r>
      <w:r w:rsidRPr="00E86F79">
        <w:rPr>
          <w:rFonts w:cs="Times New Roman"/>
        </w:rPr>
        <w:t xml:space="preserve"> </w:t>
      </w:r>
      <w:r w:rsidRPr="00E86F79">
        <w:rPr>
          <w:rFonts w:eastAsia="Calibri" w:cs="Times New Roman"/>
          <w:color w:val="000000"/>
        </w:rPr>
        <w:t>Ld. 330. jelentés, 2038. sz. ügy, 156. bekezdés.</w:t>
      </w:r>
    </w:p>
  </w:footnote>
  <w:footnote w:id="42">
    <w:p w14:paraId="05651667" w14:textId="4D3BC0DD" w:rsidR="00902155" w:rsidRPr="00E86F79" w:rsidRDefault="00902155" w:rsidP="00097C80">
      <w:pPr>
        <w:jc w:val="both"/>
      </w:pPr>
      <w:r w:rsidRPr="00E86F79">
        <w:rPr>
          <w:rStyle w:val="Lbjegyzet-hivatkozs"/>
          <w:rFonts w:ascii="Times New Roman" w:hAnsi="Times New Roman" w:cs="Times New Roman"/>
          <w:sz w:val="20"/>
          <w:szCs w:val="20"/>
        </w:rPr>
        <w:footnoteRef/>
      </w:r>
      <w:r w:rsidRPr="00E86F79">
        <w:rPr>
          <w:rFonts w:ascii="Times New Roman" w:hAnsi="Times New Roman" w:cs="Times New Roman"/>
          <w:sz w:val="20"/>
          <w:szCs w:val="20"/>
        </w:rPr>
        <w:t xml:space="preserve"> </w:t>
      </w:r>
      <w:r w:rsidRPr="00E86F79">
        <w:rPr>
          <w:rFonts w:ascii="Times New Roman" w:eastAsia="Calibri" w:hAnsi="Times New Roman" w:cs="Times New Roman"/>
          <w:color w:val="000000"/>
          <w:sz w:val="20"/>
          <w:szCs w:val="20"/>
        </w:rPr>
        <w:t xml:space="preserve">Ld. 338. jelentés, 2273. sz. ügy, 294. bekezdés. </w:t>
      </w:r>
    </w:p>
  </w:footnote>
  <w:footnote w:id="43">
    <w:p w14:paraId="06DDE903" w14:textId="261F5155" w:rsidR="00A72966" w:rsidRDefault="00A72966">
      <w:pPr>
        <w:pStyle w:val="Lbjegyzetszveg"/>
      </w:pPr>
      <w:r>
        <w:rPr>
          <w:rStyle w:val="Lbjegyzet-hivatkozs"/>
        </w:rPr>
        <w:footnoteRef/>
      </w:r>
      <w:r>
        <w:t xml:space="preserve"> </w:t>
      </w:r>
      <w:proofErr w:type="spellStart"/>
      <w:r>
        <w:rPr>
          <w:rFonts w:cs="Times New Roman"/>
          <w:bCs/>
        </w:rPr>
        <w:t>Met</w:t>
      </w:r>
      <w:proofErr w:type="spellEnd"/>
      <w:r>
        <w:rPr>
          <w:rFonts w:cs="Times New Roman"/>
          <w:bCs/>
        </w:rPr>
        <w:t>.</w:t>
      </w:r>
    </w:p>
  </w:footnote>
  <w:footnote w:id="44">
    <w:p w14:paraId="4D3B96F9" w14:textId="77777777" w:rsidR="004A6F02" w:rsidRPr="00E86F79" w:rsidRDefault="004A6F02" w:rsidP="004A6F02">
      <w:pPr>
        <w:pStyle w:val="Lbjegyzetszveg"/>
        <w:rPr>
          <w:rFonts w:cs="Times New Roman"/>
          <w:b/>
        </w:rPr>
      </w:pPr>
      <w:r w:rsidRPr="00E86F79">
        <w:rPr>
          <w:rStyle w:val="Lbjegyzet-hivatkozs"/>
          <w:rFonts w:cs="Times New Roman"/>
        </w:rPr>
        <w:footnoteRef/>
      </w:r>
      <w:r w:rsidRPr="00E86F79">
        <w:rPr>
          <w:rFonts w:cs="Times New Roman"/>
        </w:rPr>
        <w:t xml:space="preserve"> A jogalkotó 2012-ben szüntette meg ezt a jogkört. </w:t>
      </w:r>
    </w:p>
  </w:footnote>
  <w:footnote w:id="45">
    <w:p w14:paraId="021BBE7B" w14:textId="3A49D078" w:rsidR="004A6F02" w:rsidRPr="00E86F79" w:rsidRDefault="004A6F02" w:rsidP="004A6F02">
      <w:pPr>
        <w:pStyle w:val="Lbjegyzetszveg"/>
        <w:rPr>
          <w:rFonts w:cs="Times New Roman"/>
          <w:b/>
        </w:rPr>
      </w:pPr>
      <w:r w:rsidRPr="00E86F79">
        <w:rPr>
          <w:rStyle w:val="Lbjegyzet-hivatkozs"/>
          <w:rFonts w:cs="Times New Roman"/>
        </w:rPr>
        <w:footnoteRef/>
      </w:r>
      <w:r w:rsidRPr="00E86F79">
        <w:rPr>
          <w:rFonts w:cs="Times New Roman"/>
        </w:rPr>
        <w:t xml:space="preserve"> A </w:t>
      </w:r>
      <w:proofErr w:type="spellStart"/>
      <w:r w:rsidRPr="00E86F79">
        <w:rPr>
          <w:rFonts w:cs="Times New Roman"/>
        </w:rPr>
        <w:t>Met</w:t>
      </w:r>
      <w:proofErr w:type="spellEnd"/>
      <w:r w:rsidRPr="00E86F79">
        <w:rPr>
          <w:rFonts w:cs="Times New Roman"/>
        </w:rPr>
        <w:t>. 3. § (1) bekezdés h), i), j) pontja</w:t>
      </w:r>
      <w:r w:rsidR="007A4121">
        <w:rPr>
          <w:rFonts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23F4C"/>
    <w:multiLevelType w:val="hybridMultilevel"/>
    <w:tmpl w:val="F3640D12"/>
    <w:lvl w:ilvl="0" w:tplc="EDC41AEC">
      <w:start w:val="1"/>
      <w:numFmt w:val="bullet"/>
      <w:lvlText w:val="•"/>
      <w:lvlJc w:val="left"/>
      <w:pPr>
        <w:tabs>
          <w:tab w:val="num" w:pos="720"/>
        </w:tabs>
        <w:ind w:left="720" w:hanging="360"/>
      </w:pPr>
      <w:rPr>
        <w:rFonts w:ascii="Arial" w:hAnsi="Arial" w:hint="default"/>
      </w:rPr>
    </w:lvl>
    <w:lvl w:ilvl="1" w:tplc="31A6F5CE" w:tentative="1">
      <w:start w:val="1"/>
      <w:numFmt w:val="bullet"/>
      <w:lvlText w:val="•"/>
      <w:lvlJc w:val="left"/>
      <w:pPr>
        <w:tabs>
          <w:tab w:val="num" w:pos="1440"/>
        </w:tabs>
        <w:ind w:left="1440" w:hanging="360"/>
      </w:pPr>
      <w:rPr>
        <w:rFonts w:ascii="Arial" w:hAnsi="Arial" w:hint="default"/>
      </w:rPr>
    </w:lvl>
    <w:lvl w:ilvl="2" w:tplc="A1560072" w:tentative="1">
      <w:start w:val="1"/>
      <w:numFmt w:val="bullet"/>
      <w:lvlText w:val="•"/>
      <w:lvlJc w:val="left"/>
      <w:pPr>
        <w:tabs>
          <w:tab w:val="num" w:pos="2160"/>
        </w:tabs>
        <w:ind w:left="2160" w:hanging="360"/>
      </w:pPr>
      <w:rPr>
        <w:rFonts w:ascii="Arial" w:hAnsi="Arial" w:hint="default"/>
      </w:rPr>
    </w:lvl>
    <w:lvl w:ilvl="3" w:tplc="4EBABC14" w:tentative="1">
      <w:start w:val="1"/>
      <w:numFmt w:val="bullet"/>
      <w:lvlText w:val="•"/>
      <w:lvlJc w:val="left"/>
      <w:pPr>
        <w:tabs>
          <w:tab w:val="num" w:pos="2880"/>
        </w:tabs>
        <w:ind w:left="2880" w:hanging="360"/>
      </w:pPr>
      <w:rPr>
        <w:rFonts w:ascii="Arial" w:hAnsi="Arial" w:hint="default"/>
      </w:rPr>
    </w:lvl>
    <w:lvl w:ilvl="4" w:tplc="E4B475D8" w:tentative="1">
      <w:start w:val="1"/>
      <w:numFmt w:val="bullet"/>
      <w:lvlText w:val="•"/>
      <w:lvlJc w:val="left"/>
      <w:pPr>
        <w:tabs>
          <w:tab w:val="num" w:pos="3600"/>
        </w:tabs>
        <w:ind w:left="3600" w:hanging="360"/>
      </w:pPr>
      <w:rPr>
        <w:rFonts w:ascii="Arial" w:hAnsi="Arial" w:hint="default"/>
      </w:rPr>
    </w:lvl>
    <w:lvl w:ilvl="5" w:tplc="4648B14C" w:tentative="1">
      <w:start w:val="1"/>
      <w:numFmt w:val="bullet"/>
      <w:lvlText w:val="•"/>
      <w:lvlJc w:val="left"/>
      <w:pPr>
        <w:tabs>
          <w:tab w:val="num" w:pos="4320"/>
        </w:tabs>
        <w:ind w:left="4320" w:hanging="360"/>
      </w:pPr>
      <w:rPr>
        <w:rFonts w:ascii="Arial" w:hAnsi="Arial" w:hint="default"/>
      </w:rPr>
    </w:lvl>
    <w:lvl w:ilvl="6" w:tplc="2216F9BA" w:tentative="1">
      <w:start w:val="1"/>
      <w:numFmt w:val="bullet"/>
      <w:lvlText w:val="•"/>
      <w:lvlJc w:val="left"/>
      <w:pPr>
        <w:tabs>
          <w:tab w:val="num" w:pos="5040"/>
        </w:tabs>
        <w:ind w:left="5040" w:hanging="360"/>
      </w:pPr>
      <w:rPr>
        <w:rFonts w:ascii="Arial" w:hAnsi="Arial" w:hint="default"/>
      </w:rPr>
    </w:lvl>
    <w:lvl w:ilvl="7" w:tplc="F4ACF90A" w:tentative="1">
      <w:start w:val="1"/>
      <w:numFmt w:val="bullet"/>
      <w:lvlText w:val="•"/>
      <w:lvlJc w:val="left"/>
      <w:pPr>
        <w:tabs>
          <w:tab w:val="num" w:pos="5760"/>
        </w:tabs>
        <w:ind w:left="5760" w:hanging="360"/>
      </w:pPr>
      <w:rPr>
        <w:rFonts w:ascii="Arial" w:hAnsi="Arial" w:hint="default"/>
      </w:rPr>
    </w:lvl>
    <w:lvl w:ilvl="8" w:tplc="7CBA85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8D122A"/>
    <w:multiLevelType w:val="hybridMultilevel"/>
    <w:tmpl w:val="35C412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70C42E6"/>
    <w:multiLevelType w:val="hybridMultilevel"/>
    <w:tmpl w:val="A6D0FF98"/>
    <w:lvl w:ilvl="0" w:tplc="65C4745E">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904682B"/>
    <w:multiLevelType w:val="hybridMultilevel"/>
    <w:tmpl w:val="BAB44118"/>
    <w:lvl w:ilvl="0" w:tplc="F740F710">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C2E08B1"/>
    <w:multiLevelType w:val="hybridMultilevel"/>
    <w:tmpl w:val="4C9A266A"/>
    <w:lvl w:ilvl="0" w:tplc="96C0F36A">
      <w:start w:val="1"/>
      <w:numFmt w:val="decimal"/>
      <w:lvlText w:val="%1."/>
      <w:lvlJc w:val="left"/>
      <w:pPr>
        <w:ind w:left="720" w:hanging="360"/>
      </w:pPr>
      <w:rPr>
        <w:rFonts w:ascii="Garamond" w:hAnsi="Garamond"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09250BE"/>
    <w:multiLevelType w:val="hybridMultilevel"/>
    <w:tmpl w:val="AFF615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02"/>
    <w:rsid w:val="00001836"/>
    <w:rsid w:val="00003E4C"/>
    <w:rsid w:val="00010F9F"/>
    <w:rsid w:val="0002139F"/>
    <w:rsid w:val="00022620"/>
    <w:rsid w:val="0002271B"/>
    <w:rsid w:val="00030D43"/>
    <w:rsid w:val="00036B94"/>
    <w:rsid w:val="00040A3A"/>
    <w:rsid w:val="0005172D"/>
    <w:rsid w:val="00057949"/>
    <w:rsid w:val="00063E4B"/>
    <w:rsid w:val="00065523"/>
    <w:rsid w:val="00067DF3"/>
    <w:rsid w:val="00070577"/>
    <w:rsid w:val="00074268"/>
    <w:rsid w:val="00074BFF"/>
    <w:rsid w:val="00084A7C"/>
    <w:rsid w:val="00087AFD"/>
    <w:rsid w:val="00097C80"/>
    <w:rsid w:val="000A147F"/>
    <w:rsid w:val="000A39B5"/>
    <w:rsid w:val="000B04CD"/>
    <w:rsid w:val="000C4547"/>
    <w:rsid w:val="000C6C74"/>
    <w:rsid w:val="000D1A8D"/>
    <w:rsid w:val="000D5AFA"/>
    <w:rsid w:val="000D5EBA"/>
    <w:rsid w:val="000D729D"/>
    <w:rsid w:val="000E5E95"/>
    <w:rsid w:val="000E6A14"/>
    <w:rsid w:val="000F0990"/>
    <w:rsid w:val="000F2D74"/>
    <w:rsid w:val="000F6E3F"/>
    <w:rsid w:val="001014D2"/>
    <w:rsid w:val="00101928"/>
    <w:rsid w:val="0010299B"/>
    <w:rsid w:val="001119F1"/>
    <w:rsid w:val="00126765"/>
    <w:rsid w:val="001307C5"/>
    <w:rsid w:val="00133009"/>
    <w:rsid w:val="001334FC"/>
    <w:rsid w:val="00144385"/>
    <w:rsid w:val="00144D9E"/>
    <w:rsid w:val="00164CC2"/>
    <w:rsid w:val="00167ED1"/>
    <w:rsid w:val="00167F7B"/>
    <w:rsid w:val="00171E67"/>
    <w:rsid w:val="00173371"/>
    <w:rsid w:val="001763AD"/>
    <w:rsid w:val="00177EBF"/>
    <w:rsid w:val="00185528"/>
    <w:rsid w:val="001972C8"/>
    <w:rsid w:val="001A5C2E"/>
    <w:rsid w:val="001A6CEF"/>
    <w:rsid w:val="001A7B9C"/>
    <w:rsid w:val="001B030E"/>
    <w:rsid w:val="001B5194"/>
    <w:rsid w:val="001C510C"/>
    <w:rsid w:val="001C7DF9"/>
    <w:rsid w:val="001D21A9"/>
    <w:rsid w:val="001D45CB"/>
    <w:rsid w:val="001D4A4A"/>
    <w:rsid w:val="001D5D85"/>
    <w:rsid w:val="001D7BAA"/>
    <w:rsid w:val="001E08AC"/>
    <w:rsid w:val="001E5825"/>
    <w:rsid w:val="001E72D6"/>
    <w:rsid w:val="001F0CE4"/>
    <w:rsid w:val="001F1155"/>
    <w:rsid w:val="001F5877"/>
    <w:rsid w:val="001F7735"/>
    <w:rsid w:val="00200002"/>
    <w:rsid w:val="00203EB9"/>
    <w:rsid w:val="0022062A"/>
    <w:rsid w:val="002226B1"/>
    <w:rsid w:val="0022764F"/>
    <w:rsid w:val="00231176"/>
    <w:rsid w:val="002364EB"/>
    <w:rsid w:val="002378FB"/>
    <w:rsid w:val="00240272"/>
    <w:rsid w:val="002537E2"/>
    <w:rsid w:val="00254121"/>
    <w:rsid w:val="002578B5"/>
    <w:rsid w:val="00257DC6"/>
    <w:rsid w:val="00265320"/>
    <w:rsid w:val="00267356"/>
    <w:rsid w:val="0027068C"/>
    <w:rsid w:val="00270823"/>
    <w:rsid w:val="00280388"/>
    <w:rsid w:val="0028257A"/>
    <w:rsid w:val="002A4EA7"/>
    <w:rsid w:val="002A5C01"/>
    <w:rsid w:val="002B6868"/>
    <w:rsid w:val="002C0BEE"/>
    <w:rsid w:val="002C377B"/>
    <w:rsid w:val="002C389A"/>
    <w:rsid w:val="002C7405"/>
    <w:rsid w:val="002D0960"/>
    <w:rsid w:val="002D254B"/>
    <w:rsid w:val="002E2D71"/>
    <w:rsid w:val="002E7BCF"/>
    <w:rsid w:val="002F1166"/>
    <w:rsid w:val="002F40ED"/>
    <w:rsid w:val="002F4A22"/>
    <w:rsid w:val="002F6325"/>
    <w:rsid w:val="00300D29"/>
    <w:rsid w:val="00300FD4"/>
    <w:rsid w:val="00303481"/>
    <w:rsid w:val="0030740B"/>
    <w:rsid w:val="00312A72"/>
    <w:rsid w:val="00316C09"/>
    <w:rsid w:val="003175BD"/>
    <w:rsid w:val="00323A11"/>
    <w:rsid w:val="00323DA7"/>
    <w:rsid w:val="003244F0"/>
    <w:rsid w:val="00326777"/>
    <w:rsid w:val="0033238E"/>
    <w:rsid w:val="0033528D"/>
    <w:rsid w:val="00342AED"/>
    <w:rsid w:val="003502B3"/>
    <w:rsid w:val="003508F4"/>
    <w:rsid w:val="00367B5A"/>
    <w:rsid w:val="00370535"/>
    <w:rsid w:val="00381F7D"/>
    <w:rsid w:val="00384F97"/>
    <w:rsid w:val="0038590C"/>
    <w:rsid w:val="00387794"/>
    <w:rsid w:val="003965FC"/>
    <w:rsid w:val="003B07FC"/>
    <w:rsid w:val="003B712F"/>
    <w:rsid w:val="003C040E"/>
    <w:rsid w:val="003C5721"/>
    <w:rsid w:val="003C7028"/>
    <w:rsid w:val="003C7F90"/>
    <w:rsid w:val="003D2AB6"/>
    <w:rsid w:val="003D5511"/>
    <w:rsid w:val="003D684E"/>
    <w:rsid w:val="003D69D6"/>
    <w:rsid w:val="003E1F48"/>
    <w:rsid w:val="003E2621"/>
    <w:rsid w:val="003E54BB"/>
    <w:rsid w:val="003E7887"/>
    <w:rsid w:val="003F4957"/>
    <w:rsid w:val="003F6CAE"/>
    <w:rsid w:val="004033C0"/>
    <w:rsid w:val="004046E0"/>
    <w:rsid w:val="00405753"/>
    <w:rsid w:val="00405AE9"/>
    <w:rsid w:val="00412EDA"/>
    <w:rsid w:val="004173A3"/>
    <w:rsid w:val="00420A25"/>
    <w:rsid w:val="004238F3"/>
    <w:rsid w:val="00424ADE"/>
    <w:rsid w:val="0042627F"/>
    <w:rsid w:val="00426553"/>
    <w:rsid w:val="00431B5F"/>
    <w:rsid w:val="004410DF"/>
    <w:rsid w:val="00441C13"/>
    <w:rsid w:val="004508B2"/>
    <w:rsid w:val="00451F6A"/>
    <w:rsid w:val="004610B1"/>
    <w:rsid w:val="00462CB6"/>
    <w:rsid w:val="004641BC"/>
    <w:rsid w:val="00470064"/>
    <w:rsid w:val="004703DB"/>
    <w:rsid w:val="00470A89"/>
    <w:rsid w:val="00476C6E"/>
    <w:rsid w:val="00485291"/>
    <w:rsid w:val="00486036"/>
    <w:rsid w:val="00486B05"/>
    <w:rsid w:val="00492075"/>
    <w:rsid w:val="004A15C5"/>
    <w:rsid w:val="004A6994"/>
    <w:rsid w:val="004A6F02"/>
    <w:rsid w:val="004A713E"/>
    <w:rsid w:val="004B40E3"/>
    <w:rsid w:val="004B7D95"/>
    <w:rsid w:val="004C307C"/>
    <w:rsid w:val="004D047F"/>
    <w:rsid w:val="004D19D6"/>
    <w:rsid w:val="004D1A74"/>
    <w:rsid w:val="004D2EE6"/>
    <w:rsid w:val="004D33D2"/>
    <w:rsid w:val="004D4B28"/>
    <w:rsid w:val="004D6367"/>
    <w:rsid w:val="004E1D23"/>
    <w:rsid w:val="004E74C3"/>
    <w:rsid w:val="004E79F3"/>
    <w:rsid w:val="004F52B9"/>
    <w:rsid w:val="005023C6"/>
    <w:rsid w:val="00506057"/>
    <w:rsid w:val="00521923"/>
    <w:rsid w:val="00522D82"/>
    <w:rsid w:val="00530B78"/>
    <w:rsid w:val="00530DE5"/>
    <w:rsid w:val="00531951"/>
    <w:rsid w:val="00537518"/>
    <w:rsid w:val="00541F1C"/>
    <w:rsid w:val="005432BE"/>
    <w:rsid w:val="00544EAE"/>
    <w:rsid w:val="00545645"/>
    <w:rsid w:val="00546C7D"/>
    <w:rsid w:val="00547D37"/>
    <w:rsid w:val="00555736"/>
    <w:rsid w:val="00564265"/>
    <w:rsid w:val="0056600A"/>
    <w:rsid w:val="00567CE8"/>
    <w:rsid w:val="00570C1F"/>
    <w:rsid w:val="0057201B"/>
    <w:rsid w:val="005802E6"/>
    <w:rsid w:val="00581AAB"/>
    <w:rsid w:val="00584AF5"/>
    <w:rsid w:val="005934B9"/>
    <w:rsid w:val="005941EB"/>
    <w:rsid w:val="005A0B36"/>
    <w:rsid w:val="005B18F8"/>
    <w:rsid w:val="005B26D6"/>
    <w:rsid w:val="005B2EA6"/>
    <w:rsid w:val="005B5CB9"/>
    <w:rsid w:val="005C485F"/>
    <w:rsid w:val="005C5927"/>
    <w:rsid w:val="005C5A0C"/>
    <w:rsid w:val="005D2701"/>
    <w:rsid w:val="005D753E"/>
    <w:rsid w:val="005E0973"/>
    <w:rsid w:val="005E2A17"/>
    <w:rsid w:val="005F0C24"/>
    <w:rsid w:val="005F18FB"/>
    <w:rsid w:val="00603854"/>
    <w:rsid w:val="00612B56"/>
    <w:rsid w:val="00615BFB"/>
    <w:rsid w:val="00626840"/>
    <w:rsid w:val="00627904"/>
    <w:rsid w:val="00631EC4"/>
    <w:rsid w:val="00633419"/>
    <w:rsid w:val="00643C1E"/>
    <w:rsid w:val="00645468"/>
    <w:rsid w:val="00650026"/>
    <w:rsid w:val="00651AFA"/>
    <w:rsid w:val="0066490D"/>
    <w:rsid w:val="00667EA4"/>
    <w:rsid w:val="00690797"/>
    <w:rsid w:val="006969A4"/>
    <w:rsid w:val="006A1A79"/>
    <w:rsid w:val="006A37CD"/>
    <w:rsid w:val="006B1305"/>
    <w:rsid w:val="006B1CD1"/>
    <w:rsid w:val="006B33BB"/>
    <w:rsid w:val="006B5569"/>
    <w:rsid w:val="006B56D7"/>
    <w:rsid w:val="006B5B9A"/>
    <w:rsid w:val="006C4ED2"/>
    <w:rsid w:val="006D2D54"/>
    <w:rsid w:val="006E76E3"/>
    <w:rsid w:val="006F78C0"/>
    <w:rsid w:val="0070262F"/>
    <w:rsid w:val="0070445F"/>
    <w:rsid w:val="0071330A"/>
    <w:rsid w:val="00714A68"/>
    <w:rsid w:val="007152E0"/>
    <w:rsid w:val="00715500"/>
    <w:rsid w:val="00720704"/>
    <w:rsid w:val="00724754"/>
    <w:rsid w:val="00727AE5"/>
    <w:rsid w:val="00733F5D"/>
    <w:rsid w:val="00744295"/>
    <w:rsid w:val="0075522D"/>
    <w:rsid w:val="00766C44"/>
    <w:rsid w:val="0077491D"/>
    <w:rsid w:val="00780229"/>
    <w:rsid w:val="00782F39"/>
    <w:rsid w:val="00785EDF"/>
    <w:rsid w:val="007928CD"/>
    <w:rsid w:val="007A2B82"/>
    <w:rsid w:val="007A4121"/>
    <w:rsid w:val="007B18E0"/>
    <w:rsid w:val="007C2532"/>
    <w:rsid w:val="007D6A27"/>
    <w:rsid w:val="007E5973"/>
    <w:rsid w:val="007F27FF"/>
    <w:rsid w:val="007F58B9"/>
    <w:rsid w:val="007F5B04"/>
    <w:rsid w:val="007F695E"/>
    <w:rsid w:val="008022EA"/>
    <w:rsid w:val="00805268"/>
    <w:rsid w:val="008054D6"/>
    <w:rsid w:val="00806607"/>
    <w:rsid w:val="00807B58"/>
    <w:rsid w:val="008144A0"/>
    <w:rsid w:val="00815D97"/>
    <w:rsid w:val="00816978"/>
    <w:rsid w:val="0082101E"/>
    <w:rsid w:val="008211E4"/>
    <w:rsid w:val="00821B3F"/>
    <w:rsid w:val="008266B8"/>
    <w:rsid w:val="00827BA3"/>
    <w:rsid w:val="0083129B"/>
    <w:rsid w:val="008329C1"/>
    <w:rsid w:val="00837100"/>
    <w:rsid w:val="008409B1"/>
    <w:rsid w:val="00844BD0"/>
    <w:rsid w:val="0085650B"/>
    <w:rsid w:val="00856619"/>
    <w:rsid w:val="008573BE"/>
    <w:rsid w:val="00857683"/>
    <w:rsid w:val="008614CF"/>
    <w:rsid w:val="0086235D"/>
    <w:rsid w:val="00863429"/>
    <w:rsid w:val="00866B74"/>
    <w:rsid w:val="00872EF5"/>
    <w:rsid w:val="0088484D"/>
    <w:rsid w:val="008854C5"/>
    <w:rsid w:val="00897E87"/>
    <w:rsid w:val="008B1651"/>
    <w:rsid w:val="008B3CEB"/>
    <w:rsid w:val="008C04A9"/>
    <w:rsid w:val="008C08FC"/>
    <w:rsid w:val="008D0506"/>
    <w:rsid w:val="008D4F8F"/>
    <w:rsid w:val="008E586F"/>
    <w:rsid w:val="008E7A69"/>
    <w:rsid w:val="008F1108"/>
    <w:rsid w:val="008F11EF"/>
    <w:rsid w:val="0090104D"/>
    <w:rsid w:val="00902155"/>
    <w:rsid w:val="009034D9"/>
    <w:rsid w:val="00903FD3"/>
    <w:rsid w:val="00904760"/>
    <w:rsid w:val="00904A65"/>
    <w:rsid w:val="0091221D"/>
    <w:rsid w:val="00915C91"/>
    <w:rsid w:val="00916033"/>
    <w:rsid w:val="00922172"/>
    <w:rsid w:val="00926CB0"/>
    <w:rsid w:val="009270E9"/>
    <w:rsid w:val="00930886"/>
    <w:rsid w:val="00931A44"/>
    <w:rsid w:val="0093780F"/>
    <w:rsid w:val="0094089E"/>
    <w:rsid w:val="00943345"/>
    <w:rsid w:val="00946638"/>
    <w:rsid w:val="0095622D"/>
    <w:rsid w:val="00960756"/>
    <w:rsid w:val="00966989"/>
    <w:rsid w:val="0096755C"/>
    <w:rsid w:val="00970D7D"/>
    <w:rsid w:val="009752DE"/>
    <w:rsid w:val="00975DA2"/>
    <w:rsid w:val="00983ED9"/>
    <w:rsid w:val="009858C5"/>
    <w:rsid w:val="009864AA"/>
    <w:rsid w:val="009874DF"/>
    <w:rsid w:val="00987980"/>
    <w:rsid w:val="009879D0"/>
    <w:rsid w:val="00990CF9"/>
    <w:rsid w:val="00993717"/>
    <w:rsid w:val="00993D72"/>
    <w:rsid w:val="009A2D40"/>
    <w:rsid w:val="009A2D82"/>
    <w:rsid w:val="009A7BC5"/>
    <w:rsid w:val="009B012F"/>
    <w:rsid w:val="009B0B11"/>
    <w:rsid w:val="009C3CC6"/>
    <w:rsid w:val="009C640F"/>
    <w:rsid w:val="009D012B"/>
    <w:rsid w:val="009D1689"/>
    <w:rsid w:val="009D2F7C"/>
    <w:rsid w:val="009D606E"/>
    <w:rsid w:val="009E6D31"/>
    <w:rsid w:val="00A026A7"/>
    <w:rsid w:val="00A02A81"/>
    <w:rsid w:val="00A11AAA"/>
    <w:rsid w:val="00A15FE8"/>
    <w:rsid w:val="00A2171B"/>
    <w:rsid w:val="00A3711F"/>
    <w:rsid w:val="00A40241"/>
    <w:rsid w:val="00A40257"/>
    <w:rsid w:val="00A53BB7"/>
    <w:rsid w:val="00A54599"/>
    <w:rsid w:val="00A55ABD"/>
    <w:rsid w:val="00A57CDE"/>
    <w:rsid w:val="00A61FE5"/>
    <w:rsid w:val="00A70897"/>
    <w:rsid w:val="00A72966"/>
    <w:rsid w:val="00A757FA"/>
    <w:rsid w:val="00A75C65"/>
    <w:rsid w:val="00A809B9"/>
    <w:rsid w:val="00A84F40"/>
    <w:rsid w:val="00A95E1B"/>
    <w:rsid w:val="00AA3298"/>
    <w:rsid w:val="00AA3B40"/>
    <w:rsid w:val="00AA6BE8"/>
    <w:rsid w:val="00AA799F"/>
    <w:rsid w:val="00AB61B7"/>
    <w:rsid w:val="00AB7345"/>
    <w:rsid w:val="00AC326A"/>
    <w:rsid w:val="00AC4DD3"/>
    <w:rsid w:val="00AC6B1F"/>
    <w:rsid w:val="00AD4610"/>
    <w:rsid w:val="00AF0093"/>
    <w:rsid w:val="00AF0F10"/>
    <w:rsid w:val="00AF102E"/>
    <w:rsid w:val="00AF32C2"/>
    <w:rsid w:val="00B007C9"/>
    <w:rsid w:val="00B21921"/>
    <w:rsid w:val="00B333D8"/>
    <w:rsid w:val="00B33658"/>
    <w:rsid w:val="00B33D61"/>
    <w:rsid w:val="00B3594B"/>
    <w:rsid w:val="00B37337"/>
    <w:rsid w:val="00B4005C"/>
    <w:rsid w:val="00B46B59"/>
    <w:rsid w:val="00B50BC4"/>
    <w:rsid w:val="00B536CF"/>
    <w:rsid w:val="00B54DC5"/>
    <w:rsid w:val="00B57E72"/>
    <w:rsid w:val="00B61A54"/>
    <w:rsid w:val="00B661F3"/>
    <w:rsid w:val="00B94718"/>
    <w:rsid w:val="00B950F1"/>
    <w:rsid w:val="00B9587D"/>
    <w:rsid w:val="00BA0D5C"/>
    <w:rsid w:val="00BB0943"/>
    <w:rsid w:val="00BB3CF2"/>
    <w:rsid w:val="00BC10A8"/>
    <w:rsid w:val="00BC27B0"/>
    <w:rsid w:val="00BC3A23"/>
    <w:rsid w:val="00BC6808"/>
    <w:rsid w:val="00BC69D1"/>
    <w:rsid w:val="00BC7088"/>
    <w:rsid w:val="00BD5D59"/>
    <w:rsid w:val="00BD67C0"/>
    <w:rsid w:val="00BE18FE"/>
    <w:rsid w:val="00BE1A48"/>
    <w:rsid w:val="00BE5A11"/>
    <w:rsid w:val="00BE7257"/>
    <w:rsid w:val="00BE7B9D"/>
    <w:rsid w:val="00BF279B"/>
    <w:rsid w:val="00BF660F"/>
    <w:rsid w:val="00C039FA"/>
    <w:rsid w:val="00C07490"/>
    <w:rsid w:val="00C130B2"/>
    <w:rsid w:val="00C1580A"/>
    <w:rsid w:val="00C176C3"/>
    <w:rsid w:val="00C17792"/>
    <w:rsid w:val="00C210CA"/>
    <w:rsid w:val="00C22377"/>
    <w:rsid w:val="00C2281E"/>
    <w:rsid w:val="00C25D3E"/>
    <w:rsid w:val="00C31269"/>
    <w:rsid w:val="00C35FCA"/>
    <w:rsid w:val="00C416F2"/>
    <w:rsid w:val="00C43BB2"/>
    <w:rsid w:val="00C44AE4"/>
    <w:rsid w:val="00C50D2A"/>
    <w:rsid w:val="00C53F2B"/>
    <w:rsid w:val="00C56A8E"/>
    <w:rsid w:val="00C57A30"/>
    <w:rsid w:val="00C61CD2"/>
    <w:rsid w:val="00C63AD3"/>
    <w:rsid w:val="00C70D06"/>
    <w:rsid w:val="00C75CC1"/>
    <w:rsid w:val="00C75EE2"/>
    <w:rsid w:val="00C77092"/>
    <w:rsid w:val="00C8134B"/>
    <w:rsid w:val="00C82670"/>
    <w:rsid w:val="00C91A32"/>
    <w:rsid w:val="00C960EE"/>
    <w:rsid w:val="00CA0E46"/>
    <w:rsid w:val="00CA2798"/>
    <w:rsid w:val="00CA667B"/>
    <w:rsid w:val="00CB1507"/>
    <w:rsid w:val="00CB15CE"/>
    <w:rsid w:val="00CB2068"/>
    <w:rsid w:val="00CB3709"/>
    <w:rsid w:val="00CD14A9"/>
    <w:rsid w:val="00CD2A0B"/>
    <w:rsid w:val="00CD3B13"/>
    <w:rsid w:val="00CE58B6"/>
    <w:rsid w:val="00CF00D8"/>
    <w:rsid w:val="00CF4DE3"/>
    <w:rsid w:val="00CF70E3"/>
    <w:rsid w:val="00CF72BA"/>
    <w:rsid w:val="00D021FB"/>
    <w:rsid w:val="00D035DD"/>
    <w:rsid w:val="00D04F19"/>
    <w:rsid w:val="00D121FC"/>
    <w:rsid w:val="00D30B3F"/>
    <w:rsid w:val="00D33CE4"/>
    <w:rsid w:val="00D42ADD"/>
    <w:rsid w:val="00D4671E"/>
    <w:rsid w:val="00D52F1A"/>
    <w:rsid w:val="00D57DFE"/>
    <w:rsid w:val="00D6310A"/>
    <w:rsid w:val="00D65B7D"/>
    <w:rsid w:val="00D666D8"/>
    <w:rsid w:val="00D75F00"/>
    <w:rsid w:val="00D8449F"/>
    <w:rsid w:val="00D86757"/>
    <w:rsid w:val="00D878C3"/>
    <w:rsid w:val="00D90D9C"/>
    <w:rsid w:val="00D95E4A"/>
    <w:rsid w:val="00DA1441"/>
    <w:rsid w:val="00DA3D92"/>
    <w:rsid w:val="00DA52AD"/>
    <w:rsid w:val="00DB479F"/>
    <w:rsid w:val="00DC2C1F"/>
    <w:rsid w:val="00DC5DAC"/>
    <w:rsid w:val="00DC7115"/>
    <w:rsid w:val="00DD6751"/>
    <w:rsid w:val="00DD6ECF"/>
    <w:rsid w:val="00DE23BA"/>
    <w:rsid w:val="00DE7926"/>
    <w:rsid w:val="00DF0198"/>
    <w:rsid w:val="00DF1BE9"/>
    <w:rsid w:val="00DF3CB9"/>
    <w:rsid w:val="00E009D1"/>
    <w:rsid w:val="00E01E17"/>
    <w:rsid w:val="00E03061"/>
    <w:rsid w:val="00E05D7D"/>
    <w:rsid w:val="00E061C6"/>
    <w:rsid w:val="00E06C8A"/>
    <w:rsid w:val="00E121C7"/>
    <w:rsid w:val="00E12C80"/>
    <w:rsid w:val="00E34182"/>
    <w:rsid w:val="00E47138"/>
    <w:rsid w:val="00E556B8"/>
    <w:rsid w:val="00E6205D"/>
    <w:rsid w:val="00E65DC2"/>
    <w:rsid w:val="00E719C0"/>
    <w:rsid w:val="00E73B67"/>
    <w:rsid w:val="00E75349"/>
    <w:rsid w:val="00E81BB0"/>
    <w:rsid w:val="00E83DCA"/>
    <w:rsid w:val="00E862FA"/>
    <w:rsid w:val="00E8678E"/>
    <w:rsid w:val="00E86F79"/>
    <w:rsid w:val="00E8748B"/>
    <w:rsid w:val="00E949DD"/>
    <w:rsid w:val="00E95C07"/>
    <w:rsid w:val="00E9621E"/>
    <w:rsid w:val="00EA151D"/>
    <w:rsid w:val="00EA4216"/>
    <w:rsid w:val="00EA76E1"/>
    <w:rsid w:val="00EB0B04"/>
    <w:rsid w:val="00EB2C6E"/>
    <w:rsid w:val="00EB709C"/>
    <w:rsid w:val="00EC1A75"/>
    <w:rsid w:val="00ED020C"/>
    <w:rsid w:val="00ED103E"/>
    <w:rsid w:val="00ED10A6"/>
    <w:rsid w:val="00ED5F44"/>
    <w:rsid w:val="00EE1CD7"/>
    <w:rsid w:val="00EE4CFD"/>
    <w:rsid w:val="00EF06A2"/>
    <w:rsid w:val="00EF3AE3"/>
    <w:rsid w:val="00EF4C99"/>
    <w:rsid w:val="00EF6145"/>
    <w:rsid w:val="00EF77EB"/>
    <w:rsid w:val="00F00F62"/>
    <w:rsid w:val="00F17E07"/>
    <w:rsid w:val="00F26982"/>
    <w:rsid w:val="00F26D87"/>
    <w:rsid w:val="00F26E22"/>
    <w:rsid w:val="00F3096F"/>
    <w:rsid w:val="00F32A95"/>
    <w:rsid w:val="00F32EA6"/>
    <w:rsid w:val="00F35D6F"/>
    <w:rsid w:val="00F50C6A"/>
    <w:rsid w:val="00F5207C"/>
    <w:rsid w:val="00F5454E"/>
    <w:rsid w:val="00F561AA"/>
    <w:rsid w:val="00F57EF4"/>
    <w:rsid w:val="00F629AD"/>
    <w:rsid w:val="00F658C6"/>
    <w:rsid w:val="00F67885"/>
    <w:rsid w:val="00F71FDA"/>
    <w:rsid w:val="00F733DC"/>
    <w:rsid w:val="00F76A9A"/>
    <w:rsid w:val="00F80BF6"/>
    <w:rsid w:val="00F80F0F"/>
    <w:rsid w:val="00F83B8E"/>
    <w:rsid w:val="00F84EEA"/>
    <w:rsid w:val="00F90824"/>
    <w:rsid w:val="00FA00E4"/>
    <w:rsid w:val="00FA170E"/>
    <w:rsid w:val="00FA254A"/>
    <w:rsid w:val="00FA2B46"/>
    <w:rsid w:val="00FB4B56"/>
    <w:rsid w:val="00FB6D7F"/>
    <w:rsid w:val="00FE281E"/>
    <w:rsid w:val="00FE70D5"/>
    <w:rsid w:val="00FF12D4"/>
    <w:rsid w:val="00FF2669"/>
    <w:rsid w:val="00FF72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DDD6"/>
  <w15:chartTrackingRefBased/>
  <w15:docId w15:val="{521579D7-5738-46EF-8145-3A8D393F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3096F"/>
    <w:pPr>
      <w:spacing w:after="0" w:line="240" w:lineRule="auto"/>
    </w:pPr>
    <w:rPr>
      <w:kern w:val="0"/>
      <w:sz w:val="24"/>
      <w:szCs w:val="24"/>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Char Char1,Char Char,Footnote Text2,Footnote Text11,ALTS FOOTNOTE11,Footnote Text Char111,Footnote Text Char Char Char11,Footnote Text Char1 Char Char Char Char11,Footnote Text Char1 Char Char Char11,ALTS FOOTNOTE2, Char Char1,fn,Char"/>
    <w:basedOn w:val="Norml"/>
    <w:link w:val="LbjegyzetszvegChar"/>
    <w:uiPriority w:val="99"/>
    <w:unhideWhenUsed/>
    <w:qFormat/>
    <w:rsid w:val="004A6F02"/>
    <w:pPr>
      <w:jc w:val="both"/>
    </w:pPr>
    <w:rPr>
      <w:rFonts w:ascii="Times New Roman" w:hAnsi="Times New Roman"/>
      <w:sz w:val="20"/>
      <w:szCs w:val="20"/>
    </w:rPr>
  </w:style>
  <w:style w:type="character" w:customStyle="1" w:styleId="LbjegyzetszvegChar">
    <w:name w:val="Lábjegyzetszöveg Char"/>
    <w:aliases w:val="Char Char1 Char,Char Char Char,Footnote Text2 Char,Footnote Text11 Char,ALTS FOOTNOTE11 Char,Footnote Text Char111 Char,Footnote Text Char Char Char11 Char,Footnote Text Char1 Char Char Char Char11 Char,ALTS FOOTNOTE2 Char,fn Char"/>
    <w:basedOn w:val="Bekezdsalapbettpusa"/>
    <w:link w:val="Lbjegyzetszveg"/>
    <w:uiPriority w:val="99"/>
    <w:qFormat/>
    <w:rsid w:val="004A6F02"/>
    <w:rPr>
      <w:rFonts w:ascii="Times New Roman" w:hAnsi="Times New Roman"/>
      <w:kern w:val="0"/>
      <w:sz w:val="20"/>
      <w:szCs w:val="20"/>
      <w14:ligatures w14:val="none"/>
    </w:rPr>
  </w:style>
  <w:style w:type="character" w:styleId="Lbjegyzet-hivatkozs">
    <w:name w:val="footnote reference"/>
    <w:aliases w:val="Footnote symbol,Footnote Reference Number,Footnote Reference_LVL6,Footnote Reference_LVL61,Footnote Reference_LVL62,Footnote Reference_LVL63,Footnote Reference_LVL64,Footnote reference number,Fußnotenzeichen3,Footnote Reference Num"/>
    <w:basedOn w:val="Bekezdsalapbettpusa"/>
    <w:link w:val="SUPERSCar"/>
    <w:uiPriority w:val="99"/>
    <w:unhideWhenUsed/>
    <w:qFormat/>
    <w:rsid w:val="004A6F02"/>
    <w:rPr>
      <w:vertAlign w:val="superscript"/>
    </w:rPr>
  </w:style>
  <w:style w:type="paragraph" w:customStyle="1" w:styleId="SUPERSCar">
    <w:name w:val="SUPERS Car"/>
    <w:aliases w:val="Footnote number Car,de nota al pie Car,Ref Car,Footnote symbol Car,Char Car,Voetnootmarkering Car,Char1 Car,Nota Car,fr Car,o Car,(NECG) Footnote Reference Car, Char Car, Char1 Car"/>
    <w:basedOn w:val="Norml"/>
    <w:link w:val="Lbjegyzet-hivatkozs"/>
    <w:uiPriority w:val="99"/>
    <w:rsid w:val="004A6F02"/>
    <w:pPr>
      <w:spacing w:after="160" w:line="240" w:lineRule="exact"/>
      <w:jc w:val="both"/>
    </w:pPr>
    <w:rPr>
      <w:kern w:val="2"/>
      <w:sz w:val="22"/>
      <w:szCs w:val="22"/>
      <w:vertAlign w:val="superscript"/>
      <w14:ligatures w14:val="standardContextual"/>
    </w:rPr>
  </w:style>
  <w:style w:type="paragraph" w:styleId="Listaszerbekezds">
    <w:name w:val="List Paragraph"/>
    <w:basedOn w:val="Norml"/>
    <w:uiPriority w:val="34"/>
    <w:qFormat/>
    <w:rsid w:val="004A6F02"/>
    <w:pPr>
      <w:ind w:left="720"/>
      <w:contextualSpacing/>
    </w:pPr>
  </w:style>
  <w:style w:type="paragraph" w:styleId="NormlWeb">
    <w:name w:val="Normal (Web)"/>
    <w:basedOn w:val="Norml"/>
    <w:uiPriority w:val="99"/>
    <w:unhideWhenUsed/>
    <w:rsid w:val="004A6F02"/>
    <w:pPr>
      <w:spacing w:before="100" w:beforeAutospacing="1" w:after="100" w:afterAutospacing="1"/>
    </w:pPr>
    <w:rPr>
      <w:rFonts w:ascii="Times New Roman" w:eastAsia="Times New Roman" w:hAnsi="Times New Roman" w:cs="Times New Roman"/>
      <w:lang w:eastAsia="hu-HU"/>
    </w:rPr>
  </w:style>
  <w:style w:type="paragraph" w:styleId="Vltozat">
    <w:name w:val="Revision"/>
    <w:hidden/>
    <w:uiPriority w:val="99"/>
    <w:semiHidden/>
    <w:rsid w:val="006B5569"/>
    <w:pPr>
      <w:spacing w:after="0" w:line="240" w:lineRule="auto"/>
    </w:pPr>
    <w:rPr>
      <w:kern w:val="0"/>
      <w:sz w:val="24"/>
      <w:szCs w:val="24"/>
      <w14:ligatures w14:val="none"/>
    </w:rPr>
  </w:style>
  <w:style w:type="character" w:styleId="Jegyzethivatkozs">
    <w:name w:val="annotation reference"/>
    <w:basedOn w:val="Bekezdsalapbettpusa"/>
    <w:uiPriority w:val="99"/>
    <w:semiHidden/>
    <w:unhideWhenUsed/>
    <w:rsid w:val="008614CF"/>
    <w:rPr>
      <w:sz w:val="16"/>
      <w:szCs w:val="16"/>
    </w:rPr>
  </w:style>
  <w:style w:type="paragraph" w:styleId="Jegyzetszveg">
    <w:name w:val="annotation text"/>
    <w:basedOn w:val="Norml"/>
    <w:link w:val="JegyzetszvegChar"/>
    <w:uiPriority w:val="99"/>
    <w:unhideWhenUsed/>
    <w:rsid w:val="008614CF"/>
    <w:pPr>
      <w:spacing w:after="160"/>
    </w:pPr>
    <w:rPr>
      <w:kern w:val="2"/>
      <w:sz w:val="20"/>
      <w:szCs w:val="20"/>
      <w14:ligatures w14:val="standardContextual"/>
    </w:rPr>
  </w:style>
  <w:style w:type="character" w:customStyle="1" w:styleId="JegyzetszvegChar">
    <w:name w:val="Jegyzetszöveg Char"/>
    <w:basedOn w:val="Bekezdsalapbettpusa"/>
    <w:link w:val="Jegyzetszveg"/>
    <w:uiPriority w:val="99"/>
    <w:rsid w:val="008614CF"/>
    <w:rPr>
      <w:sz w:val="20"/>
      <w:szCs w:val="20"/>
    </w:rPr>
  </w:style>
  <w:style w:type="character" w:styleId="Hiperhivatkozs">
    <w:name w:val="Hyperlink"/>
    <w:basedOn w:val="Bekezdsalapbettpusa"/>
    <w:uiPriority w:val="99"/>
    <w:unhideWhenUsed/>
    <w:rsid w:val="00010F9F"/>
    <w:rPr>
      <w:color w:val="0000FF"/>
      <w:u w:val="single"/>
    </w:rPr>
  </w:style>
  <w:style w:type="character" w:styleId="Kiemels">
    <w:name w:val="Emphasis"/>
    <w:basedOn w:val="Bekezdsalapbettpusa"/>
    <w:uiPriority w:val="20"/>
    <w:qFormat/>
    <w:rsid w:val="00D57DFE"/>
    <w:rPr>
      <w:i/>
      <w:iCs/>
    </w:rPr>
  </w:style>
  <w:style w:type="paragraph" w:styleId="Megjegyzstrgya">
    <w:name w:val="annotation subject"/>
    <w:basedOn w:val="Jegyzetszveg"/>
    <w:next w:val="Jegyzetszveg"/>
    <w:link w:val="MegjegyzstrgyaChar"/>
    <w:uiPriority w:val="99"/>
    <w:semiHidden/>
    <w:unhideWhenUsed/>
    <w:rsid w:val="00E03061"/>
    <w:pPr>
      <w:spacing w:after="0"/>
    </w:pPr>
    <w:rPr>
      <w:b/>
      <w:bCs/>
      <w:kern w:val="0"/>
      <w14:ligatures w14:val="none"/>
    </w:rPr>
  </w:style>
  <w:style w:type="character" w:customStyle="1" w:styleId="MegjegyzstrgyaChar">
    <w:name w:val="Megjegyzés tárgya Char"/>
    <w:basedOn w:val="JegyzetszvegChar"/>
    <w:link w:val="Megjegyzstrgya"/>
    <w:uiPriority w:val="99"/>
    <w:semiHidden/>
    <w:rsid w:val="00E03061"/>
    <w:rPr>
      <w:b/>
      <w:bCs/>
      <w:kern w:val="0"/>
      <w:sz w:val="20"/>
      <w:szCs w:val="20"/>
      <w14:ligatures w14:val="none"/>
    </w:rPr>
  </w:style>
  <w:style w:type="paragraph" w:styleId="Buborkszveg">
    <w:name w:val="Balloon Text"/>
    <w:basedOn w:val="Norml"/>
    <w:link w:val="BuborkszvegChar"/>
    <w:uiPriority w:val="99"/>
    <w:semiHidden/>
    <w:unhideWhenUsed/>
    <w:rsid w:val="00D035D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035DD"/>
    <w:rPr>
      <w:rFonts w:ascii="Segoe UI" w:hAnsi="Segoe UI" w:cs="Segoe UI"/>
      <w:kern w:val="0"/>
      <w:sz w:val="18"/>
      <w:szCs w:val="18"/>
      <w14:ligatures w14:val="none"/>
    </w:rPr>
  </w:style>
  <w:style w:type="character" w:customStyle="1" w:styleId="UnresolvedMention">
    <w:name w:val="Unresolved Mention"/>
    <w:basedOn w:val="Bekezdsalapbettpusa"/>
    <w:uiPriority w:val="99"/>
    <w:semiHidden/>
    <w:unhideWhenUsed/>
    <w:rsid w:val="008D0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0808">
      <w:bodyDiv w:val="1"/>
      <w:marLeft w:val="0"/>
      <w:marRight w:val="0"/>
      <w:marTop w:val="0"/>
      <w:marBottom w:val="0"/>
      <w:divBdr>
        <w:top w:val="none" w:sz="0" w:space="0" w:color="auto"/>
        <w:left w:val="none" w:sz="0" w:space="0" w:color="auto"/>
        <w:bottom w:val="none" w:sz="0" w:space="0" w:color="auto"/>
        <w:right w:val="none" w:sz="0" w:space="0" w:color="auto"/>
      </w:divBdr>
    </w:div>
    <w:div w:id="140385734">
      <w:bodyDiv w:val="1"/>
      <w:marLeft w:val="0"/>
      <w:marRight w:val="0"/>
      <w:marTop w:val="0"/>
      <w:marBottom w:val="0"/>
      <w:divBdr>
        <w:top w:val="none" w:sz="0" w:space="0" w:color="auto"/>
        <w:left w:val="none" w:sz="0" w:space="0" w:color="auto"/>
        <w:bottom w:val="none" w:sz="0" w:space="0" w:color="auto"/>
        <w:right w:val="none" w:sz="0" w:space="0" w:color="auto"/>
      </w:divBdr>
    </w:div>
    <w:div w:id="259997082">
      <w:bodyDiv w:val="1"/>
      <w:marLeft w:val="0"/>
      <w:marRight w:val="0"/>
      <w:marTop w:val="0"/>
      <w:marBottom w:val="0"/>
      <w:divBdr>
        <w:top w:val="none" w:sz="0" w:space="0" w:color="auto"/>
        <w:left w:val="none" w:sz="0" w:space="0" w:color="auto"/>
        <w:bottom w:val="none" w:sz="0" w:space="0" w:color="auto"/>
        <w:right w:val="none" w:sz="0" w:space="0" w:color="auto"/>
      </w:divBdr>
      <w:divsChild>
        <w:div w:id="794180785">
          <w:marLeft w:val="0"/>
          <w:marRight w:val="0"/>
          <w:marTop w:val="0"/>
          <w:marBottom w:val="0"/>
          <w:divBdr>
            <w:top w:val="none" w:sz="0" w:space="0" w:color="auto"/>
            <w:left w:val="none" w:sz="0" w:space="0" w:color="auto"/>
            <w:bottom w:val="none" w:sz="0" w:space="0" w:color="auto"/>
            <w:right w:val="none" w:sz="0" w:space="0" w:color="auto"/>
          </w:divBdr>
        </w:div>
      </w:divsChild>
    </w:div>
    <w:div w:id="265236077">
      <w:bodyDiv w:val="1"/>
      <w:marLeft w:val="0"/>
      <w:marRight w:val="0"/>
      <w:marTop w:val="0"/>
      <w:marBottom w:val="0"/>
      <w:divBdr>
        <w:top w:val="none" w:sz="0" w:space="0" w:color="auto"/>
        <w:left w:val="none" w:sz="0" w:space="0" w:color="auto"/>
        <w:bottom w:val="none" w:sz="0" w:space="0" w:color="auto"/>
        <w:right w:val="none" w:sz="0" w:space="0" w:color="auto"/>
      </w:divBdr>
      <w:divsChild>
        <w:div w:id="1339427255">
          <w:marLeft w:val="0"/>
          <w:marRight w:val="0"/>
          <w:marTop w:val="0"/>
          <w:marBottom w:val="0"/>
          <w:divBdr>
            <w:top w:val="none" w:sz="0" w:space="0" w:color="auto"/>
            <w:left w:val="none" w:sz="0" w:space="0" w:color="auto"/>
            <w:bottom w:val="none" w:sz="0" w:space="0" w:color="auto"/>
            <w:right w:val="none" w:sz="0" w:space="0" w:color="auto"/>
          </w:divBdr>
        </w:div>
      </w:divsChild>
    </w:div>
    <w:div w:id="546986468">
      <w:bodyDiv w:val="1"/>
      <w:marLeft w:val="0"/>
      <w:marRight w:val="0"/>
      <w:marTop w:val="0"/>
      <w:marBottom w:val="0"/>
      <w:divBdr>
        <w:top w:val="none" w:sz="0" w:space="0" w:color="auto"/>
        <w:left w:val="none" w:sz="0" w:space="0" w:color="auto"/>
        <w:bottom w:val="none" w:sz="0" w:space="0" w:color="auto"/>
        <w:right w:val="none" w:sz="0" w:space="0" w:color="auto"/>
      </w:divBdr>
    </w:div>
    <w:div w:id="550773236">
      <w:bodyDiv w:val="1"/>
      <w:marLeft w:val="0"/>
      <w:marRight w:val="0"/>
      <w:marTop w:val="0"/>
      <w:marBottom w:val="0"/>
      <w:divBdr>
        <w:top w:val="none" w:sz="0" w:space="0" w:color="auto"/>
        <w:left w:val="none" w:sz="0" w:space="0" w:color="auto"/>
        <w:bottom w:val="none" w:sz="0" w:space="0" w:color="auto"/>
        <w:right w:val="none" w:sz="0" w:space="0" w:color="auto"/>
      </w:divBdr>
    </w:div>
    <w:div w:id="555241830">
      <w:bodyDiv w:val="1"/>
      <w:marLeft w:val="0"/>
      <w:marRight w:val="0"/>
      <w:marTop w:val="0"/>
      <w:marBottom w:val="0"/>
      <w:divBdr>
        <w:top w:val="none" w:sz="0" w:space="0" w:color="auto"/>
        <w:left w:val="none" w:sz="0" w:space="0" w:color="auto"/>
        <w:bottom w:val="none" w:sz="0" w:space="0" w:color="auto"/>
        <w:right w:val="none" w:sz="0" w:space="0" w:color="auto"/>
      </w:divBdr>
    </w:div>
    <w:div w:id="632566886">
      <w:bodyDiv w:val="1"/>
      <w:marLeft w:val="0"/>
      <w:marRight w:val="0"/>
      <w:marTop w:val="0"/>
      <w:marBottom w:val="0"/>
      <w:divBdr>
        <w:top w:val="none" w:sz="0" w:space="0" w:color="auto"/>
        <w:left w:val="none" w:sz="0" w:space="0" w:color="auto"/>
        <w:bottom w:val="none" w:sz="0" w:space="0" w:color="auto"/>
        <w:right w:val="none" w:sz="0" w:space="0" w:color="auto"/>
      </w:divBdr>
    </w:div>
    <w:div w:id="802583567">
      <w:bodyDiv w:val="1"/>
      <w:marLeft w:val="0"/>
      <w:marRight w:val="0"/>
      <w:marTop w:val="0"/>
      <w:marBottom w:val="0"/>
      <w:divBdr>
        <w:top w:val="none" w:sz="0" w:space="0" w:color="auto"/>
        <w:left w:val="none" w:sz="0" w:space="0" w:color="auto"/>
        <w:bottom w:val="none" w:sz="0" w:space="0" w:color="auto"/>
        <w:right w:val="none" w:sz="0" w:space="0" w:color="auto"/>
      </w:divBdr>
    </w:div>
    <w:div w:id="826243917">
      <w:bodyDiv w:val="1"/>
      <w:marLeft w:val="0"/>
      <w:marRight w:val="0"/>
      <w:marTop w:val="0"/>
      <w:marBottom w:val="0"/>
      <w:divBdr>
        <w:top w:val="none" w:sz="0" w:space="0" w:color="auto"/>
        <w:left w:val="none" w:sz="0" w:space="0" w:color="auto"/>
        <w:bottom w:val="none" w:sz="0" w:space="0" w:color="auto"/>
        <w:right w:val="none" w:sz="0" w:space="0" w:color="auto"/>
      </w:divBdr>
    </w:div>
    <w:div w:id="904030150">
      <w:bodyDiv w:val="1"/>
      <w:marLeft w:val="0"/>
      <w:marRight w:val="0"/>
      <w:marTop w:val="0"/>
      <w:marBottom w:val="0"/>
      <w:divBdr>
        <w:top w:val="none" w:sz="0" w:space="0" w:color="auto"/>
        <w:left w:val="none" w:sz="0" w:space="0" w:color="auto"/>
        <w:bottom w:val="none" w:sz="0" w:space="0" w:color="auto"/>
        <w:right w:val="none" w:sz="0" w:space="0" w:color="auto"/>
      </w:divBdr>
    </w:div>
    <w:div w:id="1188178380">
      <w:bodyDiv w:val="1"/>
      <w:marLeft w:val="0"/>
      <w:marRight w:val="0"/>
      <w:marTop w:val="0"/>
      <w:marBottom w:val="0"/>
      <w:divBdr>
        <w:top w:val="none" w:sz="0" w:space="0" w:color="auto"/>
        <w:left w:val="none" w:sz="0" w:space="0" w:color="auto"/>
        <w:bottom w:val="none" w:sz="0" w:space="0" w:color="auto"/>
        <w:right w:val="none" w:sz="0" w:space="0" w:color="auto"/>
      </w:divBdr>
    </w:div>
    <w:div w:id="1232815749">
      <w:bodyDiv w:val="1"/>
      <w:marLeft w:val="0"/>
      <w:marRight w:val="0"/>
      <w:marTop w:val="0"/>
      <w:marBottom w:val="0"/>
      <w:divBdr>
        <w:top w:val="none" w:sz="0" w:space="0" w:color="auto"/>
        <w:left w:val="none" w:sz="0" w:space="0" w:color="auto"/>
        <w:bottom w:val="none" w:sz="0" w:space="0" w:color="auto"/>
        <w:right w:val="none" w:sz="0" w:space="0" w:color="auto"/>
      </w:divBdr>
      <w:divsChild>
        <w:div w:id="1958098716">
          <w:marLeft w:val="0"/>
          <w:marRight w:val="0"/>
          <w:marTop w:val="0"/>
          <w:marBottom w:val="0"/>
          <w:divBdr>
            <w:top w:val="none" w:sz="0" w:space="0" w:color="auto"/>
            <w:left w:val="none" w:sz="0" w:space="0" w:color="auto"/>
            <w:bottom w:val="none" w:sz="0" w:space="0" w:color="auto"/>
            <w:right w:val="none" w:sz="0" w:space="0" w:color="auto"/>
          </w:divBdr>
        </w:div>
      </w:divsChild>
    </w:div>
    <w:div w:id="1692606718">
      <w:bodyDiv w:val="1"/>
      <w:marLeft w:val="0"/>
      <w:marRight w:val="0"/>
      <w:marTop w:val="0"/>
      <w:marBottom w:val="0"/>
      <w:divBdr>
        <w:top w:val="none" w:sz="0" w:space="0" w:color="auto"/>
        <w:left w:val="none" w:sz="0" w:space="0" w:color="auto"/>
        <w:bottom w:val="none" w:sz="0" w:space="0" w:color="auto"/>
        <w:right w:val="none" w:sz="0" w:space="0" w:color="auto"/>
      </w:divBdr>
    </w:div>
    <w:div w:id="1815368878">
      <w:bodyDiv w:val="1"/>
      <w:marLeft w:val="0"/>
      <w:marRight w:val="0"/>
      <w:marTop w:val="0"/>
      <w:marBottom w:val="0"/>
      <w:divBdr>
        <w:top w:val="none" w:sz="0" w:space="0" w:color="auto"/>
        <w:left w:val="none" w:sz="0" w:space="0" w:color="auto"/>
        <w:bottom w:val="none" w:sz="0" w:space="0" w:color="auto"/>
        <w:right w:val="none" w:sz="0" w:space="0" w:color="auto"/>
      </w:divBdr>
    </w:div>
    <w:div w:id="1835028692">
      <w:bodyDiv w:val="1"/>
      <w:marLeft w:val="0"/>
      <w:marRight w:val="0"/>
      <w:marTop w:val="0"/>
      <w:marBottom w:val="0"/>
      <w:divBdr>
        <w:top w:val="none" w:sz="0" w:space="0" w:color="auto"/>
        <w:left w:val="none" w:sz="0" w:space="0" w:color="auto"/>
        <w:bottom w:val="none" w:sz="0" w:space="0" w:color="auto"/>
        <w:right w:val="none" w:sz="0" w:space="0" w:color="auto"/>
      </w:divBdr>
    </w:div>
    <w:div w:id="1844083068">
      <w:bodyDiv w:val="1"/>
      <w:marLeft w:val="0"/>
      <w:marRight w:val="0"/>
      <w:marTop w:val="0"/>
      <w:marBottom w:val="0"/>
      <w:divBdr>
        <w:top w:val="none" w:sz="0" w:space="0" w:color="auto"/>
        <w:left w:val="none" w:sz="0" w:space="0" w:color="auto"/>
        <w:bottom w:val="none" w:sz="0" w:space="0" w:color="auto"/>
        <w:right w:val="none" w:sz="0" w:space="0" w:color="auto"/>
      </w:divBdr>
    </w:div>
    <w:div w:id="1980722735">
      <w:bodyDiv w:val="1"/>
      <w:marLeft w:val="0"/>
      <w:marRight w:val="0"/>
      <w:marTop w:val="0"/>
      <w:marBottom w:val="0"/>
      <w:divBdr>
        <w:top w:val="none" w:sz="0" w:space="0" w:color="auto"/>
        <w:left w:val="none" w:sz="0" w:space="0" w:color="auto"/>
        <w:bottom w:val="none" w:sz="0" w:space="0" w:color="auto"/>
        <w:right w:val="none" w:sz="0" w:space="0" w:color="auto"/>
      </w:divBdr>
    </w:div>
    <w:div w:id="2126845568">
      <w:bodyDiv w:val="1"/>
      <w:marLeft w:val="0"/>
      <w:marRight w:val="0"/>
      <w:marTop w:val="0"/>
      <w:marBottom w:val="0"/>
      <w:divBdr>
        <w:top w:val="none" w:sz="0" w:space="0" w:color="auto"/>
        <w:left w:val="none" w:sz="0" w:space="0" w:color="auto"/>
        <w:bottom w:val="none" w:sz="0" w:space="0" w:color="auto"/>
        <w:right w:val="none" w:sz="0" w:space="0" w:color="auto"/>
      </w:divBdr>
      <w:divsChild>
        <w:div w:id="1653176946">
          <w:marLeft w:val="547"/>
          <w:marRight w:val="0"/>
          <w:marTop w:val="91"/>
          <w:marBottom w:val="0"/>
          <w:divBdr>
            <w:top w:val="none" w:sz="0" w:space="0" w:color="auto"/>
            <w:left w:val="none" w:sz="0" w:space="0" w:color="auto"/>
            <w:bottom w:val="none" w:sz="0" w:space="0" w:color="auto"/>
            <w:right w:val="none" w:sz="0" w:space="0" w:color="auto"/>
          </w:divBdr>
        </w:div>
        <w:div w:id="885677219">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vdsz.hu/uploads/Feher_konyv.pdf" TargetMode="External"/><Relationship Id="rId2" Type="http://schemas.openxmlformats.org/officeDocument/2006/relationships/hyperlink" Target="http://www.vpdsz.hu/2011pdffajl/pdf_08/Mt_MOSZ_velemeny_110804.pdf" TargetMode="External"/><Relationship Id="rId1" Type="http://schemas.openxmlformats.org/officeDocument/2006/relationships/hyperlink" Target="http://www.liganet.hu/page/88/art/6296/akt/0/html/az-uj-mt-tortenete.html" TargetMode="External"/><Relationship Id="rId4" Type="http://schemas.openxmlformats.org/officeDocument/2006/relationships/hyperlink" Target="https://birosag.hu/civil-szervezetek-nevjegyzeke"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12CF4-C916-414A-B365-E47001A7C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3160</Words>
  <Characters>21809</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Szabó Imre Szilárd</dc:creator>
  <cp:keywords/>
  <dc:description/>
  <cp:lastModifiedBy>Gyulavári Tamás</cp:lastModifiedBy>
  <cp:revision>3</cp:revision>
  <dcterms:created xsi:type="dcterms:W3CDTF">2024-05-10T07:18:00Z</dcterms:created>
  <dcterms:modified xsi:type="dcterms:W3CDTF">2024-05-10T07:19:00Z</dcterms:modified>
</cp:coreProperties>
</file>