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D" w:rsidRPr="0075351E" w:rsidRDefault="007C5A3D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Tárgynév: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75351E" w:rsidRDefault="008467B8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JONY 471XAO Tárgyalásszimuláció angol </w:t>
            </w:r>
            <w:proofErr w:type="spellStart"/>
            <w:r>
              <w:rPr>
                <w:rFonts w:asciiTheme="minorHAnsi" w:hAnsiTheme="minorHAnsi" w:cstheme="minorHAnsi"/>
              </w:rPr>
              <w:t>nyelvenI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1D055E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Szint</w:t>
            </w:r>
            <w:r w:rsidR="00186AF4" w:rsidRPr="0075351E">
              <w:rPr>
                <w:rFonts w:asciiTheme="minorHAnsi" w:hAnsiTheme="minorHAnsi" w:cstheme="minorHAnsi"/>
                <w:b/>
              </w:rPr>
              <w:t>:</w:t>
            </w:r>
            <w:r w:rsidR="0075351E"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7087" w:type="dxa"/>
            <w:gridSpan w:val="3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75351E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</w:t>
            </w:r>
            <w:r>
              <w:rPr>
                <w:rFonts w:asciiTheme="minorHAnsi" w:hAnsiTheme="minorHAnsi" w:cstheme="minorHAnsi"/>
                <w:b/>
              </w:rPr>
              <w:t>feltétel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7087" w:type="dxa"/>
            <w:gridSpan w:val="3"/>
            <w:vAlign w:val="center"/>
          </w:tcPr>
          <w:p w:rsidR="008C2A0B" w:rsidRDefault="000D1EA0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Előhallgatási követelmény nincs, viszont a 10. pontban felsorolt követelmények elengedhetetlenek.</w:t>
            </w:r>
            <w:r w:rsidR="0047760F">
              <w:rPr>
                <w:rFonts w:asciiTheme="minorHAnsi" w:hAnsiTheme="minorHAnsi" w:cstheme="minorHAnsi"/>
              </w:rPr>
              <w:t xml:space="preserve"> Párhuzamosan hallgatható a </w:t>
            </w:r>
            <w:r w:rsidR="00AC5FD9">
              <w:rPr>
                <w:rFonts w:asciiTheme="minorHAnsi" w:hAnsiTheme="minorHAnsi" w:cstheme="minorHAnsi"/>
              </w:rPr>
              <w:t>JONY472XAO Tárgyalásszimuláció angol nyelven II. tárgy</w:t>
            </w:r>
            <w:r w:rsidR="008467B8">
              <w:rPr>
                <w:rFonts w:asciiTheme="minorHAnsi" w:hAnsiTheme="minorHAnsi" w:cstheme="minorHAnsi"/>
              </w:rPr>
              <w:t xml:space="preserve"> is</w:t>
            </w:r>
            <w:r w:rsidR="00AC5FD9">
              <w:rPr>
                <w:rFonts w:asciiTheme="minorHAnsi" w:hAnsiTheme="minorHAnsi" w:cstheme="minorHAnsi"/>
              </w:rPr>
              <w:t>, a</w:t>
            </w:r>
            <w:r w:rsidR="008467B8">
              <w:rPr>
                <w:rFonts w:asciiTheme="minorHAnsi" w:hAnsiTheme="minorHAnsi" w:cstheme="minorHAnsi"/>
              </w:rPr>
              <w:t xml:space="preserve">mi </w:t>
            </w:r>
            <w:r w:rsidR="00AC5FD9">
              <w:rPr>
                <w:rFonts w:asciiTheme="minorHAnsi" w:hAnsiTheme="minorHAnsi" w:cstheme="minorHAnsi"/>
              </w:rPr>
              <w:t xml:space="preserve">hasonló készségek fejlesztésére irányul, más, </w:t>
            </w:r>
            <w:r w:rsidR="008467B8">
              <w:rPr>
                <w:rFonts w:asciiTheme="minorHAnsi" w:hAnsiTheme="minorHAnsi" w:cstheme="minorHAnsi"/>
              </w:rPr>
              <w:t xml:space="preserve">elsősorban </w:t>
            </w:r>
            <w:r w:rsidR="00AC5FD9">
              <w:rPr>
                <w:rFonts w:asciiTheme="minorHAnsi" w:hAnsiTheme="minorHAnsi" w:cstheme="minorHAnsi"/>
              </w:rPr>
              <w:t>nemzetközi közjogi és büntetőjogi tartalommal.</w:t>
            </w:r>
          </w:p>
          <w:tbl>
            <w:tblPr>
              <w:tblW w:w="18049" w:type="dxa"/>
              <w:tblBorders>
                <w:top w:val="single" w:sz="2" w:space="0" w:color="000000"/>
                <w:left w:val="single" w:sz="6" w:space="0" w:color="B6B6B6"/>
                <w:bottom w:val="single" w:sz="2" w:space="0" w:color="000000"/>
                <w:right w:val="single" w:sz="6" w:space="0" w:color="B6B6B6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4"/>
              <w:gridCol w:w="9025"/>
            </w:tblGrid>
            <w:tr w:rsidR="008C2A0B" w:rsidTr="008467B8">
              <w:trPr>
                <w:trHeight w:val="375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8C2A0B" w:rsidRDefault="008C2A0B" w:rsidP="008C2A0B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8C2A0B" w:rsidRDefault="008C2A0B" w:rsidP="008C2A0B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Követelmény típus: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7087" w:type="dxa"/>
            <w:gridSpan w:val="3"/>
            <w:vAlign w:val="center"/>
          </w:tcPr>
          <w:p w:rsidR="00186AF4" w:rsidRPr="000D1EA0" w:rsidRDefault="000D1EA0" w:rsidP="000D1EA0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0D1EA0">
              <w:rPr>
                <w:rFonts w:asciiTheme="minorHAnsi" w:hAnsiTheme="minorHAnsi"/>
                <w:sz w:val="22"/>
                <w:szCs w:val="22"/>
              </w:rPr>
              <w:t>Beszámoló (háromfokozatú)</w:t>
            </w:r>
          </w:p>
        </w:tc>
      </w:tr>
      <w:tr w:rsidR="00186AF4" w:rsidRPr="0075351E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Óraszám</w:t>
            </w:r>
            <w:r w:rsidR="0075351E"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4"/>
            </w:r>
            <w:r w:rsidR="0075351E">
              <w:rPr>
                <w:rFonts w:asciiTheme="minorHAnsi" w:hAnsiTheme="minorHAnsi" w:cstheme="minorHAnsi"/>
                <w:b/>
              </w:rPr>
              <w:t xml:space="preserve"> és -típus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="0075351E"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5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Nappali: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Előadás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Gyakorlat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Levelező: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Előadás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Gyakorlat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Kredit: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7087" w:type="dxa"/>
            <w:gridSpan w:val="3"/>
            <w:vAlign w:val="center"/>
          </w:tcPr>
          <w:p w:rsidR="00186AF4" w:rsidRPr="0075351E" w:rsidRDefault="000D1EA0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Felelős szervezet neve: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7"/>
            </w:r>
          </w:p>
        </w:tc>
        <w:tc>
          <w:tcPr>
            <w:tcW w:w="7087" w:type="dxa"/>
            <w:gridSpan w:val="3"/>
            <w:vAlign w:val="center"/>
          </w:tcPr>
          <w:p w:rsidR="00186AF4" w:rsidRPr="0075351E" w:rsidRDefault="000D1EA0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Idegen Nyelvi Lektorátus</w:t>
            </w:r>
          </w:p>
        </w:tc>
      </w:tr>
      <w:tr w:rsidR="00186AF4" w:rsidRPr="0075351E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Tárgyfelelős neve: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75351E" w:rsidRDefault="000D1EA0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Unger Anikó</w:t>
            </w:r>
          </w:p>
        </w:tc>
      </w:tr>
      <w:tr w:rsidR="0075351E" w:rsidRPr="0075351E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5351E" w:rsidRPr="0075351E" w:rsidRDefault="0075351E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Oktatás célja: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8"/>
            </w:r>
          </w:p>
        </w:tc>
        <w:tc>
          <w:tcPr>
            <w:tcW w:w="7087" w:type="dxa"/>
            <w:gridSpan w:val="3"/>
            <w:vAlign w:val="center"/>
          </w:tcPr>
          <w:p w:rsidR="00655DC1" w:rsidRPr="00AC5FD9" w:rsidRDefault="0047760F" w:rsidP="00AC5FD9">
            <w:pPr>
              <w:jc w:val="both"/>
            </w:pPr>
            <w:bookmarkStart w:id="0" w:name="_GoBack"/>
            <w:r w:rsidRPr="00AC5FD9">
              <w:t>A tárgy célja</w:t>
            </w:r>
            <w:r w:rsidRPr="007B1825">
              <w:t xml:space="preserve"> szaknyelvi készségek kialakítása/fejlesztése perbeszédversenyekre.</w:t>
            </w:r>
            <w:r w:rsidR="00AC5FD9">
              <w:t xml:space="preserve"> A további részletek a 9. </w:t>
            </w:r>
            <w:r w:rsidR="00C07F6C">
              <w:t xml:space="preserve">és 10. </w:t>
            </w:r>
            <w:r w:rsidR="00AC5FD9">
              <w:t>pontban olvashatóak.</w:t>
            </w:r>
            <w:r w:rsidR="00087466">
              <w:t xml:space="preserve"> A </w:t>
            </w:r>
            <w:proofErr w:type="gramStart"/>
            <w:r w:rsidR="00087466">
              <w:t>kurzus</w:t>
            </w:r>
            <w:proofErr w:type="gramEnd"/>
            <w:r w:rsidR="00087466">
              <w:t xml:space="preserve"> a Nemzetközi Magánjogi Tanszék háttértámogatására szolgál.</w:t>
            </w:r>
            <w:bookmarkEnd w:id="0"/>
          </w:p>
        </w:tc>
      </w:tr>
      <w:tr w:rsidR="0075351E" w:rsidRPr="0075351E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5351E" w:rsidRPr="0075351E" w:rsidRDefault="00F52125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Tantárgy tartalma: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9"/>
            </w:r>
          </w:p>
        </w:tc>
        <w:tc>
          <w:tcPr>
            <w:tcW w:w="7087" w:type="dxa"/>
            <w:gridSpan w:val="3"/>
            <w:vAlign w:val="center"/>
          </w:tcPr>
          <w:p w:rsidR="00925E0D" w:rsidRPr="007B1825" w:rsidRDefault="00925E0D" w:rsidP="00925E0D">
            <w:pPr>
              <w:jc w:val="both"/>
            </w:pPr>
            <w:r>
              <w:t xml:space="preserve">1. </w:t>
            </w:r>
            <w:r w:rsidRPr="007B1825">
              <w:t>A csapatmunk</w:t>
            </w:r>
            <w:r>
              <w:t xml:space="preserve">a mibenléte, </w:t>
            </w:r>
            <w:proofErr w:type="gramStart"/>
            <w:r>
              <w:t>etikai</w:t>
            </w:r>
            <w:proofErr w:type="gramEnd"/>
            <w:r>
              <w:t xml:space="preserve"> kívánalmak: pontos tájékoztatás</w:t>
            </w:r>
            <w:r w:rsidRPr="007B1825">
              <w:t xml:space="preserve">, </w:t>
            </w:r>
            <w:proofErr w:type="spellStart"/>
            <w:r w:rsidRPr="007B1825">
              <w:t>reszponzív</w:t>
            </w:r>
            <w:proofErr w:type="spellEnd"/>
            <w:r w:rsidRPr="007B1825">
              <w:t xml:space="preserve"> magatartá</w:t>
            </w:r>
            <w:r>
              <w:t>s, önzetlenség.</w:t>
            </w:r>
            <w:r w:rsidRPr="00601042">
              <w:t xml:space="preserve"> </w:t>
            </w:r>
            <w:r>
              <w:t xml:space="preserve">Viselkedés és </w:t>
            </w:r>
            <w:proofErr w:type="spellStart"/>
            <w:r>
              <w:t>stílusbeli</w:t>
            </w:r>
            <w:proofErr w:type="spellEnd"/>
            <w:r>
              <w:t xml:space="preserve"> elemek:</w:t>
            </w:r>
            <w:r w:rsidRPr="007B1825">
              <w:t xml:space="preserve"> megszólalás és megszólítás, a beszéd</w:t>
            </w:r>
            <w:proofErr w:type="gramStart"/>
            <w:r w:rsidRPr="007B1825">
              <w:t>aktus</w:t>
            </w:r>
            <w:proofErr w:type="gramEnd"/>
            <w:r w:rsidRPr="007B1825">
              <w:t xml:space="preserve"> célszerű terjedelme, a figyelem és jegyzetelés technikája; hel</w:t>
            </w:r>
            <w:r>
              <w:t>y</w:t>
            </w:r>
            <w:r w:rsidRPr="007B1825">
              <w:t>zetgyakorlat</w:t>
            </w:r>
          </w:p>
          <w:p w:rsidR="00925E0D" w:rsidRPr="007B1825" w:rsidRDefault="00925E0D" w:rsidP="00925E0D">
            <w:pPr>
              <w:jc w:val="both"/>
            </w:pPr>
            <w:r w:rsidRPr="007B1825">
              <w:t xml:space="preserve">2. </w:t>
            </w:r>
            <w:proofErr w:type="spellStart"/>
            <w:r w:rsidRPr="00383174">
              <w:t>Cross-examination</w:t>
            </w:r>
            <w:proofErr w:type="spellEnd"/>
            <w:r w:rsidRPr="00383174">
              <w:t xml:space="preserve"> típusú gondolkodás, technikai el</w:t>
            </w:r>
            <w:r>
              <w:t>emek azonosítása, terminológia</w:t>
            </w:r>
            <w:r w:rsidR="002C3459">
              <w:t>;</w:t>
            </w:r>
          </w:p>
          <w:p w:rsidR="00925E0D" w:rsidRPr="007B1825" w:rsidRDefault="00925E0D" w:rsidP="00925E0D">
            <w:pPr>
              <w:jc w:val="both"/>
            </w:pPr>
            <w:r w:rsidRPr="007B1825">
              <w:t xml:space="preserve">3. </w:t>
            </w:r>
            <w:proofErr w:type="spellStart"/>
            <w:r>
              <w:t>Cross-examination</w:t>
            </w:r>
            <w:proofErr w:type="spellEnd"/>
            <w:r>
              <w:t xml:space="preserve"> </w:t>
            </w:r>
            <w:proofErr w:type="spellStart"/>
            <w:r>
              <w:t>moot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(CEMC)</w:t>
            </w:r>
            <w:r w:rsidRPr="007B1825">
              <w:t>: egy verseny szerkezete, elbírálási szempontjai: ismerjük fel magunk a győztest</w:t>
            </w:r>
            <w:r>
              <w:t>;</w:t>
            </w:r>
          </w:p>
          <w:p w:rsidR="00925E0D" w:rsidRPr="007B1825" w:rsidRDefault="00925E0D" w:rsidP="00925E0D">
            <w:pPr>
              <w:jc w:val="both"/>
            </w:pPr>
            <w:r w:rsidRPr="007B1825">
              <w:t xml:space="preserve">4. Elsajátítás: </w:t>
            </w:r>
            <w:r>
              <w:t xml:space="preserve">a rendelkezésre álló iratok elemzése (szerződések, tanúvallomások stb.); </w:t>
            </w:r>
            <w:r w:rsidRPr="007B1825">
              <w:t>gyakor</w:t>
            </w:r>
            <w:r>
              <w:t xml:space="preserve">lás a </w:t>
            </w:r>
            <w:r w:rsidRPr="007B1825">
              <w:t>verseny forgatókönyve alapján, a szereplők előzetes kijelölésével.</w:t>
            </w:r>
          </w:p>
          <w:p w:rsidR="00925E0D" w:rsidRDefault="00CC1E87" w:rsidP="00925E0D">
            <w:pPr>
              <w:jc w:val="both"/>
            </w:pPr>
            <w:r>
              <w:t xml:space="preserve">5-6. </w:t>
            </w:r>
            <w:r w:rsidR="00925E0D">
              <w:t>Szimuláció</w:t>
            </w:r>
            <w:r w:rsidR="00925E0D" w:rsidRPr="007B1825">
              <w:t xml:space="preserve">: </w:t>
            </w:r>
            <w:r w:rsidR="00925E0D">
              <w:t xml:space="preserve">a rendelkezésre álló iratok elemzése (szerződések, tanúvallomások stb.); </w:t>
            </w:r>
            <w:r w:rsidR="00925E0D" w:rsidRPr="007B1825">
              <w:t>gyakor</w:t>
            </w:r>
            <w:r w:rsidR="00925E0D">
              <w:t xml:space="preserve">lás a </w:t>
            </w:r>
            <w:r w:rsidR="00925E0D" w:rsidRPr="007B1825">
              <w:t>verseny forgatókönyve alapján, a szereplők előzetes kijelölésével</w:t>
            </w:r>
            <w:r w:rsidR="00925E0D">
              <w:t>;</w:t>
            </w:r>
          </w:p>
          <w:p w:rsidR="00925E0D" w:rsidRPr="007B1825" w:rsidRDefault="00925E0D" w:rsidP="00925E0D">
            <w:pPr>
              <w:jc w:val="both"/>
            </w:pPr>
            <w:r>
              <w:t>7. PAX MOOT COURT; a verseny mibenléte, elbírálása, perbeszédek; videó</w:t>
            </w:r>
          </w:p>
          <w:p w:rsidR="00925E0D" w:rsidRPr="007B1825" w:rsidRDefault="00925E0D" w:rsidP="00925E0D">
            <w:pPr>
              <w:jc w:val="both"/>
            </w:pPr>
            <w:r w:rsidRPr="007B1825">
              <w:t xml:space="preserve">8. </w:t>
            </w:r>
            <w:r>
              <w:t xml:space="preserve">PAX MOOT </w:t>
            </w:r>
            <w:r w:rsidRPr="007B1825">
              <w:t>típusú gondolkodá</w:t>
            </w:r>
            <w:r>
              <w:t>s, technikai elemek azonosítása</w:t>
            </w:r>
            <w:r w:rsidRPr="007B1825">
              <w:t>; az eset</w:t>
            </w:r>
            <w:r>
              <w:t>;</w:t>
            </w:r>
          </w:p>
          <w:p w:rsidR="00925E0D" w:rsidRDefault="00925E0D" w:rsidP="00925E0D">
            <w:pPr>
              <w:jc w:val="both"/>
            </w:pPr>
            <w:r w:rsidRPr="007B1825">
              <w:t xml:space="preserve">9. </w:t>
            </w:r>
            <w:r>
              <w:t>Í</w:t>
            </w:r>
            <w:r w:rsidRPr="007B1825">
              <w:t>rásbeli szövegek feldolgozása</w:t>
            </w:r>
            <w:r>
              <w:t>;</w:t>
            </w:r>
            <w:r w:rsidRPr="007B1825">
              <w:t xml:space="preserve"> </w:t>
            </w:r>
            <w:r>
              <w:t>h</w:t>
            </w:r>
            <w:r w:rsidRPr="007B1825">
              <w:t>ogyan válik el az írott szöveg értése és a</w:t>
            </w:r>
            <w:r>
              <w:t xml:space="preserve">nnak szerkesztése a verbálistól: a perbeszéd és a </w:t>
            </w:r>
            <w:proofErr w:type="gramStart"/>
            <w:r>
              <w:t>memorandum</w:t>
            </w:r>
            <w:proofErr w:type="gramEnd"/>
            <w:r>
              <w:t xml:space="preserve"> stílusjegyei;</w:t>
            </w:r>
          </w:p>
          <w:p w:rsidR="00925E0D" w:rsidRPr="007B1825" w:rsidRDefault="00925E0D" w:rsidP="00925E0D">
            <w:pPr>
              <w:jc w:val="both"/>
            </w:pPr>
            <w:r>
              <w:t xml:space="preserve">10. </w:t>
            </w:r>
            <w:proofErr w:type="gramStart"/>
            <w:r>
              <w:t>Memorandumok</w:t>
            </w:r>
            <w:proofErr w:type="gramEnd"/>
            <w:r>
              <w:t xml:space="preserve"> megtekintése, feldolgozása, a minta rögzítése; terminológia</w:t>
            </w:r>
            <w:r w:rsidR="00CC1E87">
              <w:t>;</w:t>
            </w:r>
          </w:p>
          <w:p w:rsidR="00925E0D" w:rsidRPr="007B1825" w:rsidRDefault="00925E0D" w:rsidP="00925E0D">
            <w:pPr>
              <w:jc w:val="both"/>
            </w:pPr>
            <w:r>
              <w:t>11</w:t>
            </w:r>
            <w:r w:rsidRPr="007B1825">
              <w:t xml:space="preserve">. </w:t>
            </w:r>
            <w:r>
              <w:t>A perbeszéd szerkezete, a</w:t>
            </w:r>
            <w:r w:rsidRPr="007B1825">
              <w:t xml:space="preserve"> helyes és célravezető kérdésfeltevés, </w:t>
            </w:r>
            <w:r>
              <w:t xml:space="preserve">keresztkérdések, válaszok, </w:t>
            </w:r>
            <w:proofErr w:type="gramStart"/>
            <w:r w:rsidRPr="007B1825">
              <w:t>agresszió</w:t>
            </w:r>
            <w:proofErr w:type="gramEnd"/>
            <w:r w:rsidRPr="007B1825">
              <w:t xml:space="preserve"> nélkül</w:t>
            </w:r>
            <w:r>
              <w:t>; videó</w:t>
            </w:r>
            <w:r w:rsidR="00CC1E87">
              <w:t>;</w:t>
            </w:r>
            <w:r>
              <w:t xml:space="preserve"> </w:t>
            </w:r>
          </w:p>
          <w:p w:rsidR="00925E0D" w:rsidRPr="007B1825" w:rsidRDefault="00925E0D" w:rsidP="00925E0D">
            <w:pPr>
              <w:jc w:val="both"/>
            </w:pPr>
            <w:r>
              <w:t>12</w:t>
            </w:r>
            <w:r w:rsidRPr="007B1825">
              <w:t xml:space="preserve">. Élő gyakorlat, a tapasztalatok összegzése, a </w:t>
            </w:r>
            <w:proofErr w:type="gramStart"/>
            <w:r w:rsidRPr="007B1825">
              <w:t>kurzus</w:t>
            </w:r>
            <w:proofErr w:type="gramEnd"/>
            <w:r w:rsidRPr="007B1825">
              <w:t xml:space="preserve"> értékelése; jövőre mutató lehetőségek</w:t>
            </w:r>
            <w:r w:rsidR="00CC1E87">
              <w:t>;</w:t>
            </w:r>
          </w:p>
          <w:p w:rsidR="0075351E" w:rsidRPr="00E45CAC" w:rsidRDefault="0075351E" w:rsidP="0075351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2FA" w:rsidRPr="0075351E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Default="007F12FA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Számonkérési és értékelési rendszere: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10"/>
            </w:r>
          </w:p>
        </w:tc>
        <w:tc>
          <w:tcPr>
            <w:tcW w:w="7087" w:type="dxa"/>
            <w:gridSpan w:val="3"/>
            <w:vAlign w:val="center"/>
          </w:tcPr>
          <w:p w:rsidR="007F12FA" w:rsidRPr="008546FF" w:rsidRDefault="000D1EA0" w:rsidP="000D1EA0">
            <w:pPr>
              <w:jc w:val="both"/>
              <w:rPr>
                <w:b/>
              </w:rPr>
            </w:pPr>
            <w:r>
              <w:t>A</w:t>
            </w:r>
            <w:r w:rsidRPr="007B1825">
              <w:t xml:space="preserve"> tárgy gyakorlati jellege miatt a hiányzás nem </w:t>
            </w:r>
            <w:proofErr w:type="gramStart"/>
            <w:r w:rsidRPr="007B1825">
              <w:t>tolerálható</w:t>
            </w:r>
            <w:proofErr w:type="gramEnd"/>
            <w:r w:rsidRPr="007B1825">
              <w:t xml:space="preserve">, </w:t>
            </w:r>
            <w:proofErr w:type="spellStart"/>
            <w:r w:rsidRPr="007B1825">
              <w:t>max</w:t>
            </w:r>
            <w:proofErr w:type="spellEnd"/>
            <w:r w:rsidRPr="007B1825">
              <w:t xml:space="preserve">. egy hiányzás </w:t>
            </w:r>
            <w:r>
              <w:t xml:space="preserve">az </w:t>
            </w:r>
            <w:r w:rsidRPr="007B1825">
              <w:t xml:space="preserve">elfogadható. Minden órán </w:t>
            </w:r>
            <w:proofErr w:type="gramStart"/>
            <w:r w:rsidRPr="007B1825">
              <w:t>aktív</w:t>
            </w:r>
            <w:proofErr w:type="gramEnd"/>
            <w:r w:rsidRPr="007B1825">
              <w:t xml:space="preserve"> és a házi feladatokat a </w:t>
            </w:r>
            <w:proofErr w:type="spellStart"/>
            <w:r w:rsidRPr="007B1825">
              <w:t>teams</w:t>
            </w:r>
            <w:proofErr w:type="spellEnd"/>
            <w:r w:rsidRPr="007B1825">
              <w:t xml:space="preserve"> csoportba, saját mappába feltöltő hallgatókat várunk, akik ismerik egymás munkáját, azt kommentálják, abból dolgoznak órán is. Ugyanaz vonatko</w:t>
            </w:r>
            <w:r>
              <w:t>zik az elméleti olvasatokra: ezek ismerete</w:t>
            </w:r>
            <w:r w:rsidRPr="007B1825">
              <w:t xml:space="preserve"> elvárt a</w:t>
            </w:r>
            <w:r>
              <w:t xml:space="preserve">z órákon. </w:t>
            </w:r>
            <w:r w:rsidRPr="007B1825">
              <w:t xml:space="preserve">Az olvasandó anyag nem megterhelő sem jellegében, sem terjedelmében, de a feladat rendszeres elvégzése alakítja a csoportot, ill. </w:t>
            </w:r>
            <w:proofErr w:type="gramStart"/>
            <w:r w:rsidRPr="007B1825">
              <w:t>etikai</w:t>
            </w:r>
            <w:proofErr w:type="gramEnd"/>
            <w:r w:rsidRPr="007B1825">
              <w:t xml:space="preserve"> kritérium a majdani, materiálisan felkészülő csoportban való alkalmassághoz, választhatósághoz.</w:t>
            </w:r>
            <w:r w:rsidRPr="007B1825">
              <w:rPr>
                <w:b/>
              </w:rPr>
              <w:t xml:space="preserve"> </w:t>
            </w:r>
          </w:p>
        </w:tc>
      </w:tr>
      <w:tr w:rsidR="007F12FA" w:rsidRPr="0075351E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Default="007F12FA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Irodalom: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11"/>
            </w:r>
          </w:p>
        </w:tc>
        <w:tc>
          <w:tcPr>
            <w:tcW w:w="7087" w:type="dxa"/>
            <w:gridSpan w:val="3"/>
            <w:vAlign w:val="center"/>
          </w:tcPr>
          <w:p w:rsidR="007F12FA" w:rsidRPr="0047760F" w:rsidRDefault="000D1EA0" w:rsidP="0047760F">
            <w:pPr>
              <w:jc w:val="both"/>
            </w:pPr>
            <w:r w:rsidRPr="00AC5FD9">
              <w:t>Mintaként szolgál</w:t>
            </w:r>
            <w:r w:rsidRPr="007B1825">
              <w:t xml:space="preserve"> egyrészt az online tanulmányozható versenyek szóbeli döntőjének vizuális anyaga, ill. </w:t>
            </w:r>
            <w:proofErr w:type="gramStart"/>
            <w:r w:rsidRPr="007B1825">
              <w:t>memorandumok</w:t>
            </w:r>
            <w:proofErr w:type="gramEnd"/>
            <w:r w:rsidRPr="007B1825">
              <w:t xml:space="preserve">, melyeket adott versenyek protokollja szerint írtak meg versenyen szerepelt hallgatóink. Utóbbiak </w:t>
            </w:r>
            <w:proofErr w:type="spellStart"/>
            <w:r w:rsidRPr="007B1825">
              <w:t>coachként</w:t>
            </w:r>
            <w:proofErr w:type="spellEnd"/>
            <w:r w:rsidRPr="007B1825">
              <w:t xml:space="preserve"> segítik a versenyfelkészülésre irányuló készségfejlesztést mind szóbeli gyakorlatokkal, házi feladatokkal, mind pedig saját </w:t>
            </w:r>
            <w:proofErr w:type="spellStart"/>
            <w:r w:rsidRPr="007B1825">
              <w:t>perbeszédeik</w:t>
            </w:r>
            <w:proofErr w:type="spellEnd"/>
            <w:r w:rsidRPr="007B1825">
              <w:t>, versenytapasztalataik elemzésével.</w:t>
            </w:r>
          </w:p>
        </w:tc>
      </w:tr>
    </w:tbl>
    <w:p w:rsidR="00A90A8D" w:rsidRPr="00F46DDF" w:rsidRDefault="00A90A8D" w:rsidP="00A90A8D">
      <w:pPr>
        <w:rPr>
          <w:rFonts w:asciiTheme="minorHAnsi" w:hAnsiTheme="minorHAnsi" w:cstheme="minorHAnsi"/>
        </w:rPr>
      </w:pPr>
    </w:p>
    <w:p w:rsidR="007F12FA" w:rsidRDefault="007F12FA" w:rsidP="00A90A8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7F12FA" w:rsidRPr="00E45CAC" w:rsidRDefault="004D2319" w:rsidP="004D231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JONY471XAO 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330CB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Level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2"/>
            </w:r>
          </w:p>
        </w:tc>
        <w:tc>
          <w:tcPr>
            <w:tcW w:w="7087" w:type="dxa"/>
            <w:gridSpan w:val="3"/>
            <w:vAlign w:val="center"/>
          </w:tcPr>
          <w:p w:rsidR="007F12FA" w:rsidRPr="00E45CAC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Prerequisites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3"/>
            </w:r>
          </w:p>
        </w:tc>
        <w:tc>
          <w:tcPr>
            <w:tcW w:w="7087" w:type="dxa"/>
            <w:gridSpan w:val="3"/>
            <w:vAlign w:val="center"/>
          </w:tcPr>
          <w:p w:rsidR="007F12FA" w:rsidRPr="008546FF" w:rsidRDefault="004D2319" w:rsidP="00EC602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prerequisite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is </w:t>
            </w:r>
            <w:proofErr w:type="spellStart"/>
            <w:r>
              <w:rPr>
                <w:rFonts w:asciiTheme="minorHAnsi" w:hAnsiTheme="minorHAnsi" w:cstheme="minorHAnsi"/>
              </w:rPr>
              <w:t>indicated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nevertheless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requirements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point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 w:rsidR="00EC6027">
              <w:rPr>
                <w:rFonts w:asciiTheme="minorHAnsi" w:hAnsiTheme="minorHAnsi" w:cstheme="minorHAnsi"/>
              </w:rPr>
              <w:t>are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ndispensable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8546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It is </w:t>
            </w:r>
            <w:proofErr w:type="spellStart"/>
            <w:r>
              <w:rPr>
                <w:rFonts w:asciiTheme="minorHAnsi" w:hAnsiTheme="minorHAnsi" w:cstheme="minorHAnsi"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attend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r w:rsidR="008546FF">
              <w:rPr>
                <w:rFonts w:asciiTheme="minorHAnsi" w:hAnsiTheme="minorHAnsi" w:cstheme="minorHAnsi"/>
              </w:rPr>
              <w:t>JONY472XAO</w:t>
            </w:r>
            <w:proofErr w:type="gramEnd"/>
            <w:r w:rsidR="008546FF">
              <w:rPr>
                <w:rFonts w:asciiTheme="minorHAnsi" w:hAnsiTheme="minorHAnsi" w:cstheme="minorHAnsi"/>
              </w:rPr>
              <w:t xml:space="preserve"> II. </w:t>
            </w:r>
            <w:proofErr w:type="spellStart"/>
            <w:r w:rsidR="00EC6027">
              <w:rPr>
                <w:rFonts w:asciiTheme="minorHAnsi" w:hAnsiTheme="minorHAnsi" w:cstheme="minorHAnsi"/>
              </w:rPr>
              <w:t>since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similar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skills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are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affected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with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different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content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C6027">
              <w:rPr>
                <w:rFonts w:asciiTheme="minorHAnsi" w:hAnsiTheme="minorHAnsi" w:cstheme="minorHAnsi"/>
              </w:rPr>
              <w:t>mostly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public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international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law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EC6027">
              <w:rPr>
                <w:rFonts w:asciiTheme="minorHAnsi" w:hAnsiTheme="minorHAnsi" w:cstheme="minorHAnsi"/>
              </w:rPr>
              <w:t>international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criminal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law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as</w:t>
            </w:r>
            <w:proofErr w:type="spellEnd"/>
            <w:r w:rsidR="00EC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6027">
              <w:rPr>
                <w:rFonts w:asciiTheme="minorHAnsi" w:hAnsiTheme="minorHAnsi" w:cstheme="minorHAnsi"/>
              </w:rPr>
              <w:t>substance</w:t>
            </w:r>
            <w:proofErr w:type="spellEnd"/>
            <w:r w:rsidR="00EC6027">
              <w:rPr>
                <w:rFonts w:asciiTheme="minorHAnsi" w:hAnsiTheme="minorHAnsi" w:cstheme="minorHAnsi"/>
              </w:rPr>
              <w:t>.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Requirement type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4"/>
            </w:r>
          </w:p>
        </w:tc>
        <w:tc>
          <w:tcPr>
            <w:tcW w:w="7087" w:type="dxa"/>
            <w:gridSpan w:val="3"/>
            <w:vAlign w:val="center"/>
          </w:tcPr>
          <w:p w:rsidR="007F12FA" w:rsidRPr="00E45CAC" w:rsidRDefault="008546FF" w:rsidP="00EC6027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lang w:val="en-GB"/>
              </w:rPr>
              <w:t>three-</w:t>
            </w:r>
            <w:r w:rsidR="00EC6027">
              <w:rPr>
                <w:rFonts w:asciiTheme="minorHAnsi" w:hAnsiTheme="minorHAnsi" w:cstheme="minorHAnsi"/>
                <w:lang w:val="en-GB"/>
              </w:rPr>
              <w:t>scale</w:t>
            </w:r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grading?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:rsidR="007F12FA" w:rsidRPr="00F46DDF" w:rsidRDefault="00846E33" w:rsidP="00846E33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Number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5"/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F46DDF">
              <w:rPr>
                <w:rFonts w:asciiTheme="minorHAnsi" w:hAnsiTheme="minorHAnsi" w:cstheme="minorHAnsi"/>
                <w:b/>
                <w:lang w:val="en-GB"/>
              </w:rPr>
              <w:t>and type of contact hours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6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Full-time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Part-time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Credit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7"/>
            </w:r>
          </w:p>
        </w:tc>
        <w:tc>
          <w:tcPr>
            <w:tcW w:w="7087" w:type="dxa"/>
            <w:gridSpan w:val="3"/>
            <w:vAlign w:val="center"/>
          </w:tcPr>
          <w:p w:rsidR="007F12FA" w:rsidRPr="00E45CAC" w:rsidRDefault="008546FF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C87EFA" w:rsidP="00C87EFA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Responsible department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7F12FA" w:rsidRPr="00E45CAC" w:rsidRDefault="008546FF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Department of Foreign Languages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F12FA" w:rsidRPr="00F46DDF" w:rsidRDefault="00C87E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lecturer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7F12FA" w:rsidRPr="00E45CAC" w:rsidRDefault="008546FF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Unger Anikó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Pr="00F46DDF" w:rsidRDefault="00C87E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Aim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8"/>
            </w:r>
          </w:p>
        </w:tc>
        <w:tc>
          <w:tcPr>
            <w:tcW w:w="7087" w:type="dxa"/>
            <w:gridSpan w:val="3"/>
            <w:vAlign w:val="center"/>
          </w:tcPr>
          <w:p w:rsidR="00655DC1" w:rsidRPr="00E45CAC" w:rsidRDefault="00EC6027" w:rsidP="00EC6027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t xml:space="preserve">The </w:t>
            </w:r>
            <w:proofErr w:type="spellStart"/>
            <w:r>
              <w:t>aim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founding</w:t>
            </w:r>
            <w:proofErr w:type="spellEnd"/>
            <w:r>
              <w:t xml:space="preserve"> and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attending</w:t>
            </w:r>
            <w:proofErr w:type="spellEnd"/>
            <w:r>
              <w:t xml:space="preserve"> </w:t>
            </w:r>
            <w:proofErr w:type="spellStart"/>
            <w:r>
              <w:t>moot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competitions</w:t>
            </w:r>
            <w:proofErr w:type="spellEnd"/>
            <w:r>
              <w:t xml:space="preserve"> </w:t>
            </w:r>
            <w:proofErr w:type="spellStart"/>
            <w:r>
              <w:t>eventually</w:t>
            </w:r>
            <w:proofErr w:type="spellEnd"/>
            <w:r>
              <w:t xml:space="preserve">.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listed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r w:rsidR="008546FF">
              <w:t>1</w:t>
            </w:r>
            <w:r w:rsidR="008C6A87">
              <w:t>9</w:t>
            </w:r>
            <w:r w:rsidR="008546FF">
              <w:t xml:space="preserve"> </w:t>
            </w:r>
            <w:r>
              <w:t xml:space="preserve">and </w:t>
            </w:r>
            <w:r w:rsidR="008546FF">
              <w:t>2</w:t>
            </w:r>
            <w:r w:rsidR="008C6A87">
              <w:t>0</w:t>
            </w:r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of </w:t>
            </w:r>
            <w:proofErr w:type="spellStart"/>
            <w:r>
              <w:t>below</w:t>
            </w:r>
            <w:proofErr w:type="spellEnd"/>
            <w:r w:rsidR="008546FF">
              <w:t>.</w:t>
            </w:r>
            <w:r w:rsidR="00EC7B92">
              <w:t xml:space="preserve"> The </w:t>
            </w:r>
            <w:proofErr w:type="spellStart"/>
            <w:r w:rsidR="00EC7B92">
              <w:t>course</w:t>
            </w:r>
            <w:proofErr w:type="spellEnd"/>
            <w:r w:rsidR="00EC7B92">
              <w:t xml:space="preserve"> is </w:t>
            </w:r>
            <w:proofErr w:type="spellStart"/>
            <w:r w:rsidR="00EC7B92">
              <w:t>aimed</w:t>
            </w:r>
            <w:proofErr w:type="spellEnd"/>
            <w:r w:rsidR="00EC7B92">
              <w:t xml:space="preserve"> </w:t>
            </w:r>
            <w:proofErr w:type="spellStart"/>
            <w:r w:rsidR="00EC7B92">
              <w:t>at</w:t>
            </w:r>
            <w:proofErr w:type="spellEnd"/>
            <w:r w:rsidR="00EC7B92">
              <w:t xml:space="preserve"> </w:t>
            </w:r>
            <w:proofErr w:type="spellStart"/>
            <w:r w:rsidR="00EC7B92">
              <w:t>assisting</w:t>
            </w:r>
            <w:proofErr w:type="spellEnd"/>
            <w:r w:rsidR="00EC7B92">
              <w:t xml:space="preserve"> </w:t>
            </w:r>
            <w:proofErr w:type="spellStart"/>
            <w:r w:rsidR="00EC7B92">
              <w:t>the</w:t>
            </w:r>
            <w:proofErr w:type="spellEnd"/>
            <w:r w:rsidR="00EC7B92">
              <w:t xml:space="preserve"> International </w:t>
            </w:r>
            <w:proofErr w:type="spellStart"/>
            <w:r w:rsidR="00EC7B92">
              <w:t>Private</w:t>
            </w:r>
            <w:proofErr w:type="spellEnd"/>
            <w:r w:rsidR="00EC7B92">
              <w:t xml:space="preserve"> Law </w:t>
            </w:r>
            <w:proofErr w:type="spellStart"/>
            <w:r w:rsidR="00EC7B92">
              <w:t>Chair</w:t>
            </w:r>
            <w:proofErr w:type="spellEnd"/>
            <w:r w:rsidR="00EC7B92">
              <w:t>.</w:t>
            </w: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Pr="00F46DDF" w:rsidRDefault="00C87E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Outline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9"/>
            </w:r>
          </w:p>
        </w:tc>
        <w:tc>
          <w:tcPr>
            <w:tcW w:w="7087" w:type="dxa"/>
            <w:gridSpan w:val="3"/>
            <w:vAlign w:val="center"/>
          </w:tcPr>
          <w:p w:rsidR="008546FF" w:rsidRPr="007B1825" w:rsidRDefault="008546FF" w:rsidP="008546FF">
            <w:pPr>
              <w:jc w:val="both"/>
            </w:pPr>
            <w:r>
              <w:t xml:space="preserve">1. </w:t>
            </w:r>
            <w:r w:rsidR="007B5C97">
              <w:t xml:space="preserve">The </w:t>
            </w:r>
            <w:proofErr w:type="spellStart"/>
            <w:r w:rsidR="007B5C97">
              <w:t>constituents</w:t>
            </w:r>
            <w:proofErr w:type="spellEnd"/>
            <w:r w:rsidR="007B5C97">
              <w:t xml:space="preserve"> of </w:t>
            </w:r>
            <w:proofErr w:type="spellStart"/>
            <w:r w:rsidR="007B5C97">
              <w:t>teamwork</w:t>
            </w:r>
            <w:proofErr w:type="spellEnd"/>
            <w:r w:rsidR="007B5C97">
              <w:t xml:space="preserve">, </w:t>
            </w:r>
            <w:proofErr w:type="spellStart"/>
            <w:r w:rsidR="007B5C97">
              <w:t>ethical</w:t>
            </w:r>
            <w:proofErr w:type="spellEnd"/>
            <w:r w:rsidR="007B5C97">
              <w:t xml:space="preserve"> </w:t>
            </w:r>
            <w:proofErr w:type="spellStart"/>
            <w:r w:rsidR="007B5C97">
              <w:t>needs</w:t>
            </w:r>
            <w:proofErr w:type="spellEnd"/>
            <w:r w:rsidR="007B5C97">
              <w:t>:</w:t>
            </w:r>
            <w:r>
              <w:t xml:space="preserve"> </w:t>
            </w:r>
            <w:proofErr w:type="spellStart"/>
            <w:r w:rsidR="007B5C97">
              <w:t>full</w:t>
            </w:r>
            <w:proofErr w:type="spellEnd"/>
            <w:r w:rsidR="007B5C97">
              <w:t xml:space="preserve"> and </w:t>
            </w:r>
            <w:proofErr w:type="spellStart"/>
            <w:r w:rsidR="007B5C97">
              <w:t>precise</w:t>
            </w:r>
            <w:proofErr w:type="spellEnd"/>
            <w:r w:rsidR="007B5C97">
              <w:t xml:space="preserve"> </w:t>
            </w:r>
            <w:proofErr w:type="spellStart"/>
            <w:r w:rsidR="007B5C97">
              <w:t>information</w:t>
            </w:r>
            <w:proofErr w:type="spellEnd"/>
            <w:r w:rsidR="007B5C97">
              <w:t xml:space="preserve"> </w:t>
            </w:r>
            <w:proofErr w:type="spellStart"/>
            <w:r w:rsidR="007B5C97">
              <w:t>transfer</w:t>
            </w:r>
            <w:proofErr w:type="spellEnd"/>
            <w:r w:rsidRPr="007B1825">
              <w:t xml:space="preserve">, </w:t>
            </w:r>
            <w:proofErr w:type="spellStart"/>
            <w:r w:rsidRPr="007B1825">
              <w:t>re</w:t>
            </w:r>
            <w:r w:rsidR="008C6A87">
              <w:t>s</w:t>
            </w:r>
            <w:r w:rsidR="007B5C97">
              <w:t>ponsiveness</w:t>
            </w:r>
            <w:proofErr w:type="spellEnd"/>
            <w:r w:rsidR="007B5C97">
              <w:t xml:space="preserve">, </w:t>
            </w:r>
            <w:proofErr w:type="spellStart"/>
            <w:r w:rsidR="007B5C97">
              <w:t>unselfishness</w:t>
            </w:r>
            <w:proofErr w:type="spellEnd"/>
            <w:r>
              <w:t>.</w:t>
            </w:r>
            <w:r w:rsidRPr="00601042">
              <w:t xml:space="preserve"> </w:t>
            </w:r>
            <w:proofErr w:type="spellStart"/>
            <w:r w:rsidR="007B5C97">
              <w:t>elements</w:t>
            </w:r>
            <w:proofErr w:type="spellEnd"/>
            <w:r w:rsidR="007B5C97">
              <w:t xml:space="preserve"> of </w:t>
            </w:r>
            <w:proofErr w:type="spellStart"/>
            <w:r w:rsidR="007B5C97">
              <w:t>conduct</w:t>
            </w:r>
            <w:proofErr w:type="spellEnd"/>
            <w:r w:rsidR="007B5C97">
              <w:t xml:space="preserve"> and </w:t>
            </w:r>
            <w:proofErr w:type="spellStart"/>
            <w:r w:rsidR="007B5C97">
              <w:t>tongue</w:t>
            </w:r>
            <w:proofErr w:type="spellEnd"/>
            <w:r>
              <w:t>:</w:t>
            </w:r>
            <w:r w:rsidRPr="007B1825">
              <w:t xml:space="preserve"> </w:t>
            </w:r>
            <w:proofErr w:type="spellStart"/>
            <w:r w:rsidR="007B5C97">
              <w:t>taking</w:t>
            </w:r>
            <w:proofErr w:type="spellEnd"/>
            <w:r w:rsidR="007B5C97">
              <w:t xml:space="preserve"> and </w:t>
            </w:r>
            <w:proofErr w:type="spellStart"/>
            <w:r w:rsidR="007B5C97">
              <w:t>yielding</w:t>
            </w:r>
            <w:proofErr w:type="spellEnd"/>
            <w:r w:rsidR="007B5C97">
              <w:t xml:space="preserve"> </w:t>
            </w:r>
            <w:proofErr w:type="spellStart"/>
            <w:r w:rsidR="007B5C97">
              <w:t>the</w:t>
            </w:r>
            <w:proofErr w:type="spellEnd"/>
            <w:r w:rsidR="007B5C97">
              <w:t xml:space="preserve"> </w:t>
            </w:r>
            <w:proofErr w:type="spellStart"/>
            <w:r w:rsidR="007B5C97">
              <w:t>floor</w:t>
            </w:r>
            <w:proofErr w:type="spellEnd"/>
            <w:r w:rsidR="007B5C97">
              <w:t xml:space="preserve">, </w:t>
            </w:r>
            <w:proofErr w:type="spellStart"/>
            <w:r w:rsidR="007B5C97">
              <w:t>addressing</w:t>
            </w:r>
            <w:proofErr w:type="spellEnd"/>
            <w:r w:rsidR="007B5C97">
              <w:t xml:space="preserve">, </w:t>
            </w:r>
            <w:proofErr w:type="spellStart"/>
            <w:r w:rsidR="007B5C97">
              <w:t>teleology</w:t>
            </w:r>
            <w:proofErr w:type="spellEnd"/>
            <w:r w:rsidR="007B5C97">
              <w:t xml:space="preserve"> of </w:t>
            </w:r>
            <w:proofErr w:type="spellStart"/>
            <w:r w:rsidR="007B5C97">
              <w:t>the</w:t>
            </w:r>
            <w:proofErr w:type="spellEnd"/>
            <w:r w:rsidR="007B5C97">
              <w:t xml:space="preserve"> </w:t>
            </w:r>
            <w:proofErr w:type="spellStart"/>
            <w:r w:rsidR="007B5C97">
              <w:t>speech</w:t>
            </w:r>
            <w:proofErr w:type="spellEnd"/>
            <w:r w:rsidR="007B5C97">
              <w:t xml:space="preserve"> </w:t>
            </w:r>
            <w:proofErr w:type="spellStart"/>
            <w:r w:rsidR="007B5C97">
              <w:t>act</w:t>
            </w:r>
            <w:proofErr w:type="spellEnd"/>
            <w:r w:rsidR="007B5C97">
              <w:t xml:space="preserve">, </w:t>
            </w:r>
            <w:proofErr w:type="spellStart"/>
            <w:r w:rsidR="007B5C97">
              <w:t>paying</w:t>
            </w:r>
            <w:proofErr w:type="spellEnd"/>
            <w:r w:rsidR="007B5C97">
              <w:t xml:space="preserve"> </w:t>
            </w:r>
            <w:proofErr w:type="spellStart"/>
            <w:r w:rsidR="007B5C97">
              <w:t>attention</w:t>
            </w:r>
            <w:proofErr w:type="spellEnd"/>
            <w:r w:rsidR="007B5C97">
              <w:t xml:space="preserve"> and </w:t>
            </w:r>
            <w:proofErr w:type="spellStart"/>
            <w:r w:rsidR="007B5C97">
              <w:t>note</w:t>
            </w:r>
            <w:proofErr w:type="spellEnd"/>
            <w:r w:rsidR="007B5C97">
              <w:t xml:space="preserve"> </w:t>
            </w:r>
            <w:proofErr w:type="spellStart"/>
            <w:r w:rsidR="007B5C97">
              <w:t>taking</w:t>
            </w:r>
            <w:proofErr w:type="spellEnd"/>
            <w:r w:rsidR="007B5C97">
              <w:t xml:space="preserve"> </w:t>
            </w:r>
            <w:proofErr w:type="spellStart"/>
            <w:r w:rsidR="007B5C97">
              <w:t>techniques</w:t>
            </w:r>
            <w:proofErr w:type="spellEnd"/>
            <w:r w:rsidR="007B5C97">
              <w:t xml:space="preserve">; </w:t>
            </w:r>
            <w:proofErr w:type="spellStart"/>
            <w:r w:rsidR="007B5C97">
              <w:t>situational</w:t>
            </w:r>
            <w:proofErr w:type="spellEnd"/>
            <w:r w:rsidR="007B5C97">
              <w:t xml:space="preserve"> </w:t>
            </w:r>
            <w:proofErr w:type="spellStart"/>
            <w:r w:rsidR="007B5C97">
              <w:t>exercises</w:t>
            </w:r>
            <w:proofErr w:type="spellEnd"/>
            <w:r w:rsidR="007B5C97">
              <w:t>;</w:t>
            </w:r>
          </w:p>
          <w:p w:rsidR="008546FF" w:rsidRPr="007B1825" w:rsidRDefault="008546FF" w:rsidP="008546FF">
            <w:pPr>
              <w:jc w:val="both"/>
            </w:pPr>
            <w:r w:rsidRPr="007B1825">
              <w:t xml:space="preserve">2. </w:t>
            </w:r>
            <w:proofErr w:type="spellStart"/>
            <w:r w:rsidRPr="00383174">
              <w:t>Cros</w:t>
            </w:r>
            <w:r w:rsidR="007B5C97">
              <w:t>s-examination</w:t>
            </w:r>
            <w:proofErr w:type="spellEnd"/>
            <w:r w:rsidR="007B5C97">
              <w:t xml:space="preserve"> </w:t>
            </w:r>
            <w:proofErr w:type="spellStart"/>
            <w:r w:rsidR="007B5C97">
              <w:t>thinking</w:t>
            </w:r>
            <w:proofErr w:type="spellEnd"/>
            <w:r w:rsidR="007B5C97">
              <w:t xml:space="preserve">, </w:t>
            </w:r>
            <w:proofErr w:type="spellStart"/>
            <w:r w:rsidR="007B5C97">
              <w:t>identif</w:t>
            </w:r>
            <w:r w:rsidR="00597723">
              <w:t>y</w:t>
            </w:r>
            <w:r w:rsidR="008C6A87">
              <w:t>ing</w:t>
            </w:r>
            <w:proofErr w:type="spellEnd"/>
            <w:r w:rsidR="008C6A87">
              <w:t xml:space="preserve"> </w:t>
            </w:r>
            <w:proofErr w:type="spellStart"/>
            <w:r w:rsidR="008C6A87">
              <w:t>the</w:t>
            </w:r>
            <w:proofErr w:type="spellEnd"/>
            <w:r w:rsidR="008C6A87">
              <w:t xml:space="preserve"> </w:t>
            </w:r>
            <w:proofErr w:type="spellStart"/>
            <w:r w:rsidR="008C6A87">
              <w:t>technical</w:t>
            </w:r>
            <w:proofErr w:type="spellEnd"/>
            <w:r w:rsidR="008C6A87">
              <w:t xml:space="preserve"> </w:t>
            </w:r>
            <w:proofErr w:type="spellStart"/>
            <w:r w:rsidR="008C6A87">
              <w:t>elemen</w:t>
            </w:r>
            <w:r w:rsidR="007B5C97">
              <w:t>ts</w:t>
            </w:r>
            <w:proofErr w:type="spellEnd"/>
            <w:r>
              <w:t xml:space="preserve">, </w:t>
            </w:r>
            <w:proofErr w:type="spellStart"/>
            <w:r w:rsidR="007B5C97">
              <w:t>terminology</w:t>
            </w:r>
            <w:proofErr w:type="spellEnd"/>
            <w:r w:rsidR="007B5C97">
              <w:t>;</w:t>
            </w:r>
            <w:r>
              <w:t xml:space="preserve"> </w:t>
            </w:r>
          </w:p>
          <w:p w:rsidR="008546FF" w:rsidRPr="007B1825" w:rsidRDefault="008546FF" w:rsidP="008546FF">
            <w:pPr>
              <w:jc w:val="both"/>
            </w:pPr>
            <w:r w:rsidRPr="007B1825">
              <w:t xml:space="preserve">3. </w:t>
            </w:r>
            <w:proofErr w:type="spellStart"/>
            <w:r>
              <w:t>Cross-examination</w:t>
            </w:r>
            <w:proofErr w:type="spellEnd"/>
            <w:r>
              <w:t xml:space="preserve"> </w:t>
            </w:r>
            <w:proofErr w:type="spellStart"/>
            <w:r>
              <w:t>moot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(CEMC)</w:t>
            </w:r>
            <w:r w:rsidRPr="007B1825">
              <w:t xml:space="preserve">: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structu</w:t>
            </w:r>
            <w:r w:rsidR="00200C7D">
              <w:t>re</w:t>
            </w:r>
            <w:proofErr w:type="spellEnd"/>
            <w:r w:rsidR="00200C7D">
              <w:t xml:space="preserve"> of a </w:t>
            </w:r>
            <w:proofErr w:type="spellStart"/>
            <w:r w:rsidR="00200C7D">
              <w:t>competititon</w:t>
            </w:r>
            <w:proofErr w:type="spellEnd"/>
            <w:r w:rsidR="00200C7D">
              <w:t xml:space="preserve">, </w:t>
            </w:r>
            <w:proofErr w:type="spellStart"/>
            <w:r w:rsidR="00200C7D">
              <w:t>points</w:t>
            </w:r>
            <w:proofErr w:type="spellEnd"/>
            <w:r w:rsidR="00200C7D">
              <w:t xml:space="preserve"> </w:t>
            </w:r>
            <w:proofErr w:type="spellStart"/>
            <w:r w:rsidR="00597723">
              <w:t>considered</w:t>
            </w:r>
            <w:proofErr w:type="spellEnd"/>
            <w:r w:rsidR="00597723">
              <w:t xml:space="preserve"> in </w:t>
            </w:r>
            <w:proofErr w:type="spellStart"/>
            <w:r w:rsidR="00597723">
              <w:t>evaluation</w:t>
            </w:r>
            <w:proofErr w:type="spellEnd"/>
            <w:r w:rsidRPr="007B1825">
              <w:t xml:space="preserve">: </w:t>
            </w:r>
            <w:proofErr w:type="spellStart"/>
            <w:r w:rsidR="00597723">
              <w:t>let</w:t>
            </w:r>
            <w:proofErr w:type="spellEnd"/>
            <w:r w:rsidR="00597723">
              <w:t xml:space="preserve"> </w:t>
            </w:r>
            <w:proofErr w:type="spellStart"/>
            <w:r w:rsidR="00597723">
              <w:t>us</w:t>
            </w:r>
            <w:proofErr w:type="spellEnd"/>
            <w:r w:rsidR="00597723">
              <w:t xml:space="preserve"> </w:t>
            </w:r>
            <w:proofErr w:type="spellStart"/>
            <w:r w:rsidR="00597723">
              <w:t>identify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winner</w:t>
            </w:r>
            <w:proofErr w:type="spellEnd"/>
            <w:r>
              <w:t>;</w:t>
            </w:r>
          </w:p>
          <w:p w:rsidR="008546FF" w:rsidRPr="007B1825" w:rsidRDefault="008546FF" w:rsidP="008546FF">
            <w:pPr>
              <w:jc w:val="both"/>
            </w:pPr>
            <w:r w:rsidRPr="007B1825">
              <w:t xml:space="preserve">4. </w:t>
            </w:r>
            <w:proofErr w:type="spellStart"/>
            <w:r w:rsidR="00597723">
              <w:t>Acquisition</w:t>
            </w:r>
            <w:proofErr w:type="spellEnd"/>
            <w:r w:rsidRPr="007B1825">
              <w:t xml:space="preserve">: </w:t>
            </w:r>
            <w:proofErr w:type="spellStart"/>
            <w:r w:rsidR="00597723">
              <w:t>analyzing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documents</w:t>
            </w:r>
            <w:proofErr w:type="spellEnd"/>
            <w:r w:rsidR="00597723">
              <w:t xml:space="preserve"> </w:t>
            </w:r>
            <w:proofErr w:type="spellStart"/>
            <w:r w:rsidR="00597723">
              <w:t>at</w:t>
            </w:r>
            <w:proofErr w:type="spellEnd"/>
            <w:r w:rsidR="00597723">
              <w:t xml:space="preserve"> </w:t>
            </w:r>
            <w:proofErr w:type="spellStart"/>
            <w:r w:rsidR="00597723">
              <w:t>our</w:t>
            </w:r>
            <w:proofErr w:type="spellEnd"/>
            <w:r w:rsidR="00597723">
              <w:t xml:space="preserve"> </w:t>
            </w:r>
            <w:proofErr w:type="spellStart"/>
            <w:r w:rsidR="00597723">
              <w:t>disposal</w:t>
            </w:r>
            <w:proofErr w:type="spellEnd"/>
            <w:r w:rsidR="00597723">
              <w:t xml:space="preserve"> </w:t>
            </w:r>
            <w:r>
              <w:t>(</w:t>
            </w:r>
            <w:proofErr w:type="spellStart"/>
            <w:r w:rsidR="00597723">
              <w:t>contracts</w:t>
            </w:r>
            <w:proofErr w:type="spellEnd"/>
            <w:r w:rsidR="00597723">
              <w:t xml:space="preserve">, </w:t>
            </w:r>
            <w:proofErr w:type="spellStart"/>
            <w:r w:rsidR="00597723">
              <w:t>witness</w:t>
            </w:r>
            <w:proofErr w:type="spellEnd"/>
            <w:r w:rsidR="00597723">
              <w:t xml:space="preserve"> </w:t>
            </w:r>
            <w:proofErr w:type="spellStart"/>
            <w:r w:rsidR="00597723">
              <w:t>testimonies</w:t>
            </w:r>
            <w:proofErr w:type="spellEnd"/>
            <w:r w:rsidR="00597723">
              <w:t xml:space="preserve">, </w:t>
            </w:r>
            <w:proofErr w:type="spellStart"/>
            <w:r w:rsidR="00597723">
              <w:t>a.s.o</w:t>
            </w:r>
            <w:proofErr w:type="spellEnd"/>
            <w:r w:rsidR="00597723">
              <w:t>.</w:t>
            </w:r>
            <w:r>
              <w:t xml:space="preserve">); </w:t>
            </w:r>
            <w:proofErr w:type="spellStart"/>
            <w:r w:rsidR="00597723">
              <w:t>practicing</w:t>
            </w:r>
            <w:proofErr w:type="spellEnd"/>
            <w:r w:rsidR="00597723">
              <w:t xml:space="preserve"> </w:t>
            </w:r>
            <w:proofErr w:type="spellStart"/>
            <w:r w:rsidR="00597723">
              <w:t>as</w:t>
            </w:r>
            <w:proofErr w:type="spellEnd"/>
            <w:r w:rsidR="00597723">
              <w:t xml:space="preserve"> of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r w:rsidR="00200C7D">
              <w:t xml:space="preserve">script of </w:t>
            </w:r>
            <w:proofErr w:type="spellStart"/>
            <w:r w:rsidR="00200C7D">
              <w:t>the</w:t>
            </w:r>
            <w:proofErr w:type="spellEnd"/>
            <w:r w:rsidR="00200C7D">
              <w:t xml:space="preserve"> </w:t>
            </w:r>
            <w:proofErr w:type="spellStart"/>
            <w:r w:rsidR="00200C7D">
              <w:t>competititon</w:t>
            </w:r>
            <w:proofErr w:type="spellEnd"/>
            <w:r w:rsidR="00200C7D">
              <w:t xml:space="preserve">, </w:t>
            </w:r>
            <w:proofErr w:type="spellStart"/>
            <w:r w:rsidR="00200C7D">
              <w:t>pre</w:t>
            </w:r>
            <w:r w:rsidR="00597723">
              <w:t>liminary</w:t>
            </w:r>
            <w:proofErr w:type="spellEnd"/>
            <w:r w:rsidR="00597723">
              <w:t xml:space="preserve"> </w:t>
            </w:r>
            <w:proofErr w:type="spellStart"/>
            <w:r w:rsidR="00597723">
              <w:t>role</w:t>
            </w:r>
            <w:proofErr w:type="spellEnd"/>
            <w:r w:rsidR="00597723">
              <w:t xml:space="preserve"> </w:t>
            </w:r>
            <w:proofErr w:type="spellStart"/>
            <w:r w:rsidR="00597723">
              <w:t>cast</w:t>
            </w:r>
            <w:proofErr w:type="spellEnd"/>
            <w:r w:rsidRPr="007B1825">
              <w:t>.</w:t>
            </w:r>
          </w:p>
          <w:p w:rsidR="008546FF" w:rsidRDefault="008F3997" w:rsidP="008546FF">
            <w:pPr>
              <w:jc w:val="both"/>
            </w:pPr>
            <w:r>
              <w:t xml:space="preserve">5-6 </w:t>
            </w:r>
            <w:proofErr w:type="spellStart"/>
            <w:r w:rsidR="00597723">
              <w:t>Simulation</w:t>
            </w:r>
            <w:proofErr w:type="spellEnd"/>
            <w:r w:rsidR="008546FF" w:rsidRPr="007B1825">
              <w:t xml:space="preserve">: </w:t>
            </w:r>
            <w:proofErr w:type="spellStart"/>
            <w:r w:rsidR="00597723">
              <w:t>analyzing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documents</w:t>
            </w:r>
            <w:proofErr w:type="spellEnd"/>
            <w:r w:rsidR="00597723">
              <w:t xml:space="preserve"> </w:t>
            </w:r>
            <w:proofErr w:type="spellStart"/>
            <w:r w:rsidR="00597723">
              <w:t>at</w:t>
            </w:r>
            <w:proofErr w:type="spellEnd"/>
            <w:r w:rsidR="00597723">
              <w:t xml:space="preserve"> </w:t>
            </w:r>
            <w:proofErr w:type="spellStart"/>
            <w:r w:rsidR="00597723">
              <w:t>our</w:t>
            </w:r>
            <w:proofErr w:type="spellEnd"/>
            <w:r w:rsidR="00597723">
              <w:t xml:space="preserve"> </w:t>
            </w:r>
            <w:proofErr w:type="spellStart"/>
            <w:r w:rsidR="00597723">
              <w:t>disposal</w:t>
            </w:r>
            <w:proofErr w:type="spellEnd"/>
            <w:r w:rsidR="00597723">
              <w:t xml:space="preserve"> (</w:t>
            </w:r>
            <w:proofErr w:type="spellStart"/>
            <w:r w:rsidR="00597723">
              <w:t>contracts</w:t>
            </w:r>
            <w:proofErr w:type="spellEnd"/>
            <w:r w:rsidR="00597723">
              <w:t xml:space="preserve">, </w:t>
            </w:r>
            <w:proofErr w:type="spellStart"/>
            <w:r w:rsidR="00597723">
              <w:t>witness</w:t>
            </w:r>
            <w:proofErr w:type="spellEnd"/>
            <w:r w:rsidR="00597723">
              <w:t xml:space="preserve"> </w:t>
            </w:r>
            <w:proofErr w:type="spellStart"/>
            <w:r w:rsidR="00597723">
              <w:t>testimonies</w:t>
            </w:r>
            <w:proofErr w:type="spellEnd"/>
            <w:r w:rsidR="00597723">
              <w:t xml:space="preserve">, </w:t>
            </w:r>
            <w:proofErr w:type="spellStart"/>
            <w:r w:rsidR="00597723">
              <w:t>a.s.o</w:t>
            </w:r>
            <w:proofErr w:type="spellEnd"/>
            <w:r w:rsidR="00597723">
              <w:t xml:space="preserve">.); </w:t>
            </w:r>
            <w:proofErr w:type="spellStart"/>
            <w:r w:rsidR="00597723">
              <w:t>practicing</w:t>
            </w:r>
            <w:proofErr w:type="spellEnd"/>
            <w:r w:rsidR="00597723">
              <w:t xml:space="preserve"> </w:t>
            </w:r>
            <w:proofErr w:type="spellStart"/>
            <w:r w:rsidR="00597723">
              <w:t>as</w:t>
            </w:r>
            <w:proofErr w:type="spellEnd"/>
            <w:r w:rsidR="00597723">
              <w:t xml:space="preserve"> of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r>
              <w:t xml:space="preserve">script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competititon</w:t>
            </w:r>
            <w:proofErr w:type="spellEnd"/>
            <w:r>
              <w:t xml:space="preserve">, </w:t>
            </w:r>
            <w:proofErr w:type="spellStart"/>
            <w:r>
              <w:t>pre</w:t>
            </w:r>
            <w:r w:rsidR="00597723">
              <w:t>liminary</w:t>
            </w:r>
            <w:proofErr w:type="spellEnd"/>
            <w:r w:rsidR="00597723">
              <w:t xml:space="preserve"> </w:t>
            </w:r>
            <w:proofErr w:type="spellStart"/>
            <w:r w:rsidR="00597723">
              <w:t>role</w:t>
            </w:r>
            <w:proofErr w:type="spellEnd"/>
            <w:r w:rsidR="00597723">
              <w:t xml:space="preserve"> </w:t>
            </w:r>
            <w:proofErr w:type="spellStart"/>
            <w:r w:rsidR="00597723">
              <w:t>cast</w:t>
            </w:r>
            <w:proofErr w:type="spellEnd"/>
            <w:r w:rsidR="00A057D2">
              <w:t>;</w:t>
            </w:r>
          </w:p>
          <w:p w:rsidR="008546FF" w:rsidRPr="007B1825" w:rsidRDefault="008546FF" w:rsidP="008546FF">
            <w:pPr>
              <w:jc w:val="both"/>
            </w:pPr>
            <w:r>
              <w:t xml:space="preserve">7. PAX MOOT COURT;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features</w:t>
            </w:r>
            <w:proofErr w:type="spellEnd"/>
            <w:r w:rsidR="00597723">
              <w:t xml:space="preserve"> of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moot</w:t>
            </w:r>
            <w:proofErr w:type="spellEnd"/>
            <w:r w:rsidR="00597723">
              <w:t xml:space="preserve"> </w:t>
            </w:r>
            <w:proofErr w:type="spellStart"/>
            <w:r w:rsidR="00597723">
              <w:t>court</w:t>
            </w:r>
            <w:proofErr w:type="spellEnd"/>
            <w:r w:rsidR="00597723">
              <w:t xml:space="preserve"> </w:t>
            </w:r>
            <w:proofErr w:type="spellStart"/>
            <w:r w:rsidR="00597723">
              <w:t>competititon</w:t>
            </w:r>
            <w:proofErr w:type="spellEnd"/>
            <w:r>
              <w:t xml:space="preserve">, </w:t>
            </w:r>
            <w:proofErr w:type="spellStart"/>
            <w:r>
              <w:t>e</w:t>
            </w:r>
            <w:r w:rsidR="00597723">
              <w:t>valuation</w:t>
            </w:r>
            <w:proofErr w:type="spellEnd"/>
            <w:r w:rsidR="00597723">
              <w:t xml:space="preserve"> </w:t>
            </w:r>
            <w:proofErr w:type="spellStart"/>
            <w:r w:rsidR="00597723">
              <w:t>criteria</w:t>
            </w:r>
            <w:proofErr w:type="spellEnd"/>
            <w:r>
              <w:t xml:space="preserve">, </w:t>
            </w:r>
            <w:proofErr w:type="spellStart"/>
            <w:r w:rsidR="00597723">
              <w:t>pleadings</w:t>
            </w:r>
            <w:proofErr w:type="spellEnd"/>
            <w:r w:rsidR="00597723">
              <w:t>, videos;</w:t>
            </w:r>
          </w:p>
          <w:p w:rsidR="008546FF" w:rsidRPr="007B1825" w:rsidRDefault="008546FF" w:rsidP="008546FF">
            <w:pPr>
              <w:jc w:val="both"/>
            </w:pPr>
            <w:r w:rsidRPr="007B1825">
              <w:t xml:space="preserve">8. </w:t>
            </w:r>
            <w:r>
              <w:t xml:space="preserve">PAX MOOT </w:t>
            </w:r>
            <w:proofErr w:type="spellStart"/>
            <w:r w:rsidR="00597723">
              <w:t>thinking</w:t>
            </w:r>
            <w:proofErr w:type="spellEnd"/>
            <w:r w:rsidR="00597723">
              <w:t xml:space="preserve">, </w:t>
            </w:r>
            <w:proofErr w:type="spellStart"/>
            <w:r w:rsidR="00597723">
              <w:t>identifying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technical</w:t>
            </w:r>
            <w:proofErr w:type="spellEnd"/>
            <w:r w:rsidR="00597723">
              <w:t xml:space="preserve"> </w:t>
            </w:r>
            <w:proofErr w:type="spellStart"/>
            <w:r w:rsidR="00597723">
              <w:t>elements</w:t>
            </w:r>
            <w:proofErr w:type="spellEnd"/>
            <w:r w:rsidR="00597723">
              <w:t xml:space="preserve">,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case</w:t>
            </w:r>
            <w:proofErr w:type="spellEnd"/>
            <w:r w:rsidR="00597723">
              <w:t xml:space="preserve">; </w:t>
            </w:r>
          </w:p>
          <w:p w:rsidR="008546FF" w:rsidRDefault="008546FF" w:rsidP="008546FF">
            <w:pPr>
              <w:jc w:val="both"/>
            </w:pPr>
            <w:r w:rsidRPr="007B1825">
              <w:t xml:space="preserve">9. </w:t>
            </w:r>
            <w:proofErr w:type="spellStart"/>
            <w:r w:rsidR="00597723">
              <w:t>Digesting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written</w:t>
            </w:r>
            <w:proofErr w:type="spellEnd"/>
            <w:r w:rsidR="00597723">
              <w:t xml:space="preserve"> </w:t>
            </w:r>
            <w:proofErr w:type="spellStart"/>
            <w:r w:rsidR="00597723">
              <w:t>material</w:t>
            </w:r>
            <w:proofErr w:type="spellEnd"/>
            <w:r>
              <w:t>;</w:t>
            </w:r>
            <w:r w:rsidRPr="007B1825">
              <w:t xml:space="preserve"> </w:t>
            </w:r>
            <w:proofErr w:type="spellStart"/>
            <w:r w:rsidR="00597723">
              <w:t>understanding</w:t>
            </w:r>
            <w:proofErr w:type="spellEnd"/>
            <w:r w:rsidR="00597723">
              <w:t xml:space="preserve"> and </w:t>
            </w:r>
            <w:proofErr w:type="spellStart"/>
            <w:r w:rsidR="00597723">
              <w:t>drafting</w:t>
            </w:r>
            <w:proofErr w:type="spellEnd"/>
            <w:r w:rsidR="00597723">
              <w:t xml:space="preserve"> </w:t>
            </w:r>
            <w:proofErr w:type="spellStart"/>
            <w:r w:rsidR="00597723">
              <w:t>written</w:t>
            </w:r>
            <w:proofErr w:type="spellEnd"/>
            <w:r w:rsidR="00597723">
              <w:t xml:space="preserve"> </w:t>
            </w:r>
            <w:proofErr w:type="spellStart"/>
            <w:r w:rsidR="00597723">
              <w:t>texts</w:t>
            </w:r>
            <w:proofErr w:type="spellEnd"/>
            <w:r w:rsidR="00597723">
              <w:t xml:space="preserve"> versus </w:t>
            </w:r>
            <w:proofErr w:type="spellStart"/>
            <w:r w:rsidR="00597723">
              <w:t>oral</w:t>
            </w:r>
            <w:proofErr w:type="spellEnd"/>
            <w:r w:rsidR="00597723">
              <w:t xml:space="preserve"> </w:t>
            </w:r>
            <w:proofErr w:type="spellStart"/>
            <w:r w:rsidR="00597723">
              <w:t>ones</w:t>
            </w:r>
            <w:proofErr w:type="spellEnd"/>
            <w:r>
              <w:t xml:space="preserve">: </w:t>
            </w:r>
            <w:proofErr w:type="spellStart"/>
            <w:r w:rsidR="00597723">
              <w:t>stylistic</w:t>
            </w:r>
            <w:proofErr w:type="spellEnd"/>
            <w:r w:rsidR="00597723">
              <w:t xml:space="preserve"> </w:t>
            </w:r>
            <w:proofErr w:type="spellStart"/>
            <w:r w:rsidR="00597723">
              <w:t>marks</w:t>
            </w:r>
            <w:proofErr w:type="spellEnd"/>
            <w:r w:rsidR="00597723">
              <w:t xml:space="preserve"> of </w:t>
            </w:r>
            <w:proofErr w:type="spellStart"/>
            <w:r w:rsidR="00597723">
              <w:t>pleadings</w:t>
            </w:r>
            <w:proofErr w:type="spellEnd"/>
            <w:r w:rsidR="00597723">
              <w:t xml:space="preserve"> and </w:t>
            </w:r>
            <w:proofErr w:type="spellStart"/>
            <w:r w:rsidR="00597723">
              <w:t>memoranda</w:t>
            </w:r>
            <w:proofErr w:type="spellEnd"/>
            <w:r>
              <w:t>;</w:t>
            </w:r>
          </w:p>
          <w:p w:rsidR="008546FF" w:rsidRPr="007B1825" w:rsidRDefault="008546FF" w:rsidP="008546FF">
            <w:pPr>
              <w:jc w:val="both"/>
            </w:pPr>
            <w:r>
              <w:t xml:space="preserve">10. </w:t>
            </w:r>
            <w:proofErr w:type="spellStart"/>
            <w:r w:rsidR="00597723">
              <w:t>Analyzing</w:t>
            </w:r>
            <w:proofErr w:type="spellEnd"/>
            <w:r w:rsidR="00597723">
              <w:t xml:space="preserve"> </w:t>
            </w:r>
            <w:proofErr w:type="spellStart"/>
            <w:r w:rsidR="00597723">
              <w:t>memoranda</w:t>
            </w:r>
            <w:proofErr w:type="spellEnd"/>
            <w:r w:rsidR="00597723">
              <w:t xml:space="preserve">, </w:t>
            </w:r>
            <w:proofErr w:type="spellStart"/>
            <w:r w:rsidR="00597723">
              <w:t>processing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components</w:t>
            </w:r>
            <w:proofErr w:type="spellEnd"/>
            <w:r w:rsidR="00597723">
              <w:t xml:space="preserve">, </w:t>
            </w:r>
            <w:proofErr w:type="spellStart"/>
            <w:r w:rsidR="00597723">
              <w:t>learning</w:t>
            </w:r>
            <w:proofErr w:type="spellEnd"/>
            <w:r w:rsidR="00597723">
              <w:t xml:space="preserve"> </w:t>
            </w:r>
            <w:proofErr w:type="spellStart"/>
            <w:r w:rsidR="00597723">
              <w:t>the</w:t>
            </w:r>
            <w:proofErr w:type="spellEnd"/>
            <w:r w:rsidR="00597723">
              <w:t xml:space="preserve"> </w:t>
            </w:r>
            <w:proofErr w:type="spellStart"/>
            <w:r w:rsidR="00597723">
              <w:t>pattern</w:t>
            </w:r>
            <w:proofErr w:type="spellEnd"/>
            <w:r w:rsidR="00793B1B">
              <w:t>,</w:t>
            </w:r>
            <w:r>
              <w:t xml:space="preserve"> </w:t>
            </w:r>
            <w:proofErr w:type="spellStart"/>
            <w:r w:rsidR="00597723">
              <w:t>terminology</w:t>
            </w:r>
            <w:proofErr w:type="spellEnd"/>
            <w:r w:rsidR="00597723">
              <w:t>;</w:t>
            </w:r>
          </w:p>
          <w:p w:rsidR="008546FF" w:rsidRPr="007B1825" w:rsidRDefault="008546FF" w:rsidP="008546FF">
            <w:pPr>
              <w:jc w:val="both"/>
            </w:pPr>
            <w:r>
              <w:t>11</w:t>
            </w:r>
            <w:r w:rsidRPr="007B1825">
              <w:t xml:space="preserve">. </w:t>
            </w:r>
            <w:r w:rsidR="00597723">
              <w:t xml:space="preserve">The </w:t>
            </w:r>
            <w:proofErr w:type="spellStart"/>
            <w:r w:rsidR="00597723">
              <w:t>structure</w:t>
            </w:r>
            <w:proofErr w:type="spellEnd"/>
            <w:r w:rsidR="00597723">
              <w:t xml:space="preserve"> of a </w:t>
            </w:r>
            <w:proofErr w:type="spellStart"/>
            <w:r w:rsidR="00597723">
              <w:t>p</w:t>
            </w:r>
            <w:r w:rsidR="00087466">
              <w:t>leading</w:t>
            </w:r>
            <w:proofErr w:type="spellEnd"/>
            <w:r w:rsidR="00087466">
              <w:t xml:space="preserve">, </w:t>
            </w:r>
            <w:proofErr w:type="spellStart"/>
            <w:r w:rsidR="00087466">
              <w:t>how</w:t>
            </w:r>
            <w:proofErr w:type="spellEnd"/>
            <w:r w:rsidR="00087466">
              <w:t xml:space="preserve"> </w:t>
            </w:r>
            <w:proofErr w:type="spellStart"/>
            <w:r w:rsidR="00087466">
              <w:t>to</w:t>
            </w:r>
            <w:proofErr w:type="spellEnd"/>
            <w:r w:rsidR="00087466">
              <w:t xml:space="preserve"> </w:t>
            </w:r>
            <w:proofErr w:type="spellStart"/>
            <w:r w:rsidR="00087466">
              <w:t>pose</w:t>
            </w:r>
            <w:proofErr w:type="spellEnd"/>
            <w:r w:rsidR="00597723">
              <w:t xml:space="preserve"> </w:t>
            </w:r>
            <w:proofErr w:type="spellStart"/>
            <w:r w:rsidR="00597723">
              <w:t>appropriate</w:t>
            </w:r>
            <w:proofErr w:type="spellEnd"/>
            <w:r w:rsidR="00597723">
              <w:t xml:space="preserve"> and </w:t>
            </w:r>
            <w:proofErr w:type="spellStart"/>
            <w:r w:rsidR="00597723">
              <w:t>purposeful</w:t>
            </w:r>
            <w:proofErr w:type="spellEnd"/>
            <w:r w:rsidR="00597723">
              <w:t xml:space="preserve"> </w:t>
            </w:r>
            <w:proofErr w:type="spellStart"/>
            <w:r w:rsidR="00597723">
              <w:t>questions</w:t>
            </w:r>
            <w:proofErr w:type="spellEnd"/>
            <w:r w:rsidR="00087466">
              <w:t xml:space="preserve">, </w:t>
            </w:r>
            <w:proofErr w:type="spellStart"/>
            <w:r w:rsidR="00087466">
              <w:t>cr</w:t>
            </w:r>
            <w:r w:rsidR="00793B1B">
              <w:t>oss-questioning</w:t>
            </w:r>
            <w:proofErr w:type="spellEnd"/>
            <w:r w:rsidR="00793B1B">
              <w:t xml:space="preserve"> and </w:t>
            </w:r>
            <w:proofErr w:type="spellStart"/>
            <w:r w:rsidR="00793B1B">
              <w:t>answering</w:t>
            </w:r>
            <w:proofErr w:type="spellEnd"/>
            <w:r w:rsidR="00793B1B">
              <w:t xml:space="preserve"> </w:t>
            </w:r>
            <w:proofErr w:type="spellStart"/>
            <w:r w:rsidR="00087466">
              <w:t>without</w:t>
            </w:r>
            <w:proofErr w:type="spellEnd"/>
            <w:r w:rsidR="00087466">
              <w:t xml:space="preserve"> </w:t>
            </w:r>
            <w:proofErr w:type="spellStart"/>
            <w:r w:rsidR="00087466">
              <w:t>agression</w:t>
            </w:r>
            <w:proofErr w:type="spellEnd"/>
            <w:r w:rsidR="00087466">
              <w:t xml:space="preserve">; video </w:t>
            </w:r>
            <w:proofErr w:type="spellStart"/>
            <w:r w:rsidR="00087466">
              <w:t>examples</w:t>
            </w:r>
            <w:proofErr w:type="spellEnd"/>
            <w:r w:rsidR="00087466">
              <w:t xml:space="preserve">; </w:t>
            </w:r>
            <w:r w:rsidR="00597723">
              <w:t xml:space="preserve"> </w:t>
            </w:r>
          </w:p>
          <w:p w:rsidR="008546FF" w:rsidRPr="007B1825" w:rsidRDefault="008546FF" w:rsidP="008546FF">
            <w:pPr>
              <w:jc w:val="both"/>
            </w:pPr>
            <w:r>
              <w:t>12</w:t>
            </w:r>
            <w:r w:rsidRPr="007B1825">
              <w:t xml:space="preserve">. </w:t>
            </w:r>
            <w:proofErr w:type="spellStart"/>
            <w:r w:rsidR="00087466">
              <w:t>Live</w:t>
            </w:r>
            <w:proofErr w:type="spellEnd"/>
            <w:r w:rsidR="00087466">
              <w:t xml:space="preserve"> </w:t>
            </w:r>
            <w:proofErr w:type="spellStart"/>
            <w:r w:rsidR="00087466">
              <w:t>exercise</w:t>
            </w:r>
            <w:proofErr w:type="spellEnd"/>
            <w:r w:rsidR="00087466">
              <w:t xml:space="preserve">, </w:t>
            </w:r>
            <w:proofErr w:type="spellStart"/>
            <w:r w:rsidR="00087466">
              <w:t>aggregating</w:t>
            </w:r>
            <w:proofErr w:type="spellEnd"/>
            <w:r w:rsidR="00087466">
              <w:t xml:space="preserve"> </w:t>
            </w:r>
            <w:proofErr w:type="spellStart"/>
            <w:r w:rsidR="00087466">
              <w:t>the</w:t>
            </w:r>
            <w:proofErr w:type="spellEnd"/>
            <w:r w:rsidR="00087466">
              <w:t xml:space="preserve"> </w:t>
            </w:r>
            <w:proofErr w:type="spellStart"/>
            <w:r w:rsidR="00087466">
              <w:t>experiences</w:t>
            </w:r>
            <w:proofErr w:type="spellEnd"/>
            <w:r w:rsidR="00087466">
              <w:t xml:space="preserve">; </w:t>
            </w:r>
            <w:proofErr w:type="spellStart"/>
            <w:r w:rsidR="00087466">
              <w:t>course</w:t>
            </w:r>
            <w:proofErr w:type="spellEnd"/>
            <w:r w:rsidR="00087466">
              <w:t xml:space="preserve"> </w:t>
            </w:r>
            <w:proofErr w:type="spellStart"/>
            <w:r w:rsidR="00087466">
              <w:t>evaluation</w:t>
            </w:r>
            <w:proofErr w:type="spellEnd"/>
            <w:r w:rsidR="00087466">
              <w:t xml:space="preserve">; </w:t>
            </w:r>
            <w:proofErr w:type="spellStart"/>
            <w:r w:rsidR="00087466">
              <w:t>opportunities</w:t>
            </w:r>
            <w:proofErr w:type="spellEnd"/>
            <w:r w:rsidR="00087466">
              <w:t xml:space="preserve"> </w:t>
            </w:r>
            <w:proofErr w:type="spellStart"/>
            <w:r w:rsidR="00087466">
              <w:t>for</w:t>
            </w:r>
            <w:proofErr w:type="spellEnd"/>
            <w:r w:rsidR="00087466">
              <w:t xml:space="preserve"> </w:t>
            </w:r>
            <w:proofErr w:type="spellStart"/>
            <w:r w:rsidR="00087466">
              <w:t>the</w:t>
            </w:r>
            <w:proofErr w:type="spellEnd"/>
            <w:r w:rsidR="00087466">
              <w:t xml:space="preserve"> </w:t>
            </w:r>
            <w:proofErr w:type="spellStart"/>
            <w:r w:rsidR="00087466">
              <w:t>future</w:t>
            </w:r>
            <w:proofErr w:type="spellEnd"/>
            <w:r w:rsidR="004F0016">
              <w:t>;</w:t>
            </w:r>
            <w:r w:rsidR="00087466">
              <w:t xml:space="preserve"> </w:t>
            </w:r>
          </w:p>
          <w:p w:rsidR="007F12FA" w:rsidRPr="00E45CAC" w:rsidRDefault="007F12FA" w:rsidP="00D976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F12FA" w:rsidRPr="00F46DDF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Pr="00F46DDF" w:rsidRDefault="00F46DD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Testing</w:t>
            </w:r>
            <w:r w:rsidR="00C87EFA" w:rsidRPr="00F46DDF">
              <w:rPr>
                <w:rFonts w:asciiTheme="minorHAnsi" w:hAnsiTheme="minorHAnsi" w:cstheme="minorHAnsi"/>
                <w:b/>
                <w:lang w:val="en-GB"/>
              </w:rPr>
              <w:t xml:space="preserve"> and evaluation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0"/>
            </w:r>
          </w:p>
        </w:tc>
        <w:tc>
          <w:tcPr>
            <w:tcW w:w="7087" w:type="dxa"/>
            <w:gridSpan w:val="3"/>
            <w:vAlign w:val="center"/>
          </w:tcPr>
          <w:p w:rsidR="007F12FA" w:rsidRPr="008546FF" w:rsidRDefault="00716F81" w:rsidP="005C782E">
            <w:pPr>
              <w:jc w:val="both"/>
              <w:rPr>
                <w:b/>
              </w:rPr>
            </w:pP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EC0CFB">
              <w:t>he</w:t>
            </w:r>
            <w:proofErr w:type="spellEnd"/>
            <w:r w:rsidR="00EC0CFB">
              <w:t xml:space="preserve"> main </w:t>
            </w:r>
            <w:proofErr w:type="spellStart"/>
            <w:r w:rsidR="00EC0CFB">
              <w:t>feature</w:t>
            </w:r>
            <w:proofErr w:type="spellEnd"/>
            <w:r w:rsidR="00EC0CFB">
              <w:t xml:space="preserve"> of </w:t>
            </w:r>
            <w:proofErr w:type="spellStart"/>
            <w:r w:rsidR="00EC0CFB">
              <w:t>the</w:t>
            </w:r>
            <w:proofErr w:type="spellEnd"/>
            <w:r w:rsidR="00EC0CFB">
              <w:t xml:space="preserve"> </w:t>
            </w:r>
            <w:proofErr w:type="spellStart"/>
            <w:r w:rsidR="00EC0CFB">
              <w:t>subject</w:t>
            </w:r>
            <w:proofErr w:type="spellEnd"/>
            <w:r w:rsidR="00EC0CFB">
              <w:t xml:space="preserve"> is </w:t>
            </w:r>
            <w:proofErr w:type="spellStart"/>
            <w:r w:rsidR="00EC0CFB">
              <w:t>practical</w:t>
            </w:r>
            <w:proofErr w:type="spellEnd"/>
            <w:r w:rsidR="00EC0CFB">
              <w:t xml:space="preserve">, </w:t>
            </w:r>
            <w:proofErr w:type="spellStart"/>
            <w:r w:rsidR="00EC0CFB">
              <w:t>the</w:t>
            </w:r>
            <w:proofErr w:type="spellEnd"/>
            <w:r w:rsidR="00EC0CFB">
              <w:t xml:space="preserve"> </w:t>
            </w:r>
            <w:proofErr w:type="spellStart"/>
            <w:r w:rsidR="008365A5">
              <w:t>accepted</w:t>
            </w:r>
            <w:proofErr w:type="spellEnd"/>
            <w:r w:rsidR="008365A5">
              <w:t xml:space="preserve"> </w:t>
            </w:r>
            <w:proofErr w:type="spellStart"/>
            <w:r w:rsidR="00EC0CFB">
              <w:t>number</w:t>
            </w:r>
            <w:proofErr w:type="spellEnd"/>
            <w:r w:rsidR="00EC0CFB">
              <w:t xml:space="preserve"> of </w:t>
            </w:r>
            <w:proofErr w:type="spellStart"/>
            <w:r w:rsidR="00EC0CFB">
              <w:t>classes</w:t>
            </w:r>
            <w:proofErr w:type="spellEnd"/>
            <w:r w:rsidR="00EC0CFB">
              <w:t xml:space="preserve"> </w:t>
            </w:r>
            <w:proofErr w:type="spellStart"/>
            <w:r w:rsidR="00EC0CFB">
              <w:t>missed</w:t>
            </w:r>
            <w:proofErr w:type="spellEnd"/>
            <w:r w:rsidR="00EC0CFB">
              <w:t xml:space="preserve"> is </w:t>
            </w:r>
            <w:proofErr w:type="spellStart"/>
            <w:r w:rsidR="00EC0CFB">
              <w:t>one</w:t>
            </w:r>
            <w:proofErr w:type="spellEnd"/>
            <w:r w:rsidR="00EC0CFB">
              <w:t xml:space="preserve">; </w:t>
            </w:r>
            <w:proofErr w:type="spellStart"/>
            <w:r w:rsidR="00EC0CFB">
              <w:t>absenteism</w:t>
            </w:r>
            <w:proofErr w:type="spellEnd"/>
            <w:r w:rsidR="00EC0CFB">
              <w:t xml:space="preserve"> is </w:t>
            </w:r>
            <w:proofErr w:type="spellStart"/>
            <w:r w:rsidR="00EC0CFB">
              <w:t>not</w:t>
            </w:r>
            <w:proofErr w:type="spellEnd"/>
            <w:r w:rsidR="00EC0CFB">
              <w:t xml:space="preserve"> </w:t>
            </w:r>
            <w:proofErr w:type="spellStart"/>
            <w:r w:rsidR="00EC0CFB">
              <w:t>tolerable</w:t>
            </w:r>
            <w:proofErr w:type="spellEnd"/>
            <w:r w:rsidR="008546FF" w:rsidRPr="007B1825">
              <w:t xml:space="preserve">. </w:t>
            </w:r>
            <w:r w:rsidR="00EC0CFB">
              <w:t xml:space="preserve">We </w:t>
            </w:r>
            <w:proofErr w:type="spellStart"/>
            <w:r w:rsidR="00EC0CFB">
              <w:t>expect</w:t>
            </w:r>
            <w:proofErr w:type="spellEnd"/>
            <w:r w:rsidR="00EC0CFB">
              <w:t xml:space="preserve"> </w:t>
            </w:r>
            <w:proofErr w:type="spellStart"/>
            <w:r w:rsidR="00EC0CFB">
              <w:t>participants</w:t>
            </w:r>
            <w:proofErr w:type="spellEnd"/>
            <w:r w:rsidR="00EC0CFB">
              <w:t xml:space="preserve"> </w:t>
            </w:r>
            <w:proofErr w:type="spellStart"/>
            <w:r w:rsidR="00EC0CFB">
              <w:t>eager</w:t>
            </w:r>
            <w:proofErr w:type="spellEnd"/>
            <w:r w:rsidR="00EC0CFB">
              <w:t xml:space="preserve"> </w:t>
            </w:r>
            <w:proofErr w:type="spellStart"/>
            <w:r w:rsidR="00EC0CFB">
              <w:t>to</w:t>
            </w:r>
            <w:proofErr w:type="spellEnd"/>
            <w:r w:rsidR="00EC0CFB">
              <w:t xml:space="preserve"> </w:t>
            </w:r>
            <w:proofErr w:type="spellStart"/>
            <w:r w:rsidR="00EC0CFB">
              <w:t>develop</w:t>
            </w:r>
            <w:proofErr w:type="spellEnd"/>
            <w:r w:rsidR="00EC0CFB">
              <w:t xml:space="preserve">, </w:t>
            </w:r>
            <w:proofErr w:type="spellStart"/>
            <w:r w:rsidR="00EC0CFB">
              <w:t>who</w:t>
            </w:r>
            <w:proofErr w:type="spellEnd"/>
            <w:r w:rsidR="00EC0CFB">
              <w:t xml:space="preserve"> </w:t>
            </w:r>
            <w:proofErr w:type="spellStart"/>
            <w:r w:rsidR="00EC0CFB">
              <w:t>will</w:t>
            </w:r>
            <w:proofErr w:type="spellEnd"/>
            <w:r w:rsidR="00EC0CFB">
              <w:t xml:space="preserve"> </w:t>
            </w:r>
            <w:proofErr w:type="spellStart"/>
            <w:r w:rsidR="00EC0CFB">
              <w:t>upload</w:t>
            </w:r>
            <w:proofErr w:type="spellEnd"/>
            <w:r w:rsidR="00EC0CFB">
              <w:t xml:space="preserve"> </w:t>
            </w:r>
            <w:proofErr w:type="spellStart"/>
            <w:r w:rsidR="00EC0CFB">
              <w:t>homework</w:t>
            </w:r>
            <w:proofErr w:type="spellEnd"/>
            <w:r w:rsidR="00EC0CFB">
              <w:t xml:space="preserve"> </w:t>
            </w:r>
            <w:proofErr w:type="spellStart"/>
            <w:r w:rsidR="00EC0CFB">
              <w:t>on</w:t>
            </w:r>
            <w:proofErr w:type="spellEnd"/>
            <w:r w:rsidR="00EC0CFB">
              <w:t xml:space="preserve"> a </w:t>
            </w:r>
            <w:proofErr w:type="spellStart"/>
            <w:r w:rsidR="00EC0CFB">
              <w:t>weekly</w:t>
            </w:r>
            <w:proofErr w:type="spellEnd"/>
            <w:r w:rsidR="00EC0CFB">
              <w:t xml:space="preserve"> </w:t>
            </w:r>
            <w:proofErr w:type="spellStart"/>
            <w:r w:rsidR="00EC0CFB">
              <w:t>basis</w:t>
            </w:r>
            <w:proofErr w:type="spellEnd"/>
            <w:r w:rsidR="00EC0CFB">
              <w:t xml:space="preserve"> </w:t>
            </w:r>
            <w:proofErr w:type="spellStart"/>
            <w:r w:rsidR="00EC0CFB">
              <w:t>to</w:t>
            </w:r>
            <w:proofErr w:type="spellEnd"/>
            <w:r w:rsidR="00EC0CFB">
              <w:t xml:space="preserve"> </w:t>
            </w:r>
            <w:proofErr w:type="spellStart"/>
            <w:r w:rsidR="00EC0CFB">
              <w:t>the</w:t>
            </w:r>
            <w:proofErr w:type="spellEnd"/>
            <w:r w:rsidR="00EC0CFB">
              <w:t xml:space="preserve"> </w:t>
            </w:r>
            <w:proofErr w:type="spellStart"/>
            <w:r w:rsidR="00EC0CFB">
              <w:t>teams</w:t>
            </w:r>
            <w:proofErr w:type="spellEnd"/>
            <w:r w:rsidR="00EC0CFB">
              <w:t xml:space="preserve"> </w:t>
            </w:r>
            <w:proofErr w:type="spellStart"/>
            <w:r w:rsidR="005C782E">
              <w:t>surface</w:t>
            </w:r>
            <w:proofErr w:type="spellEnd"/>
            <w:r w:rsidR="005C782E">
              <w:t xml:space="preserve"> of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class</w:t>
            </w:r>
            <w:proofErr w:type="spellEnd"/>
            <w:r w:rsidR="005C782E">
              <w:t xml:space="preserve">. </w:t>
            </w:r>
            <w:proofErr w:type="spellStart"/>
            <w:r w:rsidR="005C782E">
              <w:t>This</w:t>
            </w:r>
            <w:proofErr w:type="spellEnd"/>
            <w:r w:rsidR="005C782E">
              <w:t xml:space="preserve"> </w:t>
            </w:r>
            <w:proofErr w:type="spellStart"/>
            <w:r w:rsidR="005C782E">
              <w:t>implies</w:t>
            </w:r>
            <w:proofErr w:type="spellEnd"/>
            <w:r w:rsidR="005C782E">
              <w:t xml:space="preserve"> </w:t>
            </w:r>
            <w:proofErr w:type="spellStart"/>
            <w:r w:rsidR="005C782E">
              <w:t>reciprocal</w:t>
            </w:r>
            <w:proofErr w:type="spellEnd"/>
            <w:r w:rsidR="005C782E">
              <w:t xml:space="preserve"> </w:t>
            </w:r>
            <w:proofErr w:type="spellStart"/>
            <w:r w:rsidR="005C782E">
              <w:t>knowledge</w:t>
            </w:r>
            <w:proofErr w:type="spellEnd"/>
            <w:r w:rsidR="005C782E">
              <w:t xml:space="preserve">: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group</w:t>
            </w:r>
            <w:proofErr w:type="spellEnd"/>
            <w:r w:rsidR="005C782E">
              <w:t xml:space="preserve"> </w:t>
            </w:r>
            <w:proofErr w:type="spellStart"/>
            <w:r w:rsidR="005C782E">
              <w:t>me</w:t>
            </w:r>
            <w:r w:rsidR="00A057D2">
              <w:t>mbers</w:t>
            </w:r>
            <w:proofErr w:type="spellEnd"/>
            <w:r w:rsidR="00A057D2">
              <w:t xml:space="preserve"> </w:t>
            </w:r>
            <w:proofErr w:type="spellStart"/>
            <w:r w:rsidR="00A057D2">
              <w:t>know</w:t>
            </w:r>
            <w:proofErr w:type="spellEnd"/>
            <w:r w:rsidR="00A057D2">
              <w:t xml:space="preserve"> </w:t>
            </w:r>
            <w:proofErr w:type="spellStart"/>
            <w:r w:rsidR="00A057D2">
              <w:t>each</w:t>
            </w:r>
            <w:proofErr w:type="spellEnd"/>
            <w:r w:rsidR="00A057D2">
              <w:t xml:space="preserve"> </w:t>
            </w:r>
            <w:proofErr w:type="spellStart"/>
            <w:r w:rsidR="00A057D2">
              <w:t>other’s</w:t>
            </w:r>
            <w:proofErr w:type="spellEnd"/>
            <w:r w:rsidR="00A057D2">
              <w:t xml:space="preserve"> </w:t>
            </w:r>
            <w:proofErr w:type="spellStart"/>
            <w:r w:rsidR="005C782E">
              <w:t>work</w:t>
            </w:r>
            <w:proofErr w:type="spellEnd"/>
            <w:r w:rsidR="005C782E">
              <w:t xml:space="preserve">, </w:t>
            </w:r>
            <w:proofErr w:type="spellStart"/>
            <w:r w:rsidR="005C782E">
              <w:t>they</w:t>
            </w:r>
            <w:proofErr w:type="spellEnd"/>
            <w:r w:rsidR="005C782E">
              <w:t xml:space="preserve"> </w:t>
            </w:r>
            <w:proofErr w:type="spellStart"/>
            <w:r w:rsidR="005C782E">
              <w:t>interact</w:t>
            </w:r>
            <w:proofErr w:type="spellEnd"/>
            <w:r w:rsidR="005C782E">
              <w:t xml:space="preserve"> </w:t>
            </w:r>
            <w:proofErr w:type="spellStart"/>
            <w:r w:rsidR="005C782E">
              <w:t>upon</w:t>
            </w:r>
            <w:proofErr w:type="spellEnd"/>
            <w:r w:rsidR="005C782E">
              <w:t xml:space="preserve"> </w:t>
            </w:r>
            <w:proofErr w:type="spellStart"/>
            <w:r w:rsidR="005C782E">
              <w:t>this</w:t>
            </w:r>
            <w:proofErr w:type="spellEnd"/>
            <w:r w:rsidR="005C782E">
              <w:t xml:space="preserve"> during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classes</w:t>
            </w:r>
            <w:proofErr w:type="spellEnd"/>
            <w:r w:rsidR="005C782E">
              <w:t xml:space="preserve">. The </w:t>
            </w:r>
            <w:proofErr w:type="spellStart"/>
            <w:r w:rsidR="005C782E">
              <w:t>same</w:t>
            </w:r>
            <w:proofErr w:type="spellEnd"/>
            <w:r w:rsidR="005C782E">
              <w:t xml:space="preserve"> is </w:t>
            </w:r>
            <w:proofErr w:type="spellStart"/>
            <w:r w:rsidR="005C782E">
              <w:t>valid</w:t>
            </w:r>
            <w:proofErr w:type="spellEnd"/>
            <w:r w:rsidR="005C782E">
              <w:t xml:space="preserve"> </w:t>
            </w:r>
            <w:proofErr w:type="spellStart"/>
            <w:r w:rsidR="005C782E">
              <w:t>for</w:t>
            </w:r>
            <w:proofErr w:type="spellEnd"/>
            <w:r w:rsidR="005C782E">
              <w:t xml:space="preserve">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reading</w:t>
            </w:r>
            <w:proofErr w:type="spellEnd"/>
            <w:r w:rsidR="005C782E">
              <w:t xml:space="preserve"> </w:t>
            </w:r>
            <w:proofErr w:type="spellStart"/>
            <w:r w:rsidR="005C782E">
              <w:t>tasks</w:t>
            </w:r>
            <w:proofErr w:type="spellEnd"/>
            <w:r w:rsidR="005C782E">
              <w:t xml:space="preserve">: </w:t>
            </w:r>
            <w:proofErr w:type="spellStart"/>
            <w:r w:rsidR="005C782E">
              <w:t>students</w:t>
            </w:r>
            <w:proofErr w:type="spellEnd"/>
            <w:r w:rsidR="005C782E">
              <w:t xml:space="preserve"> </w:t>
            </w:r>
            <w:proofErr w:type="spellStart"/>
            <w:r w:rsidR="005C782E">
              <w:t>are</w:t>
            </w:r>
            <w:proofErr w:type="spellEnd"/>
            <w:r w:rsidR="005C782E">
              <w:t xml:space="preserve"> </w:t>
            </w:r>
            <w:proofErr w:type="spellStart"/>
            <w:r w:rsidR="005C782E">
              <w:t>required</w:t>
            </w:r>
            <w:proofErr w:type="spellEnd"/>
            <w:r w:rsidR="005C782E">
              <w:t xml:space="preserve"> </w:t>
            </w:r>
            <w:proofErr w:type="spellStart"/>
            <w:r w:rsidR="005C782E">
              <w:t>to</w:t>
            </w:r>
            <w:proofErr w:type="spellEnd"/>
            <w:r w:rsidR="005C782E">
              <w:t xml:space="preserve"> be </w:t>
            </w:r>
            <w:proofErr w:type="spellStart"/>
            <w:r w:rsidR="005C782E">
              <w:t>familiar</w:t>
            </w:r>
            <w:proofErr w:type="spellEnd"/>
            <w:r w:rsidR="005C782E">
              <w:t xml:space="preserve"> </w:t>
            </w:r>
            <w:proofErr w:type="spellStart"/>
            <w:r w:rsidR="005C782E">
              <w:t>with</w:t>
            </w:r>
            <w:proofErr w:type="spellEnd"/>
            <w:r w:rsidR="005C782E">
              <w:t xml:space="preserve"> </w:t>
            </w:r>
            <w:proofErr w:type="spellStart"/>
            <w:r w:rsidR="005C782E">
              <w:t>those</w:t>
            </w:r>
            <w:proofErr w:type="spellEnd"/>
            <w:r w:rsidR="005C782E">
              <w:t xml:space="preserve"> </w:t>
            </w:r>
            <w:proofErr w:type="spellStart"/>
            <w:r w:rsidR="005C782E">
              <w:t>before</w:t>
            </w:r>
            <w:proofErr w:type="spellEnd"/>
            <w:r w:rsidR="005C782E">
              <w:t xml:space="preserve"> </w:t>
            </w:r>
            <w:proofErr w:type="spellStart"/>
            <w:r w:rsidR="005C782E">
              <w:t>coming</w:t>
            </w:r>
            <w:proofErr w:type="spellEnd"/>
            <w:r w:rsidR="005C782E">
              <w:t xml:space="preserve"> </w:t>
            </w:r>
            <w:proofErr w:type="spellStart"/>
            <w:r w:rsidR="005C782E">
              <w:t>to</w:t>
            </w:r>
            <w:proofErr w:type="spellEnd"/>
            <w:r w:rsidR="005C782E">
              <w:t xml:space="preserve"> </w:t>
            </w:r>
            <w:proofErr w:type="spellStart"/>
            <w:r w:rsidR="005C782E">
              <w:t>class</w:t>
            </w:r>
            <w:proofErr w:type="spellEnd"/>
            <w:r w:rsidR="005C782E">
              <w:t xml:space="preserve">. </w:t>
            </w:r>
            <w:proofErr w:type="spellStart"/>
            <w:r w:rsidR="005C782E">
              <w:t>This</w:t>
            </w:r>
            <w:proofErr w:type="spellEnd"/>
            <w:r w:rsidR="005C782E">
              <w:t xml:space="preserve"> </w:t>
            </w:r>
            <w:proofErr w:type="spellStart"/>
            <w:r w:rsidR="005C782E">
              <w:t>material</w:t>
            </w:r>
            <w:proofErr w:type="spellEnd"/>
            <w:r w:rsidR="005C782E">
              <w:t xml:space="preserve"> is </w:t>
            </w:r>
            <w:proofErr w:type="spellStart"/>
            <w:r w:rsidR="005C782E">
              <w:t>not</w:t>
            </w:r>
            <w:proofErr w:type="spellEnd"/>
            <w:r w:rsidR="005C782E">
              <w:t xml:space="preserve"> a </w:t>
            </w:r>
            <w:proofErr w:type="spellStart"/>
            <w:r w:rsidR="005C782E">
              <w:t>burden</w:t>
            </w:r>
            <w:proofErr w:type="spellEnd"/>
            <w:r w:rsidR="005C782E">
              <w:t xml:space="preserve">, </w:t>
            </w:r>
            <w:proofErr w:type="spellStart"/>
            <w:r w:rsidR="005C782E">
              <w:t>yet</w:t>
            </w:r>
            <w:proofErr w:type="spellEnd"/>
            <w:r w:rsidR="005C782E">
              <w:t xml:space="preserve"> </w:t>
            </w:r>
            <w:proofErr w:type="spellStart"/>
            <w:r w:rsidR="005C782E">
              <w:t>this</w:t>
            </w:r>
            <w:proofErr w:type="spellEnd"/>
            <w:r w:rsidR="005C782E">
              <w:t xml:space="preserve"> </w:t>
            </w:r>
            <w:proofErr w:type="spellStart"/>
            <w:r w:rsidR="005C782E">
              <w:t>regular</w:t>
            </w:r>
            <w:proofErr w:type="spellEnd"/>
            <w:r w:rsidR="005C782E">
              <w:t xml:space="preserve"> </w:t>
            </w:r>
            <w:proofErr w:type="spellStart"/>
            <w:r w:rsidR="005C782E">
              <w:t>work</w:t>
            </w:r>
            <w:proofErr w:type="spellEnd"/>
            <w:r w:rsidR="005C782E">
              <w:t xml:space="preserve"> is </w:t>
            </w:r>
            <w:proofErr w:type="spellStart"/>
            <w:r w:rsidR="005C782E">
              <w:t>group-forming</w:t>
            </w:r>
            <w:proofErr w:type="spellEnd"/>
            <w:r w:rsidR="008365A5">
              <w:t xml:space="preserve"> </w:t>
            </w:r>
            <w:r w:rsidR="005C782E">
              <w:t>—</w:t>
            </w:r>
            <w:r w:rsidR="008365A5">
              <w:t xml:space="preserve"> </w:t>
            </w:r>
            <w:r w:rsidR="005C782E">
              <w:t xml:space="preserve">an </w:t>
            </w:r>
            <w:proofErr w:type="spellStart"/>
            <w:r w:rsidR="005C782E">
              <w:t>ethical</w:t>
            </w:r>
            <w:proofErr w:type="spellEnd"/>
            <w:r w:rsidR="005C782E">
              <w:t xml:space="preserve"> </w:t>
            </w:r>
            <w:proofErr w:type="spellStart"/>
            <w:r w:rsidR="005C782E">
              <w:t>component</w:t>
            </w:r>
            <w:proofErr w:type="spellEnd"/>
            <w:r w:rsidR="005C782E">
              <w:t xml:space="preserve"> </w:t>
            </w:r>
            <w:proofErr w:type="spellStart"/>
            <w:r w:rsidR="005C782E">
              <w:t>for</w:t>
            </w:r>
            <w:proofErr w:type="spellEnd"/>
            <w:r w:rsidR="005C782E">
              <w:t xml:space="preserve">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would</w:t>
            </w:r>
            <w:proofErr w:type="spellEnd"/>
            <w:r w:rsidR="005C782E">
              <w:t xml:space="preserve">-be </w:t>
            </w:r>
            <w:proofErr w:type="spellStart"/>
            <w:r w:rsidR="005C782E">
              <w:t>competition</w:t>
            </w:r>
            <w:proofErr w:type="spellEnd"/>
            <w:r w:rsidR="005C782E">
              <w:t xml:space="preserve"> </w:t>
            </w:r>
            <w:proofErr w:type="gramStart"/>
            <w:r w:rsidR="005C782E">
              <w:t>team</w:t>
            </w:r>
            <w:proofErr w:type="gramEnd"/>
            <w:r w:rsidR="005C782E">
              <w:t xml:space="preserve">, </w:t>
            </w:r>
            <w:proofErr w:type="spellStart"/>
            <w:r w:rsidR="005C782E">
              <w:t>who</w:t>
            </w:r>
            <w:proofErr w:type="spellEnd"/>
            <w:r w:rsidR="005C782E">
              <w:t xml:space="preserve"> </w:t>
            </w:r>
            <w:proofErr w:type="spellStart"/>
            <w:r w:rsidR="005C782E">
              <w:t>will</w:t>
            </w:r>
            <w:proofErr w:type="spellEnd"/>
            <w:r w:rsidR="005C782E">
              <w:t xml:space="preserve"> </w:t>
            </w:r>
            <w:proofErr w:type="spellStart"/>
            <w:r w:rsidR="005C782E">
              <w:t>fill</w:t>
            </w:r>
            <w:proofErr w:type="spellEnd"/>
            <w:r w:rsidR="005C782E">
              <w:t xml:space="preserve"> </w:t>
            </w:r>
            <w:proofErr w:type="spellStart"/>
            <w:r w:rsidR="005C782E">
              <w:t>this</w:t>
            </w:r>
            <w:proofErr w:type="spellEnd"/>
            <w:r w:rsidR="005C782E">
              <w:t xml:space="preserve"> </w:t>
            </w:r>
            <w:proofErr w:type="spellStart"/>
            <w:r w:rsidR="005C782E">
              <w:t>skill</w:t>
            </w:r>
            <w:proofErr w:type="spellEnd"/>
            <w:r w:rsidR="005C782E">
              <w:t xml:space="preserve"> </w:t>
            </w:r>
            <w:proofErr w:type="spellStart"/>
            <w:r w:rsidR="005C782E">
              <w:t>with</w:t>
            </w:r>
            <w:proofErr w:type="spellEnd"/>
            <w:r w:rsidR="005C782E">
              <w:t xml:space="preserve"> </w:t>
            </w:r>
            <w:proofErr w:type="spellStart"/>
            <w:r w:rsidR="005C782E">
              <w:t>material</w:t>
            </w:r>
            <w:proofErr w:type="spellEnd"/>
            <w:r w:rsidR="005C782E">
              <w:t xml:space="preserve"> excellence </w:t>
            </w:r>
            <w:proofErr w:type="spellStart"/>
            <w:r w:rsidR="005C782E">
              <w:t>when</w:t>
            </w:r>
            <w:proofErr w:type="spellEnd"/>
            <w:r w:rsidR="005C782E">
              <w:t xml:space="preserve"> preparing </w:t>
            </w:r>
            <w:proofErr w:type="spellStart"/>
            <w:r w:rsidR="005C782E">
              <w:t>for</w:t>
            </w:r>
            <w:proofErr w:type="spellEnd"/>
            <w:r w:rsidR="005C782E">
              <w:t xml:space="preserve">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competititon</w:t>
            </w:r>
            <w:proofErr w:type="spellEnd"/>
            <w:r w:rsidR="005C782E">
              <w:t xml:space="preserve">. </w:t>
            </w:r>
            <w:proofErr w:type="spellStart"/>
            <w:r w:rsidR="005C782E">
              <w:t>These</w:t>
            </w:r>
            <w:proofErr w:type="spellEnd"/>
            <w:r w:rsidR="005C782E">
              <w:t xml:space="preserve"> </w:t>
            </w:r>
            <w:proofErr w:type="spellStart"/>
            <w:r w:rsidR="005C782E">
              <w:t>components</w:t>
            </w:r>
            <w:proofErr w:type="spellEnd"/>
            <w:r w:rsidR="005C782E">
              <w:t xml:space="preserve"> </w:t>
            </w:r>
            <w:proofErr w:type="spellStart"/>
            <w:r w:rsidR="005C782E">
              <w:t>base</w:t>
            </w:r>
            <w:proofErr w:type="spellEnd"/>
            <w:r w:rsidR="005C782E">
              <w:t xml:space="preserve"> </w:t>
            </w:r>
            <w:proofErr w:type="spellStart"/>
            <w:r w:rsidR="005C782E">
              <w:t>selection</w:t>
            </w:r>
            <w:proofErr w:type="spellEnd"/>
            <w:r w:rsidR="005C782E">
              <w:t xml:space="preserve"> </w:t>
            </w:r>
            <w:proofErr w:type="spellStart"/>
            <w:r w:rsidR="005C782E">
              <w:t>criteria</w:t>
            </w:r>
            <w:proofErr w:type="spellEnd"/>
            <w:r w:rsidR="005C782E">
              <w:t xml:space="preserve"> </w:t>
            </w:r>
            <w:proofErr w:type="spellStart"/>
            <w:r w:rsidR="005C782E">
              <w:t>for</w:t>
            </w:r>
            <w:proofErr w:type="spellEnd"/>
            <w:r w:rsidR="005C782E">
              <w:t xml:space="preserve"> </w:t>
            </w:r>
            <w:proofErr w:type="spellStart"/>
            <w:r w:rsidR="005C782E">
              <w:t>the</w:t>
            </w:r>
            <w:proofErr w:type="spellEnd"/>
            <w:r w:rsidR="005C782E">
              <w:t xml:space="preserve"> </w:t>
            </w:r>
            <w:proofErr w:type="spellStart"/>
            <w:r w:rsidR="005C782E">
              <w:t>real</w:t>
            </w:r>
            <w:proofErr w:type="spellEnd"/>
            <w:r w:rsidR="005C782E">
              <w:t xml:space="preserve"> </w:t>
            </w:r>
            <w:proofErr w:type="spellStart"/>
            <w:r w:rsidR="005C782E">
              <w:t>moot</w:t>
            </w:r>
            <w:proofErr w:type="spellEnd"/>
            <w:r w:rsidR="005C782E">
              <w:t xml:space="preserve"> </w:t>
            </w:r>
            <w:proofErr w:type="spellStart"/>
            <w:r w:rsidR="005C782E">
              <w:t>court</w:t>
            </w:r>
            <w:proofErr w:type="spellEnd"/>
            <w:r w:rsidR="005C782E">
              <w:t xml:space="preserve"> </w:t>
            </w:r>
            <w:proofErr w:type="spellStart"/>
            <w:r w:rsidR="005C782E">
              <w:t>competitions</w:t>
            </w:r>
            <w:proofErr w:type="spellEnd"/>
            <w:r w:rsidR="005C782E">
              <w:t xml:space="preserve">. </w:t>
            </w:r>
          </w:p>
        </w:tc>
      </w:tr>
      <w:tr w:rsidR="008546FF" w:rsidRPr="00F46DDF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8546FF" w:rsidRPr="00F46DDF" w:rsidRDefault="008546FF" w:rsidP="008546FF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Course materials: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1"/>
            </w:r>
          </w:p>
        </w:tc>
        <w:tc>
          <w:tcPr>
            <w:tcW w:w="7087" w:type="dxa"/>
            <w:gridSpan w:val="3"/>
            <w:vAlign w:val="center"/>
          </w:tcPr>
          <w:p w:rsidR="008546FF" w:rsidRPr="0047760F" w:rsidRDefault="001B2E78" w:rsidP="008365A5">
            <w:pPr>
              <w:jc w:val="both"/>
            </w:pPr>
            <w:r>
              <w:t xml:space="preserve">Visual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competitions</w:t>
            </w:r>
            <w:proofErr w:type="spellEnd"/>
            <w:r>
              <w:t xml:space="preserve"> </w:t>
            </w:r>
            <w:proofErr w:type="spellStart"/>
            <w:r>
              <w:t>serves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model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preparation.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memoranda</w:t>
            </w:r>
            <w:proofErr w:type="spellEnd"/>
            <w:r w:rsidR="008546FF" w:rsidRPr="007B1825">
              <w:t xml:space="preserve">, </w:t>
            </w:r>
            <w:proofErr w:type="spellStart"/>
            <w:r>
              <w:t>compiled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 w:rsidRPr="007B1825">
              <w:t xml:space="preserve"> </w:t>
            </w:r>
            <w:proofErr w:type="spellStart"/>
            <w:r>
              <w:t>competition</w:t>
            </w:r>
            <w:proofErr w:type="spellEnd"/>
            <w:r>
              <w:t xml:space="preserve">,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former</w:t>
            </w:r>
            <w:proofErr w:type="spellEnd"/>
            <w:r>
              <w:t xml:space="preserve"> </w:t>
            </w:r>
            <w:proofErr w:type="spellStart"/>
            <w:r>
              <w:t>competiors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coaches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assist</w:t>
            </w:r>
            <w:proofErr w:type="spellEnd"/>
            <w:r>
              <w:t xml:space="preserve"> in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 w:rsidR="00E27F4F">
              <w:t>or</w:t>
            </w:r>
            <w:proofErr w:type="spellEnd"/>
            <w:r w:rsidR="00E27F4F">
              <w:t xml:space="preserve"> </w:t>
            </w:r>
            <w:proofErr w:type="spellStart"/>
            <w:r w:rsidR="00E27F4F">
              <w:t>the</w:t>
            </w:r>
            <w:proofErr w:type="spellEnd"/>
            <w:r w:rsidR="00E27F4F">
              <w:t xml:space="preserve"> </w:t>
            </w:r>
            <w:proofErr w:type="spellStart"/>
            <w:r w:rsidR="00E27F4F">
              <w:t>oral</w:t>
            </w:r>
            <w:proofErr w:type="spellEnd"/>
            <w:r w:rsidR="00E27F4F">
              <w:t xml:space="preserve"> </w:t>
            </w:r>
            <w:proofErr w:type="spellStart"/>
            <w:r w:rsidR="00E27F4F">
              <w:t>tasks</w:t>
            </w:r>
            <w:proofErr w:type="spellEnd"/>
            <w:r w:rsidR="00E27F4F">
              <w:t xml:space="preserve"> performance </w:t>
            </w:r>
            <w:proofErr w:type="spellStart"/>
            <w:r w:rsidR="00E27F4F"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competition</w:t>
            </w:r>
            <w:proofErr w:type="spellEnd"/>
            <w:r>
              <w:t xml:space="preserve">. </w:t>
            </w:r>
            <w:proofErr w:type="spellStart"/>
            <w:r>
              <w:t>Homework</w:t>
            </w:r>
            <w:proofErr w:type="spellEnd"/>
            <w:r>
              <w:t xml:space="preserve"> </w:t>
            </w:r>
            <w:r w:rsidR="00E27F4F">
              <w:t xml:space="preserve">is </w:t>
            </w:r>
            <w:proofErr w:type="spellStart"/>
            <w:r w:rsidR="00E27F4F">
              <w:t>subjected</w:t>
            </w:r>
            <w:proofErr w:type="spellEnd"/>
            <w:r w:rsidR="00E27F4F">
              <w:t xml:space="preserve"> </w:t>
            </w:r>
            <w:proofErr w:type="spellStart"/>
            <w:r w:rsidR="00E27F4F">
              <w:t>to</w:t>
            </w:r>
            <w:proofErr w:type="spellEnd"/>
            <w:r w:rsidR="00E27F4F">
              <w:t xml:space="preserve"> </w:t>
            </w:r>
            <w:proofErr w:type="spellStart"/>
            <w:r w:rsidR="00E27F4F">
              <w:t>this</w:t>
            </w:r>
            <w:proofErr w:type="spellEnd"/>
            <w:r w:rsidR="00E27F4F">
              <w:t xml:space="preserve"> </w:t>
            </w:r>
            <w:proofErr w:type="spellStart"/>
            <w:r w:rsidR="00E27F4F">
              <w:t>aim</w:t>
            </w:r>
            <w:proofErr w:type="spellEnd"/>
            <w:r w:rsidR="00E27F4F">
              <w:t xml:space="preserve">, </w:t>
            </w:r>
            <w:proofErr w:type="spellStart"/>
            <w:r>
              <w:t>corrected</w:t>
            </w:r>
            <w:proofErr w:type="spellEnd"/>
            <w:r>
              <w:t xml:space="preserve">, </w:t>
            </w:r>
            <w:proofErr w:type="spellStart"/>
            <w:r>
              <w:t>assessed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coaches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,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8365A5">
              <w:t>spects</w:t>
            </w:r>
            <w:proofErr w:type="spellEnd"/>
            <w:r>
              <w:t>.</w:t>
            </w:r>
          </w:p>
        </w:tc>
      </w:tr>
    </w:tbl>
    <w:p w:rsidR="007F12FA" w:rsidRPr="00F46DDF" w:rsidRDefault="007F12FA" w:rsidP="00A90A8D">
      <w:pPr>
        <w:jc w:val="both"/>
        <w:rPr>
          <w:rFonts w:asciiTheme="minorHAnsi" w:hAnsiTheme="minorHAnsi" w:cstheme="minorHAnsi"/>
          <w:lang w:val="en-GB"/>
        </w:rPr>
      </w:pPr>
    </w:p>
    <w:sectPr w:rsidR="007F12FA" w:rsidRPr="00F46DDF" w:rsidSect="00655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90" w:rsidRDefault="00555390" w:rsidP="00791B0A">
      <w:r>
        <w:separator/>
      </w:r>
    </w:p>
  </w:endnote>
  <w:endnote w:type="continuationSeparator" w:id="0">
    <w:p w:rsidR="00555390" w:rsidRDefault="00555390" w:rsidP="007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90" w:rsidRDefault="00555390" w:rsidP="00791B0A">
      <w:r>
        <w:separator/>
      </w:r>
    </w:p>
  </w:footnote>
  <w:footnote w:type="continuationSeparator" w:id="0">
    <w:p w:rsidR="00555390" w:rsidRDefault="00555390" w:rsidP="00791B0A">
      <w:r>
        <w:continuationSeparator/>
      </w:r>
    </w:p>
  </w:footnote>
  <w:footnote w:id="1">
    <w:p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="00330CBF">
        <w:rPr>
          <w:rFonts w:asciiTheme="minorHAnsi" w:hAnsiTheme="minorHAnsi" w:cstheme="minorHAnsi"/>
          <w:b/>
        </w:rPr>
        <w:t>Szint</w:t>
      </w:r>
      <w:r w:rsidRPr="00F46DDF">
        <w:rPr>
          <w:rFonts w:asciiTheme="minorHAnsi" w:hAnsiTheme="minorHAnsi" w:cstheme="minorHAnsi"/>
          <w:b/>
        </w:rPr>
        <w:t>:</w:t>
      </w:r>
      <w:r w:rsidRPr="00F46DDF">
        <w:rPr>
          <w:rFonts w:asciiTheme="minorHAnsi" w:hAnsiTheme="minorHAnsi" w:cstheme="minorHAnsi"/>
        </w:rPr>
        <w:t xml:space="preserve"> </w:t>
      </w:r>
      <w:r w:rsidR="00330CBF">
        <w:rPr>
          <w:rFonts w:asciiTheme="minorHAnsi" w:hAnsiTheme="minorHAnsi" w:cstheme="minorHAnsi"/>
        </w:rPr>
        <w:t>1-10: amely félévhez a tárgy a mintatanterv szerint tartozik, vagy amelyen hallgatása egyébként ajánlott</w:t>
      </w:r>
      <w:r w:rsidRPr="00F46DDF">
        <w:rPr>
          <w:rFonts w:asciiTheme="minorHAnsi" w:hAnsiTheme="minorHAnsi" w:cstheme="minorHAnsi"/>
        </w:rPr>
        <w:t>.</w:t>
      </w:r>
    </w:p>
  </w:footnote>
  <w:footnote w:id="2">
    <w:p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Előfeltételt</w:t>
      </w:r>
      <w:r w:rsidRPr="00F46DDF">
        <w:rPr>
          <w:rFonts w:asciiTheme="minorHAnsi" w:hAnsiTheme="minorHAnsi" w:cstheme="minorHAnsi"/>
        </w:rPr>
        <w:t xml:space="preserve"> meghatározni opcionális. Megadható például előfeltételként valamely tárgy előhallgatása vagy párhuzamos hallgatása; minimális kreditszám. Az erre vonatkozó szűrőt a Tanulmányi Osztály tudja beállítani.</w:t>
      </w:r>
    </w:p>
  </w:footnote>
  <w:footnote w:id="3">
    <w:p w:rsidR="00186AF4" w:rsidRPr="00F46DDF" w:rsidRDefault="00186AF4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="0075351E" w:rsidRPr="00F46DDF">
        <w:rPr>
          <w:rFonts w:asciiTheme="minorHAnsi" w:hAnsiTheme="minorHAnsi" w:cstheme="minorHAnsi"/>
          <w:b/>
        </w:rPr>
        <w:t>Követelmény típus:</w:t>
      </w:r>
      <w:r w:rsidR="0075351E" w:rsidRPr="00F46DDF">
        <w:rPr>
          <w:rFonts w:asciiTheme="minorHAnsi" w:hAnsiTheme="minorHAnsi" w:cstheme="minorHAnsi"/>
        </w:rPr>
        <w:t xml:space="preserve"> k</w:t>
      </w:r>
      <w:r w:rsidRPr="00F46DDF">
        <w:rPr>
          <w:rFonts w:asciiTheme="minorHAnsi" w:hAnsiTheme="minorHAnsi" w:cstheme="minorHAnsi"/>
        </w:rPr>
        <w:t>ötelezően választhatónál „Évközi jegy” (ötfokozatú)”, szabadon választhatónál „Beszámoló (háromfokozatú)”.</w:t>
      </w:r>
    </w:p>
  </w:footnote>
  <w:footnote w:id="4">
    <w:p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Óraszám:</w:t>
      </w:r>
      <w:r w:rsidRPr="00F46DDF">
        <w:rPr>
          <w:rFonts w:asciiTheme="minorHAnsi" w:hAnsiTheme="minorHAnsi" w:cstheme="minorHAnsi"/>
        </w:rPr>
        <w:t xml:space="preserve"> kötelezően választhatónál nappalin 2 óra/hét, levelezőn 3 óra/félév. Szabadon választhatónál nappalin 2 óra/hét, levelezőn 2 óra/félév.</w:t>
      </w:r>
    </w:p>
  </w:footnote>
  <w:footnote w:id="5">
    <w:p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Óratípus:</w:t>
      </w:r>
      <w:r w:rsidRPr="00F46DDF">
        <w:rPr>
          <w:rFonts w:asciiTheme="minorHAnsi" w:hAnsiTheme="minorHAnsi" w:cstheme="minorHAnsi"/>
        </w:rPr>
        <w:t xml:space="preserve"> kötelezően választhatónál „Előadás”, szabadon választhatónál „Gyakorlat”.</w:t>
      </w:r>
    </w:p>
  </w:footnote>
  <w:footnote w:id="6">
    <w:p w:rsidR="00186AF4" w:rsidRPr="00F46DDF" w:rsidRDefault="00186AF4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="0075351E" w:rsidRPr="00F46DDF">
        <w:rPr>
          <w:rFonts w:asciiTheme="minorHAnsi" w:hAnsiTheme="minorHAnsi" w:cstheme="minorHAnsi"/>
        </w:rPr>
        <w:t xml:space="preserve"> </w:t>
      </w:r>
      <w:r w:rsidR="0075351E" w:rsidRPr="00F46DDF">
        <w:rPr>
          <w:rFonts w:asciiTheme="minorHAnsi" w:hAnsiTheme="minorHAnsi" w:cstheme="minorHAnsi"/>
          <w:b/>
        </w:rPr>
        <w:t>Kredit:</w:t>
      </w:r>
      <w:r w:rsidR="0075351E" w:rsidRPr="00F46DDF">
        <w:rPr>
          <w:rFonts w:asciiTheme="minorHAnsi" w:hAnsiTheme="minorHAnsi" w:cstheme="minorHAnsi"/>
        </w:rPr>
        <w:t xml:space="preserve"> k</w:t>
      </w:r>
      <w:r w:rsidRPr="00F46DDF">
        <w:rPr>
          <w:rFonts w:asciiTheme="minorHAnsi" w:hAnsiTheme="minorHAnsi" w:cstheme="minorHAnsi"/>
        </w:rPr>
        <w:t>ötelezően és szabadon választhatóknál egyaránt 2 kredit.</w:t>
      </w:r>
    </w:p>
  </w:footnote>
  <w:footnote w:id="7">
    <w:p w:rsidR="00186AF4" w:rsidRPr="00F46DDF" w:rsidRDefault="00186AF4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="0075351E" w:rsidRPr="00F46DDF">
        <w:rPr>
          <w:rFonts w:asciiTheme="minorHAnsi" w:hAnsiTheme="minorHAnsi" w:cstheme="minorHAnsi"/>
        </w:rPr>
        <w:t xml:space="preserve"> </w:t>
      </w:r>
      <w:r w:rsidR="0075351E" w:rsidRPr="00F46DDF">
        <w:rPr>
          <w:rFonts w:asciiTheme="minorHAnsi" w:hAnsiTheme="minorHAnsi" w:cstheme="minorHAnsi"/>
          <w:b/>
        </w:rPr>
        <w:t>Felelős szervezet neve:</w:t>
      </w:r>
      <w:r w:rsidR="0075351E" w:rsidRPr="00F46DDF">
        <w:rPr>
          <w:rFonts w:asciiTheme="minorHAnsi" w:hAnsiTheme="minorHAnsi" w:cstheme="minorHAnsi"/>
        </w:rPr>
        <w:t xml:space="preserve"> konkrét t</w:t>
      </w:r>
      <w:r w:rsidRPr="00F46DDF">
        <w:rPr>
          <w:rFonts w:asciiTheme="minorHAnsi" w:hAnsiTheme="minorHAnsi" w:cstheme="minorHAnsi"/>
        </w:rPr>
        <w:t>anszék, intézet, stb.</w:t>
      </w:r>
    </w:p>
  </w:footnote>
  <w:footnote w:id="8">
    <w:p w:rsidR="0075351E" w:rsidRPr="00F46DDF" w:rsidRDefault="0075351E" w:rsidP="007F12FA">
      <w:pPr>
        <w:jc w:val="both"/>
        <w:rPr>
          <w:rFonts w:asciiTheme="minorHAnsi" w:hAnsiTheme="minorHAnsi" w:cstheme="minorHAnsi"/>
          <w:sz w:val="20"/>
          <w:szCs w:val="20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</w:rPr>
        <w:footnoteRef/>
      </w:r>
      <w:r w:rsidRPr="00F46DDF">
        <w:rPr>
          <w:rFonts w:asciiTheme="minorHAnsi" w:hAnsiTheme="minorHAnsi" w:cstheme="minorHAnsi"/>
          <w:sz w:val="20"/>
          <w:szCs w:val="20"/>
        </w:rPr>
        <w:t xml:space="preserve"> </w:t>
      </w:r>
      <w:r w:rsidRPr="00F46DDF">
        <w:rPr>
          <w:rFonts w:asciiTheme="minorHAnsi" w:hAnsiTheme="minorHAnsi" w:cstheme="minorHAnsi"/>
          <w:b/>
          <w:sz w:val="20"/>
          <w:szCs w:val="20"/>
        </w:rPr>
        <w:t>Oktatás célja</w:t>
      </w:r>
      <w:r w:rsidR="00F52125" w:rsidRPr="00F46DDF">
        <w:rPr>
          <w:rFonts w:asciiTheme="minorHAnsi" w:hAnsiTheme="minorHAnsi" w:cstheme="minorHAnsi"/>
          <w:sz w:val="20"/>
          <w:szCs w:val="20"/>
        </w:rPr>
        <w:t xml:space="preserve"> (kellően alapos kifejtéssel)</w:t>
      </w:r>
      <w:r w:rsidRPr="00F46DDF">
        <w:rPr>
          <w:rFonts w:asciiTheme="minorHAnsi" w:hAnsiTheme="minorHAnsi" w:cstheme="minorHAnsi"/>
          <w:sz w:val="20"/>
          <w:szCs w:val="20"/>
        </w:rPr>
        <w:t xml:space="preserve">: a </w:t>
      </w:r>
      <w:r w:rsidRPr="00F46DDF">
        <w:rPr>
          <w:rFonts w:asciiTheme="minorHAnsi" w:hAnsiTheme="minorHAnsi" w:cstheme="minorHAnsi"/>
          <w:b/>
          <w:sz w:val="20"/>
          <w:szCs w:val="20"/>
        </w:rPr>
        <w:t>képzési és kimeneti követelményhez</w:t>
      </w:r>
      <w:r w:rsidR="00F52125" w:rsidRPr="00F46DDF">
        <w:rPr>
          <w:rFonts w:asciiTheme="minorHAnsi" w:hAnsiTheme="minorHAnsi" w:cstheme="minorHAnsi"/>
          <w:b/>
          <w:sz w:val="20"/>
          <w:szCs w:val="20"/>
        </w:rPr>
        <w:t xml:space="preserve"> (KKK)</w:t>
      </w:r>
      <w:r w:rsidRPr="00F46DDF">
        <w:rPr>
          <w:rFonts w:asciiTheme="minorHAnsi" w:hAnsiTheme="minorHAnsi" w:cstheme="minorHAnsi"/>
          <w:b/>
          <w:sz w:val="20"/>
          <w:szCs w:val="20"/>
        </w:rPr>
        <w:t xml:space="preserve"> igazodva</w:t>
      </w:r>
      <w:r w:rsidRPr="00F46DDF">
        <w:rPr>
          <w:rFonts w:asciiTheme="minorHAnsi" w:hAnsiTheme="minorHAnsi" w:cstheme="minorHAnsi"/>
          <w:sz w:val="20"/>
          <w:szCs w:val="20"/>
        </w:rPr>
        <w:t xml:space="preserve">, így pl. jogász osztatlan szakon a </w:t>
      </w:r>
      <w:r w:rsidRPr="00F46DDF">
        <w:rPr>
          <w:rFonts w:asciiTheme="minorHAnsi" w:hAnsiTheme="minorHAnsi" w:cstheme="minorHAnsi"/>
          <w:i/>
          <w:sz w:val="20"/>
          <w:szCs w:val="20"/>
        </w:rPr>
        <w:t>18/2016. (VIII. 5.) EMMI rendelet</w:t>
      </w:r>
      <w:r w:rsidRPr="00F46DDF">
        <w:rPr>
          <w:rFonts w:asciiTheme="minorHAnsi" w:hAnsiTheme="minorHAnsi" w:cstheme="minorHAnsi"/>
          <w:sz w:val="20"/>
          <w:szCs w:val="20"/>
        </w:rPr>
        <w:t xml:space="preserve"> 4. melléklet V./2. </w:t>
      </w:r>
      <w:proofErr w:type="gramStart"/>
      <w:r w:rsidRPr="00F46DDF">
        <w:rPr>
          <w:rFonts w:asciiTheme="minorHAnsi" w:hAnsiTheme="minorHAnsi" w:cstheme="minorHAnsi"/>
          <w:sz w:val="20"/>
          <w:szCs w:val="20"/>
        </w:rPr>
        <w:t>fejezet</w:t>
      </w:r>
      <w:proofErr w:type="gramEnd"/>
      <w:r w:rsidRPr="00F46DDF">
        <w:rPr>
          <w:rFonts w:asciiTheme="minorHAnsi" w:hAnsiTheme="minorHAnsi" w:cstheme="minorHAnsi"/>
          <w:sz w:val="20"/>
          <w:szCs w:val="20"/>
        </w:rPr>
        <w:t xml:space="preserve"> 7.1.1. pontban felsorolt </w:t>
      </w:r>
      <w:r w:rsidR="00F52125" w:rsidRPr="00F46DDF">
        <w:rPr>
          <w:rFonts w:asciiTheme="minorHAnsi" w:hAnsiTheme="minorHAnsi" w:cstheme="minorHAnsi"/>
          <w:sz w:val="20"/>
          <w:szCs w:val="20"/>
        </w:rPr>
        <w:t>tudás-, képesség-, attitűd-, autonómia- és felelősségelemek közül melyek átadásához, fejlesztéséhez járul hozzá az adott tárgy és hogyan. Itt kell megadni azt is, hogy a KKK 8.1.1. pontjában meghatározott kategóriák közül leginkább melyikbe tartozik az adott tárgy (társadalomtudományi alapismeretek, jogász szakterület-specifikus szakmai ismeretek, az alapvető szakmai ismeretekhez kapcsolódó választható ismeretkörök, stb.).</w:t>
      </w:r>
    </w:p>
  </w:footnote>
  <w:footnote w:id="9">
    <w:p w:rsidR="00F52125" w:rsidRPr="00F46DDF" w:rsidRDefault="00F52125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Tantárgy tartalma:</w:t>
      </w:r>
      <w:r w:rsidRPr="00F46DDF">
        <w:rPr>
          <w:rFonts w:asciiTheme="minorHAnsi" w:hAnsiTheme="minorHAnsi" w:cstheme="minorHAnsi"/>
        </w:rPr>
        <w:t xml:space="preserve"> itt kell megadni mintegy 10-12 pontban a tantárgy tematikáját (tematikus elemeit).</w:t>
      </w:r>
      <w:r w:rsidR="00330CBF">
        <w:rPr>
          <w:rFonts w:asciiTheme="minorHAnsi" w:hAnsiTheme="minorHAnsi" w:cstheme="minorHAnsi"/>
        </w:rPr>
        <w:t xml:space="preserve"> Ne</w:t>
      </w:r>
      <w:r w:rsidR="00720C83">
        <w:rPr>
          <w:rFonts w:asciiTheme="minorHAnsi" w:hAnsiTheme="minorHAnsi" w:cstheme="minorHAnsi"/>
        </w:rPr>
        <w:t>m</w:t>
      </w:r>
      <w:r w:rsidR="00330CBF">
        <w:rPr>
          <w:rFonts w:asciiTheme="minorHAnsi" w:hAnsiTheme="minorHAnsi" w:cstheme="minorHAnsi"/>
        </w:rPr>
        <w:t xml:space="preserve"> dátum szerint </w:t>
      </w:r>
      <w:r w:rsidR="00720C83">
        <w:rPr>
          <w:rFonts w:asciiTheme="minorHAnsi" w:hAnsiTheme="minorHAnsi" w:cstheme="minorHAnsi"/>
        </w:rPr>
        <w:t>kell</w:t>
      </w:r>
      <w:r w:rsidR="00330CBF">
        <w:rPr>
          <w:rFonts w:asciiTheme="minorHAnsi" w:hAnsiTheme="minorHAnsi" w:cstheme="minorHAnsi"/>
        </w:rPr>
        <w:t xml:space="preserve"> meg</w:t>
      </w:r>
      <w:r w:rsidR="00720C83">
        <w:rPr>
          <w:rFonts w:asciiTheme="minorHAnsi" w:hAnsiTheme="minorHAnsi" w:cstheme="minorHAnsi"/>
        </w:rPr>
        <w:t>adni</w:t>
      </w:r>
      <w:r w:rsidR="00330CBF">
        <w:rPr>
          <w:rFonts w:asciiTheme="minorHAnsi" w:hAnsiTheme="minorHAnsi" w:cstheme="minorHAnsi"/>
        </w:rPr>
        <w:t>, hanem sorszámozva!</w:t>
      </w:r>
    </w:p>
  </w:footnote>
  <w:footnote w:id="10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Számonkérési és értékelési rendszere:</w:t>
      </w:r>
      <w:r w:rsidRPr="00F46DDF">
        <w:rPr>
          <w:rFonts w:asciiTheme="minorHAnsi" w:hAnsiTheme="minorHAnsi" w:cstheme="minorHAnsi"/>
        </w:rPr>
        <w:t xml:space="preserve"> a fentebb meghatározott követelmény típuson túl itt kell részletezni, hogy miként történik a számonkérés. </w:t>
      </w:r>
      <w:r w:rsidR="00590B54">
        <w:rPr>
          <w:rFonts w:asciiTheme="minorHAnsi" w:hAnsiTheme="minorHAnsi" w:cstheme="minorHAnsi"/>
        </w:rPr>
        <w:t xml:space="preserve">Írásbeli, szóbeli vagy kombinált vizsga? </w:t>
      </w:r>
      <w:r w:rsidRPr="00F46DDF">
        <w:rPr>
          <w:rFonts w:asciiTheme="minorHAnsi" w:hAnsiTheme="minorHAnsi" w:cstheme="minorHAnsi"/>
        </w:rPr>
        <w:t>Milyen félévközi tanulmányi követelmény van (pl. házi dolgozat, prezentáció)</w:t>
      </w:r>
      <w:r w:rsidR="00590B54">
        <w:rPr>
          <w:rFonts w:asciiTheme="minorHAnsi" w:hAnsiTheme="minorHAnsi" w:cstheme="minorHAnsi"/>
        </w:rPr>
        <w:t>? M</w:t>
      </w:r>
      <w:r w:rsidRPr="00F46DDF">
        <w:rPr>
          <w:rFonts w:asciiTheme="minorHAnsi" w:hAnsiTheme="minorHAnsi" w:cstheme="minorHAnsi"/>
        </w:rPr>
        <w:t>eghatározott számú hiányzáshoz kapcsolódik-e szankció és milyen (pl. aláírás megtagadása, plusz feladat), s a minősítést mire kapja a hallgató, esetleg milyen részminősítésekből tevődik az össze</w:t>
      </w:r>
      <w:r w:rsidR="00590B54">
        <w:rPr>
          <w:rFonts w:asciiTheme="minorHAnsi" w:hAnsiTheme="minorHAnsi" w:cstheme="minorHAnsi"/>
        </w:rPr>
        <w:t>?</w:t>
      </w:r>
      <w:r w:rsidRPr="00F46DDF">
        <w:rPr>
          <w:rFonts w:asciiTheme="minorHAnsi" w:hAnsiTheme="minorHAnsi" w:cstheme="minorHAnsi"/>
        </w:rPr>
        <w:t xml:space="preserve"> [Vö. </w:t>
      </w:r>
      <w:proofErr w:type="spellStart"/>
      <w:r w:rsidRPr="00F46DDF">
        <w:rPr>
          <w:rFonts w:asciiTheme="minorHAnsi" w:hAnsiTheme="minorHAnsi" w:cstheme="minorHAnsi"/>
        </w:rPr>
        <w:t>TVSz</w:t>
      </w:r>
      <w:proofErr w:type="spellEnd"/>
      <w:r w:rsidRPr="00F46DDF">
        <w:rPr>
          <w:rFonts w:asciiTheme="minorHAnsi" w:hAnsiTheme="minorHAnsi" w:cstheme="minorHAnsi"/>
        </w:rPr>
        <w:t xml:space="preserve"> 33. § (4) </w:t>
      </w:r>
      <w:proofErr w:type="spellStart"/>
      <w:r w:rsidRPr="00F46DDF">
        <w:rPr>
          <w:rFonts w:asciiTheme="minorHAnsi" w:hAnsiTheme="minorHAnsi" w:cstheme="minorHAnsi"/>
        </w:rPr>
        <w:t>bek</w:t>
      </w:r>
      <w:proofErr w:type="spellEnd"/>
      <w:r w:rsidRPr="00F46DDF">
        <w:rPr>
          <w:rFonts w:asciiTheme="minorHAnsi" w:hAnsiTheme="minorHAnsi" w:cstheme="minorHAnsi"/>
        </w:rPr>
        <w:t>.].</w:t>
      </w:r>
    </w:p>
  </w:footnote>
  <w:footnote w:id="11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Irodalom:</w:t>
      </w:r>
      <w:r w:rsidRPr="00F46DDF">
        <w:rPr>
          <w:rFonts w:asciiTheme="minorHAnsi" w:hAnsiTheme="minorHAnsi" w:cstheme="minorHAnsi"/>
        </w:rPr>
        <w:t xml:space="preserve"> itt kell meghatározni a tananyagot, a kötelező és (opcionálisan) az ajánlott irodalmat. Érdemes utalni arra is, hogy az előadásokon elhangzottak is a kötelező tananyag részét képezik.</w:t>
      </w:r>
    </w:p>
  </w:footnote>
  <w:footnote w:id="12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330CBF">
        <w:rPr>
          <w:rFonts w:asciiTheme="minorHAnsi" w:hAnsiTheme="minorHAnsi" w:cstheme="minorHAnsi"/>
          <w:b/>
          <w:lang w:val="en-GB"/>
        </w:rPr>
        <w:t>Level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330CBF">
        <w:rPr>
          <w:rFonts w:asciiTheme="minorHAnsi" w:hAnsiTheme="minorHAnsi" w:cstheme="minorHAnsi"/>
          <w:lang w:val="en-GB"/>
        </w:rPr>
        <w:t>1-10: the semester in which the course shall be announced according to the curriculum, or in which it is recommended for students to attend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13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b/>
          <w:lang w:val="en-GB"/>
        </w:rPr>
        <w:t>Prerequisites: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lang w:val="en-GB"/>
        </w:rPr>
        <w:t>optional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1C4B9F" w:rsidRPr="00F46DDF">
        <w:rPr>
          <w:rFonts w:asciiTheme="minorHAnsi" w:hAnsiTheme="minorHAnsi" w:cstheme="minorHAnsi"/>
          <w:lang w:val="en-GB"/>
        </w:rPr>
        <w:t>E.g. preconditioned subject(s), subjects to be concurrently signed up; a minimum number of credits completed.</w:t>
      </w:r>
    </w:p>
  </w:footnote>
  <w:footnote w:id="14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b/>
          <w:lang w:val="en-GB"/>
        </w:rPr>
        <w:t>Requirement type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lang w:val="en-GB"/>
        </w:rPr>
        <w:t xml:space="preserve">in case of </w:t>
      </w:r>
      <w:r w:rsidR="00846E33" w:rsidRPr="00F46DDF">
        <w:rPr>
          <w:rFonts w:asciiTheme="minorHAnsi" w:hAnsiTheme="minorHAnsi" w:cstheme="minorHAnsi"/>
          <w:lang w:val="en-GB"/>
        </w:rPr>
        <w:t>elective course-units</w:t>
      </w:r>
      <w:r w:rsidR="001C4B9F" w:rsidRPr="00F46DDF">
        <w:rPr>
          <w:rFonts w:asciiTheme="minorHAnsi" w:hAnsiTheme="minorHAnsi" w:cstheme="minorHAnsi"/>
          <w:lang w:val="en-GB"/>
        </w:rPr>
        <w:t xml:space="preserve"> („</w:t>
      </w:r>
      <w:proofErr w:type="spellStart"/>
      <w:r w:rsidR="001C4B9F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1C4B9F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Mid-term grade (in five-grade system)”;</w:t>
      </w:r>
      <w:r w:rsidR="00846E33" w:rsidRPr="00F46DDF">
        <w:rPr>
          <w:rFonts w:asciiTheme="minorHAnsi" w:hAnsiTheme="minorHAnsi" w:cstheme="minorHAnsi"/>
          <w:lang w:val="en-GB"/>
        </w:rPr>
        <w:t xml:space="preserve"> 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Written assignment</w:t>
      </w:r>
      <w:r w:rsidR="00846E33" w:rsidRPr="00F46DDF">
        <w:rPr>
          <w:rFonts w:asciiTheme="minorHAnsi" w:hAnsiTheme="minorHAnsi" w:cstheme="minorHAnsi"/>
          <w:lang w:val="en-GB"/>
        </w:rPr>
        <w:t xml:space="preserve"> (in three-grade system)”.</w:t>
      </w:r>
    </w:p>
  </w:footnote>
  <w:footnote w:id="15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b/>
          <w:lang w:val="en-GB"/>
        </w:rPr>
        <w:t>Number and type of classes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lang w:val="en-GB"/>
        </w:rPr>
        <w:t>in case of elective course-units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3 hours/semester for part-time students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846E33" w:rsidRPr="00F46DDF">
        <w:rPr>
          <w:rFonts w:asciiTheme="minorHAnsi" w:hAnsiTheme="minorHAnsi" w:cstheme="minorHAnsi"/>
          <w:lang w:val="en-GB"/>
        </w:rPr>
        <w:t xml:space="preserve">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2 hours/semester for part-time students.</w:t>
      </w:r>
    </w:p>
  </w:footnote>
  <w:footnote w:id="16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b/>
          <w:lang w:val="en-GB"/>
        </w:rPr>
        <w:t xml:space="preserve">Type of </w:t>
      </w:r>
      <w:r w:rsidR="00C87EFA" w:rsidRPr="00F46DDF">
        <w:rPr>
          <w:rFonts w:asciiTheme="minorHAnsi" w:hAnsiTheme="minorHAnsi" w:cstheme="minorHAnsi"/>
          <w:b/>
          <w:lang w:val="en-GB"/>
        </w:rPr>
        <w:t>contact hours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 „Lecture”;</w:t>
      </w:r>
      <w:r w:rsidR="00C87EFA" w:rsidRPr="00F46DDF">
        <w:rPr>
          <w:rFonts w:asciiTheme="minorHAnsi" w:hAnsiTheme="minorHAnsi" w:cstheme="minorHAnsi"/>
          <w:lang w:val="en-GB"/>
        </w:rPr>
        <w:t xml:space="preserve"> in case of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 xml:space="preserve"> „Seminar”.</w:t>
      </w:r>
    </w:p>
  </w:footnote>
  <w:footnote w:id="17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b/>
          <w:lang w:val="en-GB"/>
        </w:rPr>
        <w:t>Credit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2 credits both 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 and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18">
    <w:p w:rsidR="007F12FA" w:rsidRPr="00F46DDF" w:rsidRDefault="007F12FA" w:rsidP="007F12F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  <w:lang w:val="en-GB"/>
        </w:rPr>
        <w:footnoteRef/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b/>
          <w:sz w:val="20"/>
          <w:szCs w:val="20"/>
          <w:lang w:val="en-GB"/>
        </w:rPr>
        <w:t>Aim of the course</w:t>
      </w:r>
      <w:r w:rsidRPr="00F46DDF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F46DDF" w:rsidRPr="00F46DDF">
        <w:rPr>
          <w:rFonts w:asciiTheme="minorHAnsi" w:hAnsiTheme="minorHAnsi" w:cstheme="minorHAnsi"/>
          <w:sz w:val="20"/>
          <w:szCs w:val="20"/>
          <w:lang w:val="en-GB"/>
        </w:rPr>
        <w:t>this</w:t>
      </w:r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is to be outlined in ac</w:t>
      </w:r>
      <w:r w:rsidR="00E45CAC">
        <w:rPr>
          <w:rFonts w:asciiTheme="minorHAnsi" w:hAnsiTheme="minorHAnsi" w:cstheme="minorHAnsi"/>
          <w:sz w:val="20"/>
          <w:szCs w:val="20"/>
          <w:lang w:val="en-GB"/>
        </w:rPr>
        <w:t>cordance with the qualification</w:t>
      </w:r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requirements. For the Law Master qualification requirements please study </w:t>
      </w:r>
      <w:r w:rsidR="00C87EFA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Decree </w:t>
      </w:r>
      <w:r w:rsidR="00F46DDF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No. </w:t>
      </w:r>
      <w:r w:rsidR="00C87EFA" w:rsidRPr="00F46DDF">
        <w:rPr>
          <w:rFonts w:asciiTheme="minorHAnsi" w:hAnsiTheme="minorHAnsi" w:cstheme="minorHAnsi"/>
          <w:i/>
          <w:sz w:val="20"/>
          <w:szCs w:val="20"/>
          <w:lang w:val="en-GB"/>
        </w:rPr>
        <w:t>18/2016. (VIII. 5.)</w:t>
      </w:r>
      <w:r w:rsidR="00F46DDF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 EMMI</w:t>
      </w:r>
      <w:r w:rsidR="00C87EFA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, </w:t>
      </w:r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>Annex 4, Chapter V./2., 7.1.1. and 8.1.1.</w:t>
      </w:r>
    </w:p>
  </w:footnote>
  <w:footnote w:id="19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b/>
          <w:lang w:val="en-GB"/>
        </w:rPr>
        <w:t>Outline of the course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please specify at least 10-12 thematic items</w:t>
      </w:r>
      <w:r w:rsidRPr="00F46DDF">
        <w:rPr>
          <w:rFonts w:asciiTheme="minorHAnsi" w:hAnsiTheme="minorHAnsi" w:cstheme="minorHAnsi"/>
          <w:lang w:val="en-GB"/>
        </w:rPr>
        <w:t>.</w:t>
      </w:r>
      <w:r w:rsidR="00330CBF">
        <w:rPr>
          <w:rFonts w:asciiTheme="minorHAnsi" w:hAnsiTheme="minorHAnsi" w:cstheme="minorHAnsi"/>
          <w:lang w:val="en-GB"/>
        </w:rPr>
        <w:t xml:space="preserve"> Please don’t </w:t>
      </w:r>
      <w:r w:rsidR="002F2146">
        <w:rPr>
          <w:rFonts w:asciiTheme="minorHAnsi" w:hAnsiTheme="minorHAnsi" w:cstheme="minorHAnsi"/>
          <w:lang w:val="en-GB"/>
        </w:rPr>
        <w:t>assign</w:t>
      </w:r>
      <w:r w:rsidR="00330CBF">
        <w:rPr>
          <w:rFonts w:asciiTheme="minorHAnsi" w:hAnsiTheme="minorHAnsi" w:cstheme="minorHAnsi"/>
          <w:lang w:val="en-GB"/>
        </w:rPr>
        <w:t xml:space="preserve"> concrete dates </w:t>
      </w:r>
      <w:r w:rsidR="002F2146">
        <w:rPr>
          <w:rFonts w:asciiTheme="minorHAnsi" w:hAnsiTheme="minorHAnsi" w:cstheme="minorHAnsi"/>
          <w:lang w:val="en-GB"/>
        </w:rPr>
        <w:t>to the</w:t>
      </w:r>
      <w:r w:rsidR="00330CBF">
        <w:rPr>
          <w:rFonts w:asciiTheme="minorHAnsi" w:hAnsiTheme="minorHAnsi" w:cstheme="minorHAnsi"/>
          <w:lang w:val="en-GB"/>
        </w:rPr>
        <w:t xml:space="preserve"> </w:t>
      </w:r>
      <w:r w:rsidR="002F2146">
        <w:rPr>
          <w:rFonts w:asciiTheme="minorHAnsi" w:hAnsiTheme="minorHAnsi" w:cstheme="minorHAnsi"/>
          <w:lang w:val="en-GB"/>
        </w:rPr>
        <w:t>different</w:t>
      </w:r>
      <w:r w:rsidR="00330CBF">
        <w:rPr>
          <w:rFonts w:asciiTheme="minorHAnsi" w:hAnsiTheme="minorHAnsi" w:cstheme="minorHAnsi"/>
          <w:lang w:val="en-GB"/>
        </w:rPr>
        <w:t xml:space="preserve"> items, </w:t>
      </w:r>
      <w:r w:rsidR="00E45CAC">
        <w:rPr>
          <w:rFonts w:asciiTheme="minorHAnsi" w:hAnsiTheme="minorHAnsi" w:cstheme="minorHAnsi"/>
          <w:lang w:val="en-GB"/>
        </w:rPr>
        <w:t>but mark them with numbers!</w:t>
      </w:r>
    </w:p>
  </w:footnote>
  <w:footnote w:id="20">
    <w:p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F46DDF" w:rsidRPr="00F46DDF">
        <w:rPr>
          <w:rFonts w:asciiTheme="minorHAnsi" w:hAnsiTheme="minorHAnsi" w:cstheme="minorHAnsi"/>
          <w:b/>
          <w:lang w:val="en-GB"/>
        </w:rPr>
        <w:t>Testing</w:t>
      </w:r>
      <w:r w:rsidR="00C87EFA" w:rsidRPr="00F46DDF">
        <w:rPr>
          <w:rFonts w:asciiTheme="minorHAnsi" w:hAnsiTheme="minorHAnsi" w:cstheme="minorHAnsi"/>
          <w:b/>
          <w:lang w:val="en-GB"/>
        </w:rPr>
        <w:t xml:space="preserve"> and evaluation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 xml:space="preserve">please define how students will be examined and evaluated. </w:t>
      </w:r>
      <w:r w:rsidR="00F46DDF" w:rsidRPr="00F46DDF">
        <w:rPr>
          <w:rFonts w:asciiTheme="minorHAnsi" w:hAnsiTheme="minorHAnsi" w:cstheme="minorHAnsi"/>
          <w:lang w:val="en-GB"/>
        </w:rPr>
        <w:t>Oral exam, written exam or combined exam? Are there any mid-semester requirements to be fulfilled? Is the absence from class sanctioned (and if yes, how)? Are there any partial qualifications?</w:t>
      </w:r>
    </w:p>
  </w:footnote>
  <w:footnote w:id="21">
    <w:p w:rsidR="008546FF" w:rsidRDefault="008546FF" w:rsidP="007F12FA">
      <w:pPr>
        <w:pStyle w:val="Lbjegyzetszveg"/>
        <w:jc w:val="both"/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Course materials: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compulsory</w:t>
      </w:r>
      <w:r w:rsidRPr="00F46DDF">
        <w:rPr>
          <w:rFonts w:asciiTheme="minorHAnsi" w:hAnsiTheme="minorHAnsi" w:cstheme="minorHAnsi"/>
          <w:lang w:val="en-GB"/>
        </w:rPr>
        <w:t xml:space="preserve"> (and </w:t>
      </w:r>
      <w:r>
        <w:rPr>
          <w:rFonts w:asciiTheme="minorHAnsi" w:hAnsiTheme="minorHAnsi" w:cstheme="minorHAnsi"/>
          <w:lang w:val="en-GB"/>
        </w:rPr>
        <w:t>recommended</w:t>
      </w:r>
      <w:r w:rsidRPr="00F46DDF">
        <w:rPr>
          <w:rFonts w:asciiTheme="minorHAnsi" w:hAnsiTheme="minorHAnsi" w:cstheme="minorHAnsi"/>
          <w:lang w:val="en-GB"/>
        </w:rPr>
        <w:t>) course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F5D"/>
    <w:multiLevelType w:val="hybridMultilevel"/>
    <w:tmpl w:val="D25C9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4EDA"/>
    <w:multiLevelType w:val="hybridMultilevel"/>
    <w:tmpl w:val="927A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8D"/>
    <w:rsid w:val="000139EC"/>
    <w:rsid w:val="00087466"/>
    <w:rsid w:val="000D1EA0"/>
    <w:rsid w:val="00111ECB"/>
    <w:rsid w:val="001632C1"/>
    <w:rsid w:val="00186AF4"/>
    <w:rsid w:val="001B2E78"/>
    <w:rsid w:val="001B4F34"/>
    <w:rsid w:val="001C4B9F"/>
    <w:rsid w:val="001D055E"/>
    <w:rsid w:val="001D423E"/>
    <w:rsid w:val="00200C7D"/>
    <w:rsid w:val="00224874"/>
    <w:rsid w:val="00296DBF"/>
    <w:rsid w:val="002C3459"/>
    <w:rsid w:val="002F2146"/>
    <w:rsid w:val="00330CBF"/>
    <w:rsid w:val="0036767D"/>
    <w:rsid w:val="00396C14"/>
    <w:rsid w:val="003C5B9B"/>
    <w:rsid w:val="004464B3"/>
    <w:rsid w:val="004465DF"/>
    <w:rsid w:val="0047760F"/>
    <w:rsid w:val="004B710D"/>
    <w:rsid w:val="004C2DCF"/>
    <w:rsid w:val="004C50C3"/>
    <w:rsid w:val="004D2319"/>
    <w:rsid w:val="004F0016"/>
    <w:rsid w:val="005204F2"/>
    <w:rsid w:val="00541CF6"/>
    <w:rsid w:val="00555390"/>
    <w:rsid w:val="00590B54"/>
    <w:rsid w:val="00597723"/>
    <w:rsid w:val="005C782E"/>
    <w:rsid w:val="005E72E4"/>
    <w:rsid w:val="0060441F"/>
    <w:rsid w:val="00655DC1"/>
    <w:rsid w:val="006E6ED4"/>
    <w:rsid w:val="00716F81"/>
    <w:rsid w:val="00720C83"/>
    <w:rsid w:val="0075351E"/>
    <w:rsid w:val="007550FE"/>
    <w:rsid w:val="00791B0A"/>
    <w:rsid w:val="00793B1B"/>
    <w:rsid w:val="007B5C97"/>
    <w:rsid w:val="007C5A3D"/>
    <w:rsid w:val="007F12FA"/>
    <w:rsid w:val="008221C7"/>
    <w:rsid w:val="00834CD4"/>
    <w:rsid w:val="008365A5"/>
    <w:rsid w:val="008467B8"/>
    <w:rsid w:val="00846E33"/>
    <w:rsid w:val="008546FF"/>
    <w:rsid w:val="008C2A0B"/>
    <w:rsid w:val="008C5C30"/>
    <w:rsid w:val="008C6A87"/>
    <w:rsid w:val="008D41B1"/>
    <w:rsid w:val="008E3A93"/>
    <w:rsid w:val="008F3771"/>
    <w:rsid w:val="008F3997"/>
    <w:rsid w:val="00925E0D"/>
    <w:rsid w:val="00A057D2"/>
    <w:rsid w:val="00A37C81"/>
    <w:rsid w:val="00A45F98"/>
    <w:rsid w:val="00A90A8D"/>
    <w:rsid w:val="00AC5FD9"/>
    <w:rsid w:val="00AF0CE4"/>
    <w:rsid w:val="00C07F6C"/>
    <w:rsid w:val="00C87EFA"/>
    <w:rsid w:val="00CC1E87"/>
    <w:rsid w:val="00D67CD1"/>
    <w:rsid w:val="00DB1F41"/>
    <w:rsid w:val="00DF2BBC"/>
    <w:rsid w:val="00E27F4F"/>
    <w:rsid w:val="00E45CAC"/>
    <w:rsid w:val="00E52B29"/>
    <w:rsid w:val="00EA4D99"/>
    <w:rsid w:val="00EC0CFB"/>
    <w:rsid w:val="00EC6027"/>
    <w:rsid w:val="00EC7B92"/>
    <w:rsid w:val="00F1695A"/>
    <w:rsid w:val="00F46DDF"/>
    <w:rsid w:val="00F52125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F026B-B266-40B8-A34C-DFD478B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7723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eknormal">
    <w:name w:val="aeknormal"/>
    <w:basedOn w:val="Bekezdsalapbettpusa"/>
    <w:rsid w:val="00A37C8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1B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1B0A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791B0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D41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B1"/>
    <w:rPr>
      <w:rFonts w:eastAsia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B1"/>
    <w:rPr>
      <w:rFonts w:eastAsia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B1"/>
    <w:rPr>
      <w:rFonts w:ascii="Tahoma" w:eastAsia="Times New Roman" w:hAnsi="Tahoma" w:cs="Tahoma"/>
      <w:sz w:val="16"/>
      <w:szCs w:val="16"/>
    </w:rPr>
  </w:style>
  <w:style w:type="character" w:customStyle="1" w:styleId="link">
    <w:name w:val="link"/>
    <w:basedOn w:val="Bekezdsalapbettpusa"/>
    <w:rsid w:val="008C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862B1-2B81-4B1C-B98E-26F09173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6085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Kuslits Béláné</cp:lastModifiedBy>
  <cp:revision>2</cp:revision>
  <cp:lastPrinted>2023-02-07T15:16:00Z</cp:lastPrinted>
  <dcterms:created xsi:type="dcterms:W3CDTF">2024-10-15T10:05:00Z</dcterms:created>
  <dcterms:modified xsi:type="dcterms:W3CDTF">2024-10-15T10:05:00Z</dcterms:modified>
</cp:coreProperties>
</file>