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50307" w14:textId="77777777" w:rsidR="00E40B7D" w:rsidRPr="001232C3" w:rsidRDefault="00E40B7D">
      <w:pPr>
        <w:rPr>
          <w:rFonts w:asciiTheme="majorHAnsi" w:eastAsia="Calibri" w:hAnsiTheme="majorHAnsi" w:cstheme="majorHAnsi"/>
          <w:sz w:val="22"/>
          <w:szCs w:val="22"/>
        </w:rPr>
      </w:pPr>
      <w:bookmarkStart w:id="0" w:name="_GoBack"/>
      <w:bookmarkEnd w:id="0"/>
    </w:p>
    <w:tbl>
      <w:tblPr>
        <w:tblStyle w:val="a"/>
        <w:tblW w:w="98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2149"/>
        <w:gridCol w:w="2149"/>
        <w:gridCol w:w="2789"/>
      </w:tblGrid>
      <w:tr w:rsidR="00E40B7D" w:rsidRPr="001232C3" w14:paraId="2411316C" w14:textId="77777777">
        <w:trPr>
          <w:cantSplit/>
        </w:trPr>
        <w:tc>
          <w:tcPr>
            <w:tcW w:w="2764" w:type="dxa"/>
            <w:shd w:val="clear" w:color="auto" w:fill="F2F2F2"/>
            <w:vAlign w:val="center"/>
          </w:tcPr>
          <w:p w14:paraId="4C21CBA1"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Tárgynév:</w:t>
            </w:r>
          </w:p>
        </w:tc>
        <w:tc>
          <w:tcPr>
            <w:tcW w:w="7087" w:type="dxa"/>
            <w:gridSpan w:val="3"/>
            <w:vAlign w:val="center"/>
          </w:tcPr>
          <w:p w14:paraId="478DC025" w14:textId="3F9F6A5A" w:rsidR="00E40B7D" w:rsidRPr="001232C3" w:rsidRDefault="00643AB5">
            <w:pPr>
              <w:jc w:val="both"/>
              <w:rPr>
                <w:rFonts w:asciiTheme="majorHAnsi" w:eastAsia="Calibri" w:hAnsiTheme="majorHAnsi" w:cstheme="majorHAnsi"/>
                <w:sz w:val="22"/>
                <w:szCs w:val="22"/>
              </w:rPr>
            </w:pPr>
            <w:proofErr w:type="spellStart"/>
            <w:r w:rsidRPr="001232C3">
              <w:rPr>
                <w:rFonts w:asciiTheme="majorHAnsi" w:eastAsia="Calibri" w:hAnsiTheme="majorHAnsi" w:cstheme="majorHAnsi"/>
                <w:sz w:val="22"/>
                <w:szCs w:val="22"/>
              </w:rPr>
              <w:t>Resztoratív</w:t>
            </w:r>
            <w:proofErr w:type="spellEnd"/>
            <w:r w:rsidRPr="001232C3">
              <w:rPr>
                <w:rFonts w:asciiTheme="majorHAnsi" w:eastAsia="Calibri" w:hAnsiTheme="majorHAnsi" w:cstheme="majorHAnsi"/>
                <w:sz w:val="22"/>
                <w:szCs w:val="22"/>
              </w:rPr>
              <w:t xml:space="preserve"> igazságszolgáltatás, közvetítői eljárás</w:t>
            </w:r>
          </w:p>
        </w:tc>
      </w:tr>
      <w:tr w:rsidR="00E40B7D" w:rsidRPr="001232C3" w14:paraId="2045F6DB" w14:textId="77777777">
        <w:trPr>
          <w:cantSplit/>
        </w:trPr>
        <w:tc>
          <w:tcPr>
            <w:tcW w:w="2764" w:type="dxa"/>
            <w:shd w:val="clear" w:color="auto" w:fill="F2F2F2"/>
            <w:vAlign w:val="center"/>
          </w:tcPr>
          <w:p w14:paraId="42A1B7E1"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Szint:</w:t>
            </w:r>
            <w:r w:rsidRPr="001232C3">
              <w:rPr>
                <w:rFonts w:asciiTheme="majorHAnsi" w:eastAsia="Calibri" w:hAnsiTheme="majorHAnsi" w:cstheme="majorHAnsi"/>
                <w:b/>
                <w:sz w:val="22"/>
                <w:szCs w:val="22"/>
                <w:vertAlign w:val="superscript"/>
              </w:rPr>
              <w:footnoteReference w:id="1"/>
            </w:r>
          </w:p>
        </w:tc>
        <w:tc>
          <w:tcPr>
            <w:tcW w:w="7087" w:type="dxa"/>
            <w:gridSpan w:val="3"/>
            <w:vAlign w:val="center"/>
          </w:tcPr>
          <w:p w14:paraId="5117FCB1" w14:textId="77777777" w:rsidR="00E40B7D" w:rsidRPr="001232C3" w:rsidRDefault="00643AB5">
            <w:pPr>
              <w:spacing w:before="60" w:after="60"/>
              <w:rPr>
                <w:rFonts w:asciiTheme="majorHAnsi" w:eastAsia="Calibri" w:hAnsiTheme="majorHAnsi" w:cstheme="majorHAnsi"/>
                <w:sz w:val="22"/>
                <w:szCs w:val="22"/>
              </w:rPr>
            </w:pPr>
            <w:r w:rsidRPr="001232C3">
              <w:rPr>
                <w:rFonts w:asciiTheme="majorHAnsi" w:eastAsia="Calibri" w:hAnsiTheme="majorHAnsi" w:cstheme="majorHAnsi"/>
                <w:sz w:val="22"/>
                <w:szCs w:val="22"/>
              </w:rPr>
              <w:t>5</w:t>
            </w:r>
          </w:p>
        </w:tc>
      </w:tr>
      <w:tr w:rsidR="00E40B7D" w:rsidRPr="001232C3" w14:paraId="4153C54D" w14:textId="77777777">
        <w:trPr>
          <w:cantSplit/>
        </w:trPr>
        <w:tc>
          <w:tcPr>
            <w:tcW w:w="2764" w:type="dxa"/>
            <w:shd w:val="clear" w:color="auto" w:fill="F2F2F2"/>
            <w:vAlign w:val="center"/>
          </w:tcPr>
          <w:p w14:paraId="371C0042"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Előfeltétel:</w:t>
            </w:r>
            <w:r w:rsidRPr="001232C3">
              <w:rPr>
                <w:rFonts w:asciiTheme="majorHAnsi" w:eastAsia="Calibri" w:hAnsiTheme="majorHAnsi" w:cstheme="majorHAnsi"/>
                <w:b/>
                <w:sz w:val="22"/>
                <w:szCs w:val="22"/>
                <w:vertAlign w:val="superscript"/>
              </w:rPr>
              <w:footnoteReference w:id="2"/>
            </w:r>
          </w:p>
        </w:tc>
        <w:tc>
          <w:tcPr>
            <w:tcW w:w="7087" w:type="dxa"/>
            <w:gridSpan w:val="3"/>
            <w:vAlign w:val="center"/>
          </w:tcPr>
          <w:p w14:paraId="4842AF81" w14:textId="77777777" w:rsidR="00E40B7D" w:rsidRPr="001232C3" w:rsidRDefault="00643AB5">
            <w:pPr>
              <w:spacing w:before="60" w:after="60"/>
              <w:rPr>
                <w:rFonts w:asciiTheme="majorHAnsi" w:eastAsia="Calibri" w:hAnsiTheme="majorHAnsi" w:cstheme="majorHAnsi"/>
                <w:sz w:val="22"/>
                <w:szCs w:val="22"/>
              </w:rPr>
            </w:pPr>
            <w:r w:rsidRPr="001232C3">
              <w:rPr>
                <w:rFonts w:asciiTheme="majorHAnsi" w:eastAsia="Calibri" w:hAnsiTheme="majorHAnsi" w:cstheme="majorHAnsi"/>
                <w:sz w:val="22"/>
                <w:szCs w:val="22"/>
              </w:rPr>
              <w:t>-</w:t>
            </w:r>
          </w:p>
        </w:tc>
      </w:tr>
      <w:tr w:rsidR="00E40B7D" w:rsidRPr="001232C3" w14:paraId="41CFADD9" w14:textId="77777777">
        <w:trPr>
          <w:cantSplit/>
        </w:trPr>
        <w:tc>
          <w:tcPr>
            <w:tcW w:w="2764" w:type="dxa"/>
            <w:shd w:val="clear" w:color="auto" w:fill="F2F2F2"/>
            <w:vAlign w:val="center"/>
          </w:tcPr>
          <w:p w14:paraId="45C4E1DB"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Követelmény típus:</w:t>
            </w:r>
            <w:r w:rsidRPr="001232C3">
              <w:rPr>
                <w:rFonts w:asciiTheme="majorHAnsi" w:eastAsia="Calibri" w:hAnsiTheme="majorHAnsi" w:cstheme="majorHAnsi"/>
                <w:b/>
                <w:sz w:val="22"/>
                <w:szCs w:val="22"/>
                <w:vertAlign w:val="superscript"/>
              </w:rPr>
              <w:footnoteReference w:id="3"/>
            </w:r>
          </w:p>
        </w:tc>
        <w:tc>
          <w:tcPr>
            <w:tcW w:w="7087" w:type="dxa"/>
            <w:gridSpan w:val="3"/>
            <w:vAlign w:val="center"/>
          </w:tcPr>
          <w:p w14:paraId="2D1961F5" w14:textId="77777777" w:rsidR="00E40B7D" w:rsidRPr="001232C3" w:rsidRDefault="00643AB5">
            <w:pPr>
              <w:spacing w:before="60" w:after="60"/>
              <w:rPr>
                <w:rFonts w:asciiTheme="majorHAnsi" w:eastAsia="Calibri" w:hAnsiTheme="majorHAnsi" w:cstheme="majorHAnsi"/>
                <w:sz w:val="22"/>
                <w:szCs w:val="22"/>
              </w:rPr>
            </w:pPr>
            <w:r w:rsidRPr="001232C3">
              <w:rPr>
                <w:rFonts w:asciiTheme="majorHAnsi" w:eastAsia="Calibri" w:hAnsiTheme="majorHAnsi" w:cstheme="majorHAnsi"/>
                <w:sz w:val="22"/>
                <w:szCs w:val="22"/>
              </w:rPr>
              <w:t>beszámoló, 3 fokozatú</w:t>
            </w:r>
          </w:p>
        </w:tc>
      </w:tr>
      <w:tr w:rsidR="00E40B7D" w:rsidRPr="001232C3" w14:paraId="64268CEC" w14:textId="77777777">
        <w:trPr>
          <w:cantSplit/>
        </w:trPr>
        <w:tc>
          <w:tcPr>
            <w:tcW w:w="2764" w:type="dxa"/>
            <w:vMerge w:val="restart"/>
            <w:shd w:val="clear" w:color="auto" w:fill="F2F2F2"/>
            <w:vAlign w:val="center"/>
          </w:tcPr>
          <w:p w14:paraId="574D405D"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Óraszám</w:t>
            </w:r>
            <w:r w:rsidRPr="001232C3">
              <w:rPr>
                <w:rFonts w:asciiTheme="majorHAnsi" w:eastAsia="Calibri" w:hAnsiTheme="majorHAnsi" w:cstheme="majorHAnsi"/>
                <w:b/>
                <w:sz w:val="22"/>
                <w:szCs w:val="22"/>
                <w:vertAlign w:val="superscript"/>
              </w:rPr>
              <w:footnoteReference w:id="4"/>
            </w:r>
            <w:r w:rsidRPr="001232C3">
              <w:rPr>
                <w:rFonts w:asciiTheme="majorHAnsi" w:eastAsia="Calibri" w:hAnsiTheme="majorHAnsi" w:cstheme="majorHAnsi"/>
                <w:b/>
                <w:sz w:val="22"/>
                <w:szCs w:val="22"/>
              </w:rPr>
              <w:t xml:space="preserve"> és -típus:</w:t>
            </w:r>
            <w:r w:rsidRPr="001232C3">
              <w:rPr>
                <w:rFonts w:asciiTheme="majorHAnsi" w:eastAsia="Calibri" w:hAnsiTheme="majorHAnsi" w:cstheme="majorHAnsi"/>
                <w:b/>
                <w:sz w:val="22"/>
                <w:szCs w:val="22"/>
                <w:vertAlign w:val="superscript"/>
              </w:rPr>
              <w:footnoteReference w:id="5"/>
            </w:r>
          </w:p>
        </w:tc>
        <w:tc>
          <w:tcPr>
            <w:tcW w:w="2149" w:type="dxa"/>
            <w:vMerge w:val="restart"/>
            <w:shd w:val="clear" w:color="auto" w:fill="F2F2F2"/>
            <w:vAlign w:val="center"/>
          </w:tcPr>
          <w:p w14:paraId="49AB0427"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Nappali:</w:t>
            </w:r>
          </w:p>
        </w:tc>
        <w:tc>
          <w:tcPr>
            <w:tcW w:w="2149" w:type="dxa"/>
            <w:shd w:val="clear" w:color="auto" w:fill="F2F2F2"/>
            <w:vAlign w:val="center"/>
          </w:tcPr>
          <w:p w14:paraId="40CB3A3D"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Előadás:</w:t>
            </w:r>
          </w:p>
        </w:tc>
        <w:tc>
          <w:tcPr>
            <w:tcW w:w="2789" w:type="dxa"/>
            <w:vAlign w:val="center"/>
          </w:tcPr>
          <w:p w14:paraId="4F86097B" w14:textId="77777777" w:rsidR="00E40B7D" w:rsidRPr="001232C3" w:rsidRDefault="00E40B7D">
            <w:pPr>
              <w:spacing w:before="60" w:after="60"/>
              <w:rPr>
                <w:rFonts w:asciiTheme="majorHAnsi" w:eastAsia="Calibri" w:hAnsiTheme="majorHAnsi" w:cstheme="majorHAnsi"/>
                <w:sz w:val="22"/>
                <w:szCs w:val="22"/>
              </w:rPr>
            </w:pPr>
          </w:p>
        </w:tc>
      </w:tr>
      <w:tr w:rsidR="00E40B7D" w:rsidRPr="001232C3" w14:paraId="58DD4ACE" w14:textId="77777777">
        <w:trPr>
          <w:cantSplit/>
        </w:trPr>
        <w:tc>
          <w:tcPr>
            <w:tcW w:w="2764" w:type="dxa"/>
            <w:vMerge/>
            <w:shd w:val="clear" w:color="auto" w:fill="F2F2F2"/>
            <w:vAlign w:val="center"/>
          </w:tcPr>
          <w:p w14:paraId="35F92063" w14:textId="77777777" w:rsidR="00E40B7D" w:rsidRPr="001232C3" w:rsidRDefault="00E40B7D">
            <w:pPr>
              <w:widowControl w:val="0"/>
              <w:pBdr>
                <w:top w:val="nil"/>
                <w:left w:val="nil"/>
                <w:bottom w:val="nil"/>
                <w:right w:val="nil"/>
                <w:between w:val="nil"/>
              </w:pBdr>
              <w:spacing w:line="276" w:lineRule="auto"/>
              <w:rPr>
                <w:rFonts w:asciiTheme="majorHAnsi" w:eastAsia="Calibri" w:hAnsiTheme="majorHAnsi" w:cstheme="majorHAnsi"/>
                <w:sz w:val="22"/>
                <w:szCs w:val="22"/>
              </w:rPr>
            </w:pPr>
          </w:p>
        </w:tc>
        <w:tc>
          <w:tcPr>
            <w:tcW w:w="2149" w:type="dxa"/>
            <w:vMerge/>
            <w:shd w:val="clear" w:color="auto" w:fill="F2F2F2"/>
            <w:vAlign w:val="center"/>
          </w:tcPr>
          <w:p w14:paraId="315C49F6" w14:textId="77777777" w:rsidR="00E40B7D" w:rsidRPr="001232C3" w:rsidRDefault="00E40B7D">
            <w:pPr>
              <w:widowControl w:val="0"/>
              <w:pBdr>
                <w:top w:val="nil"/>
                <w:left w:val="nil"/>
                <w:bottom w:val="nil"/>
                <w:right w:val="nil"/>
                <w:between w:val="nil"/>
              </w:pBdr>
              <w:spacing w:line="276" w:lineRule="auto"/>
              <w:rPr>
                <w:rFonts w:asciiTheme="majorHAnsi" w:eastAsia="Calibri" w:hAnsiTheme="majorHAnsi" w:cstheme="majorHAnsi"/>
                <w:sz w:val="22"/>
                <w:szCs w:val="22"/>
              </w:rPr>
            </w:pPr>
          </w:p>
        </w:tc>
        <w:tc>
          <w:tcPr>
            <w:tcW w:w="2149" w:type="dxa"/>
            <w:shd w:val="clear" w:color="auto" w:fill="F2F2F2"/>
            <w:vAlign w:val="center"/>
          </w:tcPr>
          <w:p w14:paraId="3C8E2D99"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Gyakorlat:</w:t>
            </w:r>
          </w:p>
        </w:tc>
        <w:tc>
          <w:tcPr>
            <w:tcW w:w="2789" w:type="dxa"/>
            <w:vAlign w:val="center"/>
          </w:tcPr>
          <w:p w14:paraId="35780825" w14:textId="77777777" w:rsidR="00E40B7D" w:rsidRPr="001232C3" w:rsidRDefault="00643AB5">
            <w:pPr>
              <w:spacing w:before="60" w:after="60"/>
              <w:rPr>
                <w:rFonts w:asciiTheme="majorHAnsi" w:eastAsia="Calibri" w:hAnsiTheme="majorHAnsi" w:cstheme="majorHAnsi"/>
                <w:sz w:val="22"/>
                <w:szCs w:val="22"/>
              </w:rPr>
            </w:pPr>
            <w:r w:rsidRPr="001232C3">
              <w:rPr>
                <w:rFonts w:asciiTheme="majorHAnsi" w:eastAsia="Calibri" w:hAnsiTheme="majorHAnsi" w:cstheme="majorHAnsi"/>
                <w:sz w:val="22"/>
                <w:szCs w:val="22"/>
              </w:rPr>
              <w:t>heti 2 óra</w:t>
            </w:r>
          </w:p>
        </w:tc>
      </w:tr>
      <w:tr w:rsidR="00E40B7D" w:rsidRPr="001232C3" w14:paraId="20BEC0C0" w14:textId="77777777">
        <w:trPr>
          <w:cantSplit/>
        </w:trPr>
        <w:tc>
          <w:tcPr>
            <w:tcW w:w="2764" w:type="dxa"/>
            <w:vMerge/>
            <w:shd w:val="clear" w:color="auto" w:fill="F2F2F2"/>
            <w:vAlign w:val="center"/>
          </w:tcPr>
          <w:p w14:paraId="3C8BB919" w14:textId="77777777" w:rsidR="00E40B7D" w:rsidRPr="001232C3" w:rsidRDefault="00E40B7D">
            <w:pPr>
              <w:widowControl w:val="0"/>
              <w:pBdr>
                <w:top w:val="nil"/>
                <w:left w:val="nil"/>
                <w:bottom w:val="nil"/>
                <w:right w:val="nil"/>
                <w:between w:val="nil"/>
              </w:pBdr>
              <w:spacing w:line="276" w:lineRule="auto"/>
              <w:rPr>
                <w:rFonts w:asciiTheme="majorHAnsi" w:eastAsia="Calibri" w:hAnsiTheme="majorHAnsi" w:cstheme="majorHAnsi"/>
                <w:sz w:val="22"/>
                <w:szCs w:val="22"/>
              </w:rPr>
            </w:pPr>
          </w:p>
        </w:tc>
        <w:tc>
          <w:tcPr>
            <w:tcW w:w="2149" w:type="dxa"/>
            <w:vMerge w:val="restart"/>
            <w:shd w:val="clear" w:color="auto" w:fill="F2F2F2"/>
            <w:vAlign w:val="center"/>
          </w:tcPr>
          <w:p w14:paraId="5748BC03"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Levelező:</w:t>
            </w:r>
          </w:p>
        </w:tc>
        <w:tc>
          <w:tcPr>
            <w:tcW w:w="2149" w:type="dxa"/>
            <w:shd w:val="clear" w:color="auto" w:fill="F2F2F2"/>
            <w:vAlign w:val="center"/>
          </w:tcPr>
          <w:p w14:paraId="1C61A751"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Előadás:</w:t>
            </w:r>
          </w:p>
        </w:tc>
        <w:tc>
          <w:tcPr>
            <w:tcW w:w="2789" w:type="dxa"/>
            <w:vAlign w:val="center"/>
          </w:tcPr>
          <w:p w14:paraId="695C9B4D" w14:textId="77777777" w:rsidR="00E40B7D" w:rsidRPr="001232C3" w:rsidRDefault="00E40B7D">
            <w:pPr>
              <w:spacing w:before="60" w:after="60"/>
              <w:rPr>
                <w:rFonts w:asciiTheme="majorHAnsi" w:eastAsia="Calibri" w:hAnsiTheme="majorHAnsi" w:cstheme="majorHAnsi"/>
                <w:sz w:val="22"/>
                <w:szCs w:val="22"/>
              </w:rPr>
            </w:pPr>
          </w:p>
        </w:tc>
      </w:tr>
      <w:tr w:rsidR="00E40B7D" w:rsidRPr="001232C3" w14:paraId="2CEA9BFC" w14:textId="77777777">
        <w:trPr>
          <w:cantSplit/>
        </w:trPr>
        <w:tc>
          <w:tcPr>
            <w:tcW w:w="2764" w:type="dxa"/>
            <w:vMerge/>
            <w:shd w:val="clear" w:color="auto" w:fill="F2F2F2"/>
            <w:vAlign w:val="center"/>
          </w:tcPr>
          <w:p w14:paraId="50F54F2E" w14:textId="77777777" w:rsidR="00E40B7D" w:rsidRPr="001232C3" w:rsidRDefault="00E40B7D">
            <w:pPr>
              <w:widowControl w:val="0"/>
              <w:pBdr>
                <w:top w:val="nil"/>
                <w:left w:val="nil"/>
                <w:bottom w:val="nil"/>
                <w:right w:val="nil"/>
                <w:between w:val="nil"/>
              </w:pBdr>
              <w:spacing w:line="276" w:lineRule="auto"/>
              <w:rPr>
                <w:rFonts w:asciiTheme="majorHAnsi" w:eastAsia="Calibri" w:hAnsiTheme="majorHAnsi" w:cstheme="majorHAnsi"/>
                <w:sz w:val="22"/>
                <w:szCs w:val="22"/>
              </w:rPr>
            </w:pPr>
          </w:p>
        </w:tc>
        <w:tc>
          <w:tcPr>
            <w:tcW w:w="2149" w:type="dxa"/>
            <w:vMerge/>
            <w:shd w:val="clear" w:color="auto" w:fill="F2F2F2"/>
            <w:vAlign w:val="center"/>
          </w:tcPr>
          <w:p w14:paraId="6DEB71D9" w14:textId="77777777" w:rsidR="00E40B7D" w:rsidRPr="001232C3" w:rsidRDefault="00E40B7D">
            <w:pPr>
              <w:widowControl w:val="0"/>
              <w:pBdr>
                <w:top w:val="nil"/>
                <w:left w:val="nil"/>
                <w:bottom w:val="nil"/>
                <w:right w:val="nil"/>
                <w:between w:val="nil"/>
              </w:pBdr>
              <w:spacing w:line="276" w:lineRule="auto"/>
              <w:rPr>
                <w:rFonts w:asciiTheme="majorHAnsi" w:eastAsia="Calibri" w:hAnsiTheme="majorHAnsi" w:cstheme="majorHAnsi"/>
                <w:sz w:val="22"/>
                <w:szCs w:val="22"/>
              </w:rPr>
            </w:pPr>
          </w:p>
        </w:tc>
        <w:tc>
          <w:tcPr>
            <w:tcW w:w="2149" w:type="dxa"/>
            <w:shd w:val="clear" w:color="auto" w:fill="F2F2F2"/>
            <w:vAlign w:val="center"/>
          </w:tcPr>
          <w:p w14:paraId="7C7B7F60"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Gyakorlat:</w:t>
            </w:r>
          </w:p>
        </w:tc>
        <w:tc>
          <w:tcPr>
            <w:tcW w:w="2789" w:type="dxa"/>
            <w:vAlign w:val="center"/>
          </w:tcPr>
          <w:p w14:paraId="28D2754C" w14:textId="6D1903F1" w:rsidR="00E40B7D" w:rsidRPr="001232C3" w:rsidRDefault="00FF3D8F">
            <w:pPr>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2</w:t>
            </w:r>
            <w:r w:rsidR="00643AB5" w:rsidRPr="001232C3">
              <w:rPr>
                <w:rFonts w:asciiTheme="majorHAnsi" w:eastAsia="Calibri" w:hAnsiTheme="majorHAnsi" w:cstheme="majorHAnsi"/>
                <w:sz w:val="22"/>
                <w:szCs w:val="22"/>
              </w:rPr>
              <w:t xml:space="preserve"> óra /félév</w:t>
            </w:r>
          </w:p>
        </w:tc>
      </w:tr>
      <w:tr w:rsidR="00E40B7D" w:rsidRPr="001232C3" w14:paraId="0B35AE94" w14:textId="77777777">
        <w:trPr>
          <w:cantSplit/>
        </w:trPr>
        <w:tc>
          <w:tcPr>
            <w:tcW w:w="2764" w:type="dxa"/>
            <w:shd w:val="clear" w:color="auto" w:fill="F2F2F2"/>
            <w:vAlign w:val="center"/>
          </w:tcPr>
          <w:p w14:paraId="3F6ECEF0"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Kredit:</w:t>
            </w:r>
            <w:r w:rsidRPr="001232C3">
              <w:rPr>
                <w:rFonts w:asciiTheme="majorHAnsi" w:eastAsia="Calibri" w:hAnsiTheme="majorHAnsi" w:cstheme="majorHAnsi"/>
                <w:b/>
                <w:sz w:val="22"/>
                <w:szCs w:val="22"/>
                <w:vertAlign w:val="superscript"/>
              </w:rPr>
              <w:footnoteReference w:id="6"/>
            </w:r>
          </w:p>
        </w:tc>
        <w:tc>
          <w:tcPr>
            <w:tcW w:w="7087" w:type="dxa"/>
            <w:gridSpan w:val="3"/>
            <w:vAlign w:val="center"/>
          </w:tcPr>
          <w:p w14:paraId="1905B677" w14:textId="77777777" w:rsidR="00E40B7D" w:rsidRPr="001232C3" w:rsidRDefault="00643AB5">
            <w:pPr>
              <w:spacing w:before="60" w:after="60"/>
              <w:rPr>
                <w:rFonts w:asciiTheme="majorHAnsi" w:eastAsia="Calibri" w:hAnsiTheme="majorHAnsi" w:cstheme="majorHAnsi"/>
                <w:sz w:val="22"/>
                <w:szCs w:val="22"/>
              </w:rPr>
            </w:pPr>
            <w:r w:rsidRPr="001232C3">
              <w:rPr>
                <w:rFonts w:asciiTheme="majorHAnsi" w:eastAsia="Calibri" w:hAnsiTheme="majorHAnsi" w:cstheme="majorHAnsi"/>
                <w:sz w:val="22"/>
                <w:szCs w:val="22"/>
              </w:rPr>
              <w:t>2</w:t>
            </w:r>
          </w:p>
        </w:tc>
      </w:tr>
      <w:tr w:rsidR="00E40B7D" w:rsidRPr="001232C3" w14:paraId="35F2CA6D" w14:textId="77777777">
        <w:trPr>
          <w:cantSplit/>
        </w:trPr>
        <w:tc>
          <w:tcPr>
            <w:tcW w:w="2764" w:type="dxa"/>
            <w:shd w:val="clear" w:color="auto" w:fill="F2F2F2"/>
            <w:vAlign w:val="center"/>
          </w:tcPr>
          <w:p w14:paraId="257711D9"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Felelős szervezet neve:</w:t>
            </w:r>
            <w:r w:rsidRPr="001232C3">
              <w:rPr>
                <w:rFonts w:asciiTheme="majorHAnsi" w:eastAsia="Calibri" w:hAnsiTheme="majorHAnsi" w:cstheme="majorHAnsi"/>
                <w:b/>
                <w:sz w:val="22"/>
                <w:szCs w:val="22"/>
                <w:vertAlign w:val="superscript"/>
              </w:rPr>
              <w:footnoteReference w:id="7"/>
            </w:r>
          </w:p>
        </w:tc>
        <w:tc>
          <w:tcPr>
            <w:tcW w:w="7087" w:type="dxa"/>
            <w:gridSpan w:val="3"/>
            <w:vAlign w:val="center"/>
          </w:tcPr>
          <w:p w14:paraId="63F48081" w14:textId="77777777" w:rsidR="00E40B7D" w:rsidRPr="001232C3" w:rsidRDefault="00643AB5">
            <w:pPr>
              <w:spacing w:before="60" w:after="60"/>
              <w:rPr>
                <w:rFonts w:asciiTheme="majorHAnsi" w:eastAsia="Calibri" w:hAnsiTheme="majorHAnsi" w:cstheme="majorHAnsi"/>
                <w:sz w:val="22"/>
                <w:szCs w:val="22"/>
              </w:rPr>
            </w:pPr>
            <w:r w:rsidRPr="001232C3">
              <w:rPr>
                <w:rFonts w:asciiTheme="majorHAnsi" w:eastAsia="Calibri" w:hAnsiTheme="majorHAnsi" w:cstheme="majorHAnsi"/>
                <w:sz w:val="22"/>
                <w:szCs w:val="22"/>
              </w:rPr>
              <w:t>Büntető Anyagi, Eljárási és Végrehajtási Jogi Tanszék</w:t>
            </w:r>
          </w:p>
        </w:tc>
      </w:tr>
      <w:tr w:rsidR="00E40B7D" w:rsidRPr="001232C3" w14:paraId="2F0F3024" w14:textId="77777777">
        <w:trPr>
          <w:cantSplit/>
        </w:trPr>
        <w:tc>
          <w:tcPr>
            <w:tcW w:w="2764" w:type="dxa"/>
            <w:shd w:val="clear" w:color="auto" w:fill="F2F2F2"/>
            <w:vAlign w:val="center"/>
          </w:tcPr>
          <w:p w14:paraId="3E4C9136"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Tárgyfelelős neve:</w:t>
            </w:r>
          </w:p>
        </w:tc>
        <w:tc>
          <w:tcPr>
            <w:tcW w:w="7087" w:type="dxa"/>
            <w:gridSpan w:val="3"/>
            <w:vAlign w:val="center"/>
          </w:tcPr>
          <w:p w14:paraId="1A6BA7C0" w14:textId="77777777" w:rsidR="00E40B7D" w:rsidRPr="001232C3" w:rsidRDefault="00643AB5">
            <w:pPr>
              <w:spacing w:before="60" w:after="60"/>
              <w:rPr>
                <w:rFonts w:asciiTheme="majorHAnsi" w:eastAsia="Calibri" w:hAnsiTheme="majorHAnsi" w:cstheme="majorHAnsi"/>
                <w:sz w:val="22"/>
                <w:szCs w:val="22"/>
              </w:rPr>
            </w:pPr>
            <w:r w:rsidRPr="001232C3">
              <w:rPr>
                <w:rFonts w:asciiTheme="majorHAnsi" w:eastAsia="Calibri" w:hAnsiTheme="majorHAnsi" w:cstheme="majorHAnsi"/>
                <w:sz w:val="22"/>
                <w:szCs w:val="22"/>
              </w:rPr>
              <w:t>Dr. Villám Péter</w:t>
            </w:r>
          </w:p>
        </w:tc>
      </w:tr>
      <w:tr w:rsidR="00E40B7D" w:rsidRPr="001232C3" w14:paraId="5DEAA4D3" w14:textId="77777777">
        <w:trPr>
          <w:cantSplit/>
        </w:trPr>
        <w:tc>
          <w:tcPr>
            <w:tcW w:w="2764" w:type="dxa"/>
            <w:shd w:val="clear" w:color="auto" w:fill="D7E3BC"/>
            <w:vAlign w:val="center"/>
          </w:tcPr>
          <w:p w14:paraId="74B6A22D"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Oktatás célja:</w:t>
            </w:r>
            <w:r w:rsidRPr="001232C3">
              <w:rPr>
                <w:rFonts w:asciiTheme="majorHAnsi" w:eastAsia="Calibri" w:hAnsiTheme="majorHAnsi" w:cstheme="majorHAnsi"/>
                <w:b/>
                <w:sz w:val="22"/>
                <w:szCs w:val="22"/>
                <w:vertAlign w:val="superscript"/>
              </w:rPr>
              <w:footnoteReference w:id="8"/>
            </w:r>
          </w:p>
        </w:tc>
        <w:tc>
          <w:tcPr>
            <w:tcW w:w="7087" w:type="dxa"/>
            <w:gridSpan w:val="3"/>
            <w:vAlign w:val="center"/>
          </w:tcPr>
          <w:p w14:paraId="1D789508" w14:textId="77777777" w:rsidR="00E40B7D" w:rsidRPr="001232C3" w:rsidRDefault="00643AB5">
            <w:pPr>
              <w:spacing w:after="60"/>
              <w:rPr>
                <w:rFonts w:asciiTheme="majorHAnsi" w:eastAsia="Calibri" w:hAnsiTheme="majorHAnsi" w:cstheme="majorHAnsi"/>
                <w:sz w:val="22"/>
                <w:szCs w:val="22"/>
              </w:rPr>
            </w:pPr>
            <w:r w:rsidRPr="001232C3">
              <w:rPr>
                <w:rFonts w:asciiTheme="majorHAnsi" w:eastAsia="Calibri" w:hAnsiTheme="majorHAnsi" w:cstheme="majorHAnsi"/>
                <w:sz w:val="22"/>
                <w:szCs w:val="22"/>
              </w:rPr>
              <w:t xml:space="preserve">Az oktatás célja </w:t>
            </w:r>
            <w:r w:rsidRPr="001232C3">
              <w:rPr>
                <w:rFonts w:asciiTheme="majorHAnsi" w:eastAsia="Calibri" w:hAnsiTheme="majorHAnsi" w:cstheme="majorHAnsi"/>
                <w:i/>
                <w:sz w:val="22"/>
                <w:szCs w:val="22"/>
              </w:rPr>
              <w:t>(a KKK 7.1.1. és 8.1.1. pontjában foglalt elemekre is kitérve)</w:t>
            </w:r>
            <w:r w:rsidRPr="001232C3">
              <w:rPr>
                <w:rFonts w:asciiTheme="majorHAnsi" w:eastAsia="Calibri" w:hAnsiTheme="majorHAnsi" w:cstheme="majorHAnsi"/>
                <w:sz w:val="22"/>
                <w:szCs w:val="22"/>
              </w:rPr>
              <w:t>:</w:t>
            </w:r>
          </w:p>
          <w:p w14:paraId="35FA10F9" w14:textId="77777777" w:rsidR="00E40B7D" w:rsidRPr="001232C3" w:rsidRDefault="00643AB5">
            <w:pPr>
              <w:jc w:val="both"/>
              <w:rPr>
                <w:rFonts w:asciiTheme="majorHAnsi" w:hAnsiTheme="majorHAnsi" w:cstheme="majorHAnsi"/>
                <w:sz w:val="22"/>
                <w:szCs w:val="22"/>
                <w:u w:val="single"/>
              </w:rPr>
            </w:pPr>
            <w:r w:rsidRPr="001232C3">
              <w:rPr>
                <w:rFonts w:asciiTheme="majorHAnsi" w:hAnsiTheme="majorHAnsi" w:cstheme="majorHAnsi"/>
                <w:sz w:val="22"/>
                <w:szCs w:val="22"/>
                <w:u w:val="single"/>
              </w:rPr>
              <w:t>Oktatás célja:</w:t>
            </w:r>
          </w:p>
          <w:p w14:paraId="5569FBB8" w14:textId="77777777" w:rsidR="00E40B7D" w:rsidRPr="001232C3" w:rsidRDefault="00643AB5">
            <w:pPr>
              <w:jc w:val="both"/>
              <w:rPr>
                <w:rFonts w:asciiTheme="majorHAnsi" w:eastAsia="Calibri" w:hAnsiTheme="majorHAnsi" w:cstheme="majorHAnsi"/>
                <w:sz w:val="22"/>
                <w:szCs w:val="22"/>
              </w:rPr>
            </w:pPr>
            <w:r w:rsidRPr="001232C3">
              <w:rPr>
                <w:rFonts w:asciiTheme="majorHAnsi" w:eastAsia="Calibri" w:hAnsiTheme="majorHAnsi" w:cstheme="majorHAnsi"/>
                <w:i/>
                <w:sz w:val="22"/>
                <w:szCs w:val="22"/>
              </w:rPr>
              <w:t>A büntetőeljárásban alkalmazható diverziós eljárás, a közvetítői eljárás jogszabályi környezetének bemutatása. A közvetítői eljárásban alkalmazható resztoratív módszerek feltárása. A közvetítői eljárás büntetőügyekben 2007. januári 1. hatállyal került bevezetésre a hazai jogrendbe.</w:t>
            </w:r>
          </w:p>
        </w:tc>
      </w:tr>
      <w:tr w:rsidR="00E40B7D" w:rsidRPr="001232C3" w14:paraId="097EC033" w14:textId="77777777">
        <w:trPr>
          <w:cantSplit/>
        </w:trPr>
        <w:tc>
          <w:tcPr>
            <w:tcW w:w="2764" w:type="dxa"/>
            <w:shd w:val="clear" w:color="auto" w:fill="D7E3BC"/>
            <w:vAlign w:val="center"/>
          </w:tcPr>
          <w:p w14:paraId="0DC20A79"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lastRenderedPageBreak/>
              <w:t>Tantárgy tartalma:</w:t>
            </w:r>
            <w:r w:rsidRPr="001232C3">
              <w:rPr>
                <w:rFonts w:asciiTheme="majorHAnsi" w:eastAsia="Calibri" w:hAnsiTheme="majorHAnsi" w:cstheme="majorHAnsi"/>
                <w:b/>
                <w:sz w:val="22"/>
                <w:szCs w:val="22"/>
                <w:vertAlign w:val="superscript"/>
              </w:rPr>
              <w:footnoteReference w:id="9"/>
            </w:r>
          </w:p>
        </w:tc>
        <w:tc>
          <w:tcPr>
            <w:tcW w:w="7087" w:type="dxa"/>
            <w:gridSpan w:val="3"/>
            <w:vAlign w:val="center"/>
          </w:tcPr>
          <w:p w14:paraId="681872EF" w14:textId="77777777" w:rsidR="00E40B7D" w:rsidRPr="001232C3" w:rsidRDefault="00643AB5">
            <w:pPr>
              <w:jc w:val="both"/>
              <w:rPr>
                <w:rFonts w:asciiTheme="majorHAnsi" w:eastAsia="Calibri" w:hAnsiTheme="majorHAnsi" w:cstheme="majorHAnsi"/>
                <w:sz w:val="22"/>
                <w:szCs w:val="22"/>
              </w:rPr>
            </w:pPr>
            <w:r w:rsidRPr="001232C3">
              <w:rPr>
                <w:rFonts w:asciiTheme="majorHAnsi" w:eastAsia="Calibri" w:hAnsiTheme="majorHAnsi" w:cstheme="majorHAnsi"/>
                <w:sz w:val="22"/>
                <w:szCs w:val="22"/>
              </w:rPr>
              <w:t xml:space="preserve">Európában különböző módon illesztették be a resztoratív (helyreállító) szemléletet a jogrendszerekbe és a joggyakorlatba. A kurzus során a hallgatók megismerkedhetnek a helyreállító igazságszolgáltatás beágyazott, részben beágyazott illetve a független rendszereivel. </w:t>
            </w:r>
          </w:p>
          <w:p w14:paraId="0CFE36C2" w14:textId="77777777" w:rsidR="00E40B7D" w:rsidRPr="001232C3" w:rsidRDefault="00643AB5">
            <w:pPr>
              <w:jc w:val="both"/>
              <w:rPr>
                <w:rFonts w:asciiTheme="majorHAnsi" w:eastAsia="Calibri" w:hAnsiTheme="majorHAnsi" w:cstheme="majorHAnsi"/>
                <w:sz w:val="22"/>
                <w:szCs w:val="22"/>
              </w:rPr>
            </w:pPr>
            <w:r w:rsidRPr="001232C3">
              <w:rPr>
                <w:rFonts w:asciiTheme="majorHAnsi" w:eastAsia="Calibri" w:hAnsiTheme="majorHAnsi" w:cstheme="majorHAnsi"/>
                <w:sz w:val="22"/>
                <w:szCs w:val="22"/>
              </w:rPr>
              <w:t xml:space="preserve">A keresztény teológia és kultúra és egyházjog ugyancsak ismeri a konszenzuskeresés ezen formáit, amelyek Biblikus alapokhoz vezethetőek vissza. </w:t>
            </w:r>
          </w:p>
          <w:p w14:paraId="0F877497" w14:textId="77777777" w:rsidR="00E40B7D" w:rsidRPr="001232C3" w:rsidRDefault="00643AB5">
            <w:pPr>
              <w:jc w:val="both"/>
              <w:rPr>
                <w:rFonts w:asciiTheme="majorHAnsi" w:eastAsia="Calibri" w:hAnsiTheme="majorHAnsi" w:cstheme="majorHAnsi"/>
                <w:sz w:val="22"/>
                <w:szCs w:val="22"/>
              </w:rPr>
            </w:pPr>
            <w:r w:rsidRPr="001232C3">
              <w:rPr>
                <w:rFonts w:asciiTheme="majorHAnsi" w:eastAsia="Calibri" w:hAnsiTheme="majorHAnsi" w:cstheme="majorHAnsi"/>
                <w:sz w:val="22"/>
                <w:szCs w:val="22"/>
              </w:rPr>
              <w:t xml:space="preserve">A magyar jogrendszer és igazságszolgáltatás többféle módszert tesz alkalmazhatóvá, jelenleg a Magyarországi gyakorlatban leginkább a mediáció (közvetítés) módszertana honosodott meg a közvetítői eljárások tekintetében. </w:t>
            </w:r>
          </w:p>
          <w:p w14:paraId="5A907C9A" w14:textId="77777777" w:rsidR="00E40B7D" w:rsidRPr="001232C3" w:rsidRDefault="00643AB5">
            <w:pPr>
              <w:jc w:val="both"/>
              <w:rPr>
                <w:rFonts w:asciiTheme="majorHAnsi" w:eastAsia="Calibri" w:hAnsiTheme="majorHAnsi" w:cstheme="majorHAnsi"/>
                <w:sz w:val="22"/>
                <w:szCs w:val="22"/>
              </w:rPr>
            </w:pPr>
            <w:r w:rsidRPr="001232C3">
              <w:rPr>
                <w:rFonts w:asciiTheme="majorHAnsi" w:eastAsia="Calibri" w:hAnsiTheme="majorHAnsi" w:cstheme="majorHAnsi"/>
                <w:sz w:val="22"/>
                <w:szCs w:val="22"/>
              </w:rPr>
              <w:t xml:space="preserve">A hallgatók megismerkedhetnek elsősorban a büntetőeljárásban alkalmazott közvetítői eljárás jogi környezetével és gyakorlatával, valamint a pártfogó felügyelet feladatkörébe tartozó közvetítői eljárás, közérdekű munkabüntetés, jóvátételi munka intézkedés resztoratív jellegével. Az eljárási alkalmazásra az Európa Tanács Miniszteri Bizottságának, mediáció tárgyában elfogadott R (99) 19. számú ajánlása teremtett lehetőséget. </w:t>
            </w:r>
          </w:p>
          <w:p w14:paraId="7408FF2D" w14:textId="77777777" w:rsidR="00E40B7D" w:rsidRPr="001232C3" w:rsidRDefault="00643AB5">
            <w:pPr>
              <w:jc w:val="both"/>
              <w:rPr>
                <w:rFonts w:asciiTheme="majorHAnsi" w:eastAsia="Calibri" w:hAnsiTheme="majorHAnsi" w:cstheme="majorHAnsi"/>
                <w:sz w:val="22"/>
                <w:szCs w:val="22"/>
              </w:rPr>
            </w:pPr>
            <w:r w:rsidRPr="001232C3">
              <w:rPr>
                <w:rFonts w:asciiTheme="majorHAnsi" w:eastAsia="Calibri" w:hAnsiTheme="majorHAnsi" w:cstheme="majorHAnsi"/>
                <w:sz w:val="22"/>
                <w:szCs w:val="22"/>
              </w:rPr>
              <w:t xml:space="preserve">A képzés során bemutatásra kerülnek a büntetőeljárásról szóló 2017. évi XC. törvény alkalmazandó rendelkezései, melyek meglehetősen tágan szabályozzák a közvetítői eljárást. </w:t>
            </w:r>
          </w:p>
          <w:p w14:paraId="18325C62" w14:textId="77777777" w:rsidR="00E40B7D" w:rsidRPr="001232C3" w:rsidRDefault="00643AB5">
            <w:pPr>
              <w:jc w:val="both"/>
              <w:rPr>
                <w:rFonts w:asciiTheme="majorHAnsi" w:eastAsia="Calibri" w:hAnsiTheme="majorHAnsi" w:cstheme="majorHAnsi"/>
                <w:sz w:val="22"/>
                <w:szCs w:val="22"/>
              </w:rPr>
            </w:pPr>
            <w:r w:rsidRPr="001232C3">
              <w:rPr>
                <w:rFonts w:asciiTheme="majorHAnsi" w:eastAsia="Calibri" w:hAnsiTheme="majorHAnsi" w:cstheme="majorHAnsi"/>
                <w:sz w:val="22"/>
                <w:szCs w:val="22"/>
              </w:rPr>
              <w:t xml:space="preserve">A képzés során </w:t>
            </w:r>
          </w:p>
          <w:p w14:paraId="5F0ED8F7" w14:textId="77777777" w:rsidR="00E40B7D" w:rsidRPr="001232C3" w:rsidRDefault="00643AB5">
            <w:pPr>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1232C3">
              <w:rPr>
                <w:rFonts w:asciiTheme="majorHAnsi" w:eastAsia="Calibri" w:hAnsiTheme="majorHAnsi" w:cstheme="majorHAnsi"/>
                <w:color w:val="000000"/>
                <w:sz w:val="22"/>
                <w:szCs w:val="22"/>
              </w:rPr>
              <w:t xml:space="preserve">a Büntető Törvénykönyvről szóló 2012. évi C törvény </w:t>
            </w:r>
            <w:r w:rsidRPr="001232C3">
              <w:rPr>
                <w:rFonts w:asciiTheme="majorHAnsi" w:eastAsia="Calibri" w:hAnsiTheme="majorHAnsi" w:cstheme="majorHAnsi"/>
                <w:i/>
                <w:color w:val="000000"/>
                <w:sz w:val="22"/>
                <w:szCs w:val="22"/>
              </w:rPr>
              <w:t>29. § tevékeny megbánás jogintézmény</w:t>
            </w:r>
            <w:r w:rsidRPr="001232C3">
              <w:rPr>
                <w:rFonts w:asciiTheme="majorHAnsi" w:eastAsia="Calibri" w:hAnsiTheme="majorHAnsi" w:cstheme="majorHAnsi"/>
                <w:color w:val="000000"/>
                <w:sz w:val="22"/>
                <w:szCs w:val="22"/>
              </w:rPr>
              <w:t xml:space="preserve">, </w:t>
            </w:r>
          </w:p>
          <w:p w14:paraId="57A672DE" w14:textId="77777777" w:rsidR="00E40B7D" w:rsidRPr="001232C3" w:rsidRDefault="00643AB5">
            <w:pPr>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1232C3">
              <w:rPr>
                <w:rFonts w:asciiTheme="majorHAnsi" w:eastAsia="Calibri" w:hAnsiTheme="majorHAnsi" w:cstheme="majorHAnsi"/>
                <w:color w:val="000000"/>
                <w:sz w:val="22"/>
                <w:szCs w:val="22"/>
              </w:rPr>
              <w:t>a büntető ügyekben alkalmazható közvetítői tevékenységről szóló 2006. évi CXXIII. törvény,</w:t>
            </w:r>
          </w:p>
          <w:p w14:paraId="27918125" w14:textId="77777777" w:rsidR="00E40B7D" w:rsidRPr="001232C3" w:rsidRDefault="00643AB5">
            <w:pPr>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1232C3">
              <w:rPr>
                <w:rFonts w:asciiTheme="majorHAnsi" w:eastAsia="Calibri" w:hAnsiTheme="majorHAnsi" w:cstheme="majorHAnsi"/>
                <w:color w:val="000000"/>
                <w:sz w:val="22"/>
                <w:szCs w:val="22"/>
              </w:rPr>
              <w:t>a szabálysértésekről, a szabálysértési eljárásról és a szabálysértési nyilvántartási rendszerről szóló 2012. évi II. törvény,</w:t>
            </w:r>
            <w:r w:rsidRPr="001232C3">
              <w:rPr>
                <w:rFonts w:asciiTheme="majorHAnsi" w:hAnsiTheme="majorHAnsi" w:cstheme="majorHAnsi"/>
                <w:sz w:val="22"/>
                <w:szCs w:val="22"/>
              </w:rPr>
              <w:fldChar w:fldCharType="begin"/>
            </w:r>
            <w:r w:rsidRPr="001232C3">
              <w:rPr>
                <w:rFonts w:asciiTheme="majorHAnsi" w:hAnsiTheme="majorHAnsi" w:cstheme="majorHAnsi"/>
                <w:sz w:val="22"/>
                <w:szCs w:val="22"/>
              </w:rPr>
              <w:instrText xml:space="preserve"> HYPERLINK "https://net.jogtar.hu/jogszabaly?docid=a1600130.tv" </w:instrText>
            </w:r>
            <w:r w:rsidRPr="001232C3">
              <w:rPr>
                <w:rFonts w:asciiTheme="majorHAnsi" w:hAnsiTheme="majorHAnsi" w:cstheme="majorHAnsi"/>
                <w:sz w:val="22"/>
                <w:szCs w:val="22"/>
              </w:rPr>
              <w:fldChar w:fldCharType="separate"/>
            </w:r>
          </w:p>
          <w:p w14:paraId="141441C2" w14:textId="77777777" w:rsidR="00E40B7D" w:rsidRPr="001232C3" w:rsidRDefault="00643AB5">
            <w:pPr>
              <w:numPr>
                <w:ilvl w:val="0"/>
                <w:numId w:val="2"/>
              </w:numPr>
              <w:pBdr>
                <w:top w:val="nil"/>
                <w:left w:val="nil"/>
                <w:bottom w:val="nil"/>
                <w:right w:val="nil"/>
                <w:between w:val="nil"/>
              </w:pBdr>
              <w:rPr>
                <w:rFonts w:asciiTheme="majorHAnsi" w:hAnsiTheme="majorHAnsi" w:cstheme="majorHAnsi"/>
                <w:color w:val="000000"/>
                <w:sz w:val="22"/>
                <w:szCs w:val="22"/>
                <w:highlight w:val="white"/>
              </w:rPr>
            </w:pPr>
            <w:r w:rsidRPr="001232C3">
              <w:rPr>
                <w:rFonts w:asciiTheme="majorHAnsi" w:hAnsiTheme="majorHAnsi" w:cstheme="majorHAnsi"/>
                <w:sz w:val="22"/>
                <w:szCs w:val="22"/>
              </w:rPr>
              <w:fldChar w:fldCharType="end"/>
            </w:r>
            <w:hyperlink r:id="rId7">
              <w:r w:rsidRPr="001232C3">
                <w:rPr>
                  <w:rFonts w:asciiTheme="majorHAnsi" w:eastAsia="Calibri" w:hAnsiTheme="majorHAnsi" w:cstheme="majorHAnsi"/>
                  <w:color w:val="000000"/>
                  <w:sz w:val="22"/>
                  <w:szCs w:val="22"/>
                  <w:highlight w:val="white"/>
                </w:rPr>
                <w:t>a polgári perrendtartásról szóló 2016. évi CXXX. törvény</w:t>
              </w:r>
            </w:hyperlink>
            <w:r w:rsidRPr="001232C3">
              <w:rPr>
                <w:rFonts w:asciiTheme="majorHAnsi" w:eastAsia="Calibri" w:hAnsiTheme="majorHAnsi" w:cstheme="majorHAnsi"/>
                <w:color w:val="000000"/>
                <w:sz w:val="22"/>
                <w:szCs w:val="22"/>
              </w:rPr>
              <w:t>,</w:t>
            </w:r>
          </w:p>
          <w:p w14:paraId="682B76BB" w14:textId="77777777" w:rsidR="00E40B7D" w:rsidRPr="001232C3" w:rsidRDefault="00643AB5">
            <w:pPr>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1232C3">
              <w:rPr>
                <w:rFonts w:asciiTheme="majorHAnsi" w:eastAsia="Calibri" w:hAnsiTheme="majorHAnsi" w:cstheme="majorHAnsi"/>
                <w:color w:val="000000"/>
                <w:sz w:val="22"/>
                <w:szCs w:val="22"/>
              </w:rPr>
              <w:t xml:space="preserve">a közigazgatási perrendtartásról szóló </w:t>
            </w:r>
            <w:hyperlink r:id="rId8">
              <w:r w:rsidRPr="001232C3">
                <w:rPr>
                  <w:rFonts w:asciiTheme="majorHAnsi" w:eastAsia="Calibri" w:hAnsiTheme="majorHAnsi" w:cstheme="majorHAnsi"/>
                  <w:color w:val="000000"/>
                  <w:sz w:val="22"/>
                  <w:szCs w:val="22"/>
                  <w:highlight w:val="white"/>
                </w:rPr>
                <w:t>2017. évi I. törvény</w:t>
              </w:r>
            </w:hyperlink>
            <w:r w:rsidRPr="001232C3">
              <w:rPr>
                <w:rFonts w:asciiTheme="majorHAnsi" w:eastAsia="Calibri" w:hAnsiTheme="majorHAnsi" w:cstheme="majorHAnsi"/>
                <w:color w:val="000000"/>
                <w:sz w:val="22"/>
                <w:szCs w:val="22"/>
                <w:highlight w:val="white"/>
              </w:rPr>
              <w:t>,</w:t>
            </w:r>
          </w:p>
          <w:p w14:paraId="6676DA2B" w14:textId="77777777" w:rsidR="00E40B7D" w:rsidRPr="001232C3" w:rsidRDefault="00643AB5">
            <w:pPr>
              <w:numPr>
                <w:ilvl w:val="0"/>
                <w:numId w:val="2"/>
              </w:numPr>
              <w:pBdr>
                <w:top w:val="nil"/>
                <w:left w:val="nil"/>
                <w:bottom w:val="nil"/>
                <w:right w:val="nil"/>
                <w:between w:val="nil"/>
              </w:pBdr>
              <w:jc w:val="both"/>
              <w:rPr>
                <w:rFonts w:asciiTheme="majorHAnsi" w:hAnsiTheme="majorHAnsi" w:cstheme="majorHAnsi"/>
                <w:color w:val="000000"/>
                <w:sz w:val="22"/>
                <w:szCs w:val="22"/>
              </w:rPr>
            </w:pPr>
            <w:r w:rsidRPr="001232C3">
              <w:rPr>
                <w:rFonts w:asciiTheme="majorHAnsi" w:eastAsia="Calibri" w:hAnsiTheme="majorHAnsi" w:cstheme="majorHAnsi"/>
                <w:color w:val="000000"/>
                <w:sz w:val="22"/>
                <w:szCs w:val="22"/>
              </w:rPr>
              <w:t>A Pártfogó Felügyelői Szolgálat tevékenységéről szóló 8/2013. (VI. 29.) KIM rendelet közvetítői eljárásra vonatkozó rendelkezéseit ismertetjük és hasonlítjuk össze.</w:t>
            </w:r>
          </w:p>
          <w:p w14:paraId="789C9595" w14:textId="77777777" w:rsidR="00E40B7D" w:rsidRPr="001232C3" w:rsidRDefault="00643AB5">
            <w:pPr>
              <w:jc w:val="both"/>
              <w:rPr>
                <w:rFonts w:asciiTheme="majorHAnsi" w:eastAsia="Calibri" w:hAnsiTheme="majorHAnsi" w:cstheme="majorHAnsi"/>
                <w:sz w:val="22"/>
                <w:szCs w:val="22"/>
              </w:rPr>
            </w:pPr>
            <w:r w:rsidRPr="001232C3">
              <w:rPr>
                <w:rFonts w:asciiTheme="majorHAnsi" w:eastAsia="Calibri" w:hAnsiTheme="majorHAnsi" w:cstheme="majorHAnsi"/>
                <w:sz w:val="22"/>
                <w:szCs w:val="22"/>
              </w:rPr>
              <w:t>Elemezzük az eljárás szereplőire vonatkozó jogszabályi rendelkezéseket, különösen a sértett jogállására vonatkozóan. (Európai Unió Tanácsának kerethatározata a sértett büntetőeljárásban elfoglalt jogállásáról szóló 2001/220/IB határozat)</w:t>
            </w:r>
          </w:p>
          <w:p w14:paraId="2A237FE6" w14:textId="77777777" w:rsidR="00E40B7D" w:rsidRPr="001232C3" w:rsidRDefault="00643AB5">
            <w:pPr>
              <w:jc w:val="both"/>
              <w:rPr>
                <w:rFonts w:asciiTheme="majorHAnsi" w:eastAsia="Calibri" w:hAnsiTheme="majorHAnsi" w:cstheme="majorHAnsi"/>
                <w:sz w:val="22"/>
                <w:szCs w:val="22"/>
              </w:rPr>
            </w:pPr>
            <w:r w:rsidRPr="001232C3">
              <w:rPr>
                <w:rFonts w:asciiTheme="majorHAnsi" w:eastAsia="Calibri" w:hAnsiTheme="majorHAnsi" w:cstheme="majorHAnsi"/>
                <w:sz w:val="22"/>
                <w:szCs w:val="22"/>
              </w:rPr>
              <w:t>A tevékeny megbánás anyagi jogi szabálya, valamint a jóvátétel fogalmával és annak tartalmával kapcsolatosan megvizsgáljuk az ide vonatkozó Kúriai határozatokat (3/2007. BK vélemény a  2012. évi C. törvény és az 1998. évi XIX. törvény közvetítői eljárásra vonatkozó egyes rendelkezései értelmezéséről).</w:t>
            </w:r>
          </w:p>
          <w:p w14:paraId="2EEE5D51" w14:textId="77777777" w:rsidR="00E40B7D" w:rsidRPr="001232C3" w:rsidRDefault="00643AB5">
            <w:pPr>
              <w:jc w:val="both"/>
              <w:rPr>
                <w:rFonts w:asciiTheme="majorHAnsi" w:eastAsia="Calibri" w:hAnsiTheme="majorHAnsi" w:cstheme="majorHAnsi"/>
                <w:sz w:val="22"/>
                <w:szCs w:val="22"/>
              </w:rPr>
            </w:pPr>
            <w:r w:rsidRPr="001232C3">
              <w:rPr>
                <w:rFonts w:asciiTheme="majorHAnsi" w:eastAsia="Calibri" w:hAnsiTheme="majorHAnsi" w:cstheme="majorHAnsi"/>
                <w:sz w:val="22"/>
                <w:szCs w:val="22"/>
              </w:rPr>
              <w:t>Tartalmi elemek: jogágak szerinti helyreállító szemlélet bemutatása; igazságszolgáltatás hivatásos és laikus szereplői; büntetőeljárás resztoratív szabályai; alternatív és helyreállító büntetés-végrehajtás gyakorlata.</w:t>
            </w:r>
          </w:p>
        </w:tc>
      </w:tr>
      <w:tr w:rsidR="00E40B7D" w:rsidRPr="001232C3" w14:paraId="524E1F91" w14:textId="77777777">
        <w:trPr>
          <w:cantSplit/>
        </w:trPr>
        <w:tc>
          <w:tcPr>
            <w:tcW w:w="2764" w:type="dxa"/>
            <w:shd w:val="clear" w:color="auto" w:fill="D7E3BC"/>
            <w:vAlign w:val="center"/>
          </w:tcPr>
          <w:p w14:paraId="5EA01AD9"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Számonkérési és értékelési rendszere:</w:t>
            </w:r>
            <w:r w:rsidRPr="001232C3">
              <w:rPr>
                <w:rFonts w:asciiTheme="majorHAnsi" w:eastAsia="Calibri" w:hAnsiTheme="majorHAnsi" w:cstheme="majorHAnsi"/>
                <w:b/>
                <w:sz w:val="22"/>
                <w:szCs w:val="22"/>
                <w:vertAlign w:val="superscript"/>
              </w:rPr>
              <w:footnoteReference w:id="10"/>
            </w:r>
          </w:p>
        </w:tc>
        <w:tc>
          <w:tcPr>
            <w:tcW w:w="7087" w:type="dxa"/>
            <w:gridSpan w:val="3"/>
            <w:vAlign w:val="center"/>
          </w:tcPr>
          <w:p w14:paraId="3F32EB1F" w14:textId="77777777" w:rsidR="00E40B7D" w:rsidRPr="001232C3" w:rsidRDefault="00643AB5">
            <w:pPr>
              <w:jc w:val="both"/>
              <w:rPr>
                <w:rFonts w:asciiTheme="majorHAnsi" w:eastAsia="Calibri" w:hAnsiTheme="majorHAnsi" w:cstheme="majorHAnsi"/>
                <w:b/>
                <w:sz w:val="22"/>
                <w:szCs w:val="22"/>
              </w:rPr>
            </w:pPr>
            <w:r w:rsidRPr="001232C3">
              <w:rPr>
                <w:rFonts w:asciiTheme="majorHAnsi" w:eastAsia="Calibri" w:hAnsiTheme="majorHAnsi" w:cstheme="majorHAnsi"/>
                <w:b/>
                <w:sz w:val="22"/>
                <w:szCs w:val="22"/>
              </w:rPr>
              <w:t xml:space="preserve">Követelmények: </w:t>
            </w:r>
          </w:p>
          <w:p w14:paraId="1F72DA82" w14:textId="77777777" w:rsidR="00E40B7D" w:rsidRPr="001232C3" w:rsidRDefault="00643AB5">
            <w:pPr>
              <w:jc w:val="both"/>
              <w:rPr>
                <w:rFonts w:asciiTheme="majorHAnsi" w:eastAsia="Calibri" w:hAnsiTheme="majorHAnsi" w:cstheme="majorHAnsi"/>
                <w:sz w:val="22"/>
                <w:szCs w:val="22"/>
              </w:rPr>
            </w:pPr>
            <w:r w:rsidRPr="001232C3">
              <w:rPr>
                <w:rFonts w:asciiTheme="majorHAnsi" w:eastAsia="Calibri" w:hAnsiTheme="majorHAnsi" w:cstheme="majorHAnsi"/>
                <w:sz w:val="22"/>
                <w:szCs w:val="22"/>
              </w:rPr>
              <w:t>A kurzuson való aktív részvétel és beszámoló.</w:t>
            </w:r>
          </w:p>
          <w:p w14:paraId="14356354" w14:textId="77777777" w:rsidR="00E40B7D" w:rsidRPr="001232C3" w:rsidRDefault="00E40B7D">
            <w:pPr>
              <w:jc w:val="both"/>
              <w:rPr>
                <w:rFonts w:asciiTheme="majorHAnsi" w:eastAsia="Calibri" w:hAnsiTheme="majorHAnsi" w:cstheme="majorHAnsi"/>
                <w:sz w:val="22"/>
                <w:szCs w:val="22"/>
              </w:rPr>
            </w:pPr>
          </w:p>
          <w:p w14:paraId="5F304689" w14:textId="77777777" w:rsidR="00E40B7D" w:rsidRPr="001232C3" w:rsidRDefault="00643AB5">
            <w:pPr>
              <w:jc w:val="both"/>
              <w:rPr>
                <w:rFonts w:asciiTheme="majorHAnsi" w:eastAsia="Calibri" w:hAnsiTheme="majorHAnsi" w:cstheme="majorHAnsi"/>
                <w:sz w:val="22"/>
                <w:szCs w:val="22"/>
              </w:rPr>
            </w:pPr>
            <w:r w:rsidRPr="001232C3">
              <w:rPr>
                <w:rFonts w:asciiTheme="majorHAnsi" w:eastAsia="Calibri" w:hAnsiTheme="majorHAnsi" w:cstheme="majorHAnsi"/>
                <w:b/>
                <w:sz w:val="22"/>
                <w:szCs w:val="22"/>
              </w:rPr>
              <w:t>A tárgy oktatási nyelve:</w:t>
            </w:r>
            <w:r w:rsidRPr="001232C3">
              <w:rPr>
                <w:rFonts w:asciiTheme="majorHAnsi" w:eastAsia="Calibri" w:hAnsiTheme="majorHAnsi" w:cstheme="majorHAnsi"/>
                <w:sz w:val="22"/>
                <w:szCs w:val="22"/>
              </w:rPr>
              <w:t xml:space="preserve"> magyar</w:t>
            </w:r>
          </w:p>
          <w:p w14:paraId="5A0ED860" w14:textId="77777777" w:rsidR="00E40B7D" w:rsidRPr="001232C3" w:rsidRDefault="00E40B7D">
            <w:pPr>
              <w:jc w:val="both"/>
              <w:rPr>
                <w:rFonts w:asciiTheme="majorHAnsi" w:eastAsia="Calibri" w:hAnsiTheme="majorHAnsi" w:cstheme="majorHAnsi"/>
                <w:sz w:val="22"/>
                <w:szCs w:val="22"/>
              </w:rPr>
            </w:pPr>
          </w:p>
          <w:p w14:paraId="068FB637" w14:textId="77777777" w:rsidR="00E40B7D" w:rsidRPr="001232C3" w:rsidRDefault="00643AB5">
            <w:pPr>
              <w:rPr>
                <w:rFonts w:asciiTheme="majorHAnsi" w:eastAsia="Calibri" w:hAnsiTheme="majorHAnsi" w:cstheme="majorHAnsi"/>
                <w:sz w:val="22"/>
                <w:szCs w:val="22"/>
              </w:rPr>
            </w:pPr>
            <w:r w:rsidRPr="001232C3">
              <w:rPr>
                <w:rFonts w:asciiTheme="majorHAnsi" w:eastAsia="Calibri" w:hAnsiTheme="majorHAnsi" w:cstheme="majorHAnsi"/>
                <w:sz w:val="22"/>
                <w:szCs w:val="22"/>
              </w:rPr>
              <w:t>Beszámoló: a háromfokozatú értékelési rendszer szerint jól megfelelt (5), megfelelt (3), nem felelt meg (1) minősítéssel történik.</w:t>
            </w:r>
          </w:p>
        </w:tc>
      </w:tr>
      <w:tr w:rsidR="00E40B7D" w:rsidRPr="001232C3" w14:paraId="0B58CE55" w14:textId="77777777">
        <w:trPr>
          <w:cantSplit/>
        </w:trPr>
        <w:tc>
          <w:tcPr>
            <w:tcW w:w="2764" w:type="dxa"/>
            <w:shd w:val="clear" w:color="auto" w:fill="D7E3BC"/>
            <w:vAlign w:val="center"/>
          </w:tcPr>
          <w:p w14:paraId="1A1DD160"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lastRenderedPageBreak/>
              <w:t>Irodalom:</w:t>
            </w:r>
            <w:r w:rsidRPr="001232C3">
              <w:rPr>
                <w:rFonts w:asciiTheme="majorHAnsi" w:eastAsia="Calibri" w:hAnsiTheme="majorHAnsi" w:cstheme="majorHAnsi"/>
                <w:b/>
                <w:sz w:val="22"/>
                <w:szCs w:val="22"/>
                <w:vertAlign w:val="superscript"/>
              </w:rPr>
              <w:footnoteReference w:id="11"/>
            </w:r>
          </w:p>
        </w:tc>
        <w:tc>
          <w:tcPr>
            <w:tcW w:w="7087" w:type="dxa"/>
            <w:gridSpan w:val="3"/>
            <w:vAlign w:val="center"/>
          </w:tcPr>
          <w:p w14:paraId="04F5FF3C" w14:textId="77777777" w:rsidR="00E40B7D" w:rsidRPr="001232C3" w:rsidRDefault="00643AB5">
            <w:pPr>
              <w:ind w:left="394" w:hanging="257"/>
              <w:jc w:val="both"/>
              <w:rPr>
                <w:rFonts w:asciiTheme="majorHAnsi" w:eastAsia="Calibri" w:hAnsiTheme="majorHAnsi" w:cstheme="majorHAnsi"/>
                <w:sz w:val="22"/>
                <w:szCs w:val="22"/>
              </w:rPr>
            </w:pPr>
            <w:r w:rsidRPr="001232C3">
              <w:rPr>
                <w:rFonts w:asciiTheme="majorHAnsi" w:eastAsia="Calibri" w:hAnsiTheme="majorHAnsi" w:cstheme="majorHAnsi"/>
                <w:smallCaps/>
                <w:sz w:val="22"/>
                <w:szCs w:val="22"/>
              </w:rPr>
              <w:t>Bérces</w:t>
            </w:r>
            <w:r w:rsidRPr="001232C3">
              <w:rPr>
                <w:rFonts w:asciiTheme="majorHAnsi" w:eastAsia="Calibri" w:hAnsiTheme="majorHAnsi" w:cstheme="majorHAnsi"/>
                <w:sz w:val="22"/>
                <w:szCs w:val="22"/>
              </w:rPr>
              <w:t xml:space="preserve"> Viktor: </w:t>
            </w:r>
            <w:r w:rsidRPr="001232C3">
              <w:rPr>
                <w:rFonts w:asciiTheme="majorHAnsi" w:eastAsia="Calibri" w:hAnsiTheme="majorHAnsi" w:cstheme="majorHAnsi"/>
                <w:i/>
                <w:sz w:val="22"/>
                <w:szCs w:val="22"/>
              </w:rPr>
              <w:t>A resztoratív igazságszolgáltatási koncepció érvényesülésének lehetőségei büntetőügyekben – különös tekintettel a mediációra és annak hazai szabályozására.</w:t>
            </w:r>
            <w:r w:rsidRPr="001232C3">
              <w:rPr>
                <w:rFonts w:asciiTheme="majorHAnsi" w:eastAsia="Calibri" w:hAnsiTheme="majorHAnsi" w:cstheme="majorHAnsi"/>
                <w:sz w:val="22"/>
                <w:szCs w:val="22"/>
              </w:rPr>
              <w:t xml:space="preserve"> Iustum Aequum Salutare V. 2009/3.</w:t>
            </w:r>
          </w:p>
          <w:p w14:paraId="6C4D4C7A" w14:textId="77777777" w:rsidR="00E40B7D" w:rsidRPr="001232C3" w:rsidRDefault="00564719">
            <w:pPr>
              <w:ind w:left="394" w:hanging="257"/>
              <w:rPr>
                <w:rFonts w:asciiTheme="majorHAnsi" w:eastAsia="Calibri" w:hAnsiTheme="majorHAnsi" w:cstheme="majorHAnsi"/>
                <w:sz w:val="22"/>
                <w:szCs w:val="22"/>
              </w:rPr>
            </w:pPr>
            <w:hyperlink r:id="rId9">
              <w:r w:rsidR="00643AB5" w:rsidRPr="001232C3">
                <w:rPr>
                  <w:rFonts w:asciiTheme="majorHAnsi" w:eastAsia="Calibri" w:hAnsiTheme="majorHAnsi" w:cstheme="majorHAnsi"/>
                  <w:smallCaps/>
                  <w:sz w:val="22"/>
                  <w:szCs w:val="22"/>
                </w:rPr>
                <w:t>Éliás</w:t>
              </w:r>
            </w:hyperlink>
            <w:r w:rsidR="00643AB5" w:rsidRPr="001232C3">
              <w:rPr>
                <w:rFonts w:asciiTheme="majorHAnsi" w:eastAsia="Calibri" w:hAnsiTheme="majorHAnsi" w:cstheme="majorHAnsi"/>
                <w:sz w:val="22"/>
                <w:szCs w:val="22"/>
              </w:rPr>
              <w:t xml:space="preserve"> Eszter; </w:t>
            </w:r>
            <w:hyperlink r:id="rId10">
              <w:r w:rsidR="00643AB5" w:rsidRPr="001232C3">
                <w:rPr>
                  <w:rFonts w:asciiTheme="majorHAnsi" w:eastAsia="Calibri" w:hAnsiTheme="majorHAnsi" w:cstheme="majorHAnsi"/>
                  <w:smallCaps/>
                  <w:sz w:val="22"/>
                  <w:szCs w:val="22"/>
                </w:rPr>
                <w:t>Gyengéné</w:t>
              </w:r>
            </w:hyperlink>
            <w:r w:rsidR="00643AB5" w:rsidRPr="001232C3">
              <w:rPr>
                <w:rFonts w:asciiTheme="majorHAnsi" w:eastAsia="Calibri" w:hAnsiTheme="majorHAnsi" w:cstheme="majorHAnsi"/>
                <w:smallCaps/>
                <w:sz w:val="22"/>
                <w:szCs w:val="22"/>
              </w:rPr>
              <w:t xml:space="preserve"> Nagy</w:t>
            </w:r>
            <w:r w:rsidR="00643AB5" w:rsidRPr="001232C3">
              <w:rPr>
                <w:rFonts w:asciiTheme="majorHAnsi" w:eastAsia="Calibri" w:hAnsiTheme="majorHAnsi" w:cstheme="majorHAnsi"/>
                <w:sz w:val="22"/>
                <w:szCs w:val="22"/>
              </w:rPr>
              <w:t xml:space="preserve"> Márta; </w:t>
            </w:r>
            <w:hyperlink r:id="rId11">
              <w:r w:rsidR="00643AB5" w:rsidRPr="001232C3">
                <w:rPr>
                  <w:rFonts w:asciiTheme="majorHAnsi" w:eastAsia="Calibri" w:hAnsiTheme="majorHAnsi" w:cstheme="majorHAnsi"/>
                  <w:smallCaps/>
                  <w:sz w:val="22"/>
                  <w:szCs w:val="22"/>
                </w:rPr>
                <w:t>Jeles</w:t>
              </w:r>
            </w:hyperlink>
            <w:r w:rsidR="00643AB5" w:rsidRPr="001232C3">
              <w:rPr>
                <w:rFonts w:asciiTheme="majorHAnsi" w:eastAsia="Calibri" w:hAnsiTheme="majorHAnsi" w:cstheme="majorHAnsi"/>
                <w:sz w:val="22"/>
                <w:szCs w:val="22"/>
              </w:rPr>
              <w:t xml:space="preserve"> Judit; </w:t>
            </w:r>
            <w:hyperlink r:id="rId12">
              <w:r w:rsidR="00643AB5" w:rsidRPr="001232C3">
                <w:rPr>
                  <w:rFonts w:asciiTheme="majorHAnsi" w:eastAsia="Calibri" w:hAnsiTheme="majorHAnsi" w:cstheme="majorHAnsi"/>
                  <w:smallCaps/>
                  <w:sz w:val="22"/>
                  <w:szCs w:val="22"/>
                </w:rPr>
                <w:t>Kiss</w:t>
              </w:r>
            </w:hyperlink>
            <w:r w:rsidR="00643AB5" w:rsidRPr="001232C3">
              <w:rPr>
                <w:rFonts w:asciiTheme="majorHAnsi" w:eastAsia="Calibri" w:hAnsiTheme="majorHAnsi" w:cstheme="majorHAnsi"/>
                <w:sz w:val="22"/>
                <w:szCs w:val="22"/>
              </w:rPr>
              <w:t xml:space="preserve"> Károly; </w:t>
            </w:r>
            <w:hyperlink r:id="rId13">
              <w:r w:rsidR="00643AB5" w:rsidRPr="001232C3">
                <w:rPr>
                  <w:rFonts w:asciiTheme="majorHAnsi" w:eastAsia="Calibri" w:hAnsiTheme="majorHAnsi" w:cstheme="majorHAnsi"/>
                  <w:smallCaps/>
                  <w:sz w:val="22"/>
                  <w:szCs w:val="22"/>
                </w:rPr>
                <w:t>Kőrös</w:t>
              </w:r>
            </w:hyperlink>
            <w:r w:rsidR="00643AB5" w:rsidRPr="001232C3">
              <w:rPr>
                <w:rFonts w:asciiTheme="majorHAnsi" w:eastAsia="Calibri" w:hAnsiTheme="majorHAnsi" w:cstheme="majorHAnsi"/>
                <w:sz w:val="22"/>
                <w:szCs w:val="22"/>
              </w:rPr>
              <w:t xml:space="preserve"> András; </w:t>
            </w:r>
            <w:hyperlink r:id="rId14">
              <w:r w:rsidR="00643AB5" w:rsidRPr="001232C3">
                <w:rPr>
                  <w:rFonts w:asciiTheme="majorHAnsi" w:eastAsia="Calibri" w:hAnsiTheme="majorHAnsi" w:cstheme="majorHAnsi"/>
                  <w:smallCaps/>
                  <w:sz w:val="22"/>
                  <w:szCs w:val="22"/>
                </w:rPr>
                <w:t>Krémer</w:t>
              </w:r>
            </w:hyperlink>
            <w:r w:rsidR="00643AB5" w:rsidRPr="001232C3">
              <w:rPr>
                <w:rFonts w:asciiTheme="majorHAnsi" w:eastAsia="Calibri" w:hAnsiTheme="majorHAnsi" w:cstheme="majorHAnsi"/>
                <w:sz w:val="22"/>
                <w:szCs w:val="22"/>
              </w:rPr>
              <w:t xml:space="preserve"> András: </w:t>
            </w:r>
            <w:r w:rsidR="00643AB5" w:rsidRPr="001232C3">
              <w:rPr>
                <w:rFonts w:asciiTheme="majorHAnsi" w:eastAsia="Calibri" w:hAnsiTheme="majorHAnsi" w:cstheme="majorHAnsi"/>
                <w:i/>
                <w:sz w:val="22"/>
                <w:szCs w:val="22"/>
              </w:rPr>
              <w:t>A bírósági közvetítésről – Mindenkinek.</w:t>
            </w:r>
            <w:r w:rsidR="00643AB5" w:rsidRPr="001232C3">
              <w:rPr>
                <w:rFonts w:asciiTheme="majorHAnsi" w:eastAsia="Calibri" w:hAnsiTheme="majorHAnsi" w:cstheme="majorHAnsi"/>
                <w:sz w:val="22"/>
                <w:szCs w:val="22"/>
              </w:rPr>
              <w:t xml:space="preserve"> Budapest, HVG-ORAC, 2016.</w:t>
            </w:r>
          </w:p>
          <w:p w14:paraId="6C7BE08D" w14:textId="77777777" w:rsidR="00E40B7D" w:rsidRPr="001232C3" w:rsidRDefault="00643AB5">
            <w:pPr>
              <w:ind w:left="394" w:hanging="257"/>
              <w:rPr>
                <w:rFonts w:asciiTheme="majorHAnsi" w:eastAsia="Calibri" w:hAnsiTheme="majorHAnsi" w:cstheme="majorHAnsi"/>
                <w:b/>
                <w:sz w:val="22"/>
                <w:szCs w:val="22"/>
              </w:rPr>
            </w:pPr>
            <w:r w:rsidRPr="001232C3">
              <w:rPr>
                <w:rFonts w:asciiTheme="majorHAnsi" w:eastAsia="Calibri" w:hAnsiTheme="majorHAnsi" w:cstheme="majorHAnsi"/>
                <w:b/>
                <w:smallCaps/>
                <w:sz w:val="22"/>
                <w:szCs w:val="22"/>
              </w:rPr>
              <w:t>Villám</w:t>
            </w:r>
            <w:r w:rsidRPr="001232C3">
              <w:rPr>
                <w:rFonts w:asciiTheme="majorHAnsi" w:eastAsia="Calibri" w:hAnsiTheme="majorHAnsi" w:cstheme="majorHAnsi"/>
                <w:b/>
                <w:sz w:val="22"/>
                <w:szCs w:val="22"/>
              </w:rPr>
              <w:t xml:space="preserve"> Péter: </w:t>
            </w:r>
            <w:r w:rsidRPr="001232C3">
              <w:rPr>
                <w:rFonts w:asciiTheme="majorHAnsi" w:eastAsia="Calibri" w:hAnsiTheme="majorHAnsi" w:cstheme="majorHAnsi"/>
                <w:b/>
                <w:i/>
                <w:sz w:val="22"/>
                <w:szCs w:val="22"/>
              </w:rPr>
              <w:t xml:space="preserve">A vitarendezés kánona, Bölcseleti bevezetés a mediáció erkölcsi és jogi természetébe. PPKE BTK, </w:t>
            </w:r>
            <w:r w:rsidRPr="001232C3">
              <w:rPr>
                <w:rFonts w:asciiTheme="majorHAnsi" w:eastAsia="Calibri" w:hAnsiTheme="majorHAnsi" w:cstheme="majorHAnsi"/>
                <w:b/>
                <w:color w:val="000000"/>
                <w:sz w:val="22"/>
                <w:szCs w:val="22"/>
                <w:shd w:val="clear" w:color="auto" w:fill="FDFDFD"/>
              </w:rPr>
              <w:t>Egyetemi jegyzet,</w:t>
            </w:r>
            <w:r w:rsidRPr="001232C3">
              <w:rPr>
                <w:rFonts w:asciiTheme="majorHAnsi" w:eastAsia="Calibri" w:hAnsiTheme="majorHAnsi" w:cstheme="majorHAnsi"/>
                <w:b/>
                <w:i/>
                <w:sz w:val="22"/>
                <w:szCs w:val="22"/>
              </w:rPr>
              <w:t xml:space="preserve"> Budapest, 2023. </w:t>
            </w:r>
            <w:r w:rsidRPr="001232C3">
              <w:rPr>
                <w:rFonts w:asciiTheme="majorHAnsi" w:eastAsia="Calibri" w:hAnsiTheme="majorHAnsi" w:cstheme="majorHAnsi"/>
                <w:b/>
                <w:smallCaps/>
                <w:sz w:val="22"/>
                <w:szCs w:val="22"/>
              </w:rPr>
              <w:t xml:space="preserve">ISBN </w:t>
            </w:r>
            <w:r w:rsidRPr="001232C3">
              <w:rPr>
                <w:rFonts w:asciiTheme="majorHAnsi" w:eastAsia="Calibri" w:hAnsiTheme="majorHAnsi" w:cstheme="majorHAnsi"/>
                <w:b/>
                <w:color w:val="000000"/>
                <w:sz w:val="22"/>
                <w:szCs w:val="22"/>
                <w:shd w:val="clear" w:color="auto" w:fill="FDFDFD"/>
              </w:rPr>
              <w:t>978-963-308-482-3</w:t>
            </w:r>
            <w:r w:rsidRPr="001232C3">
              <w:rPr>
                <w:rFonts w:asciiTheme="majorHAnsi" w:eastAsia="Calibri" w:hAnsiTheme="majorHAnsi" w:cstheme="majorHAnsi"/>
                <w:b/>
                <w:sz w:val="22"/>
                <w:szCs w:val="22"/>
              </w:rPr>
              <w:t>., 2020.</w:t>
            </w:r>
          </w:p>
          <w:p w14:paraId="6762615B" w14:textId="77777777" w:rsidR="00E40B7D" w:rsidRPr="001232C3" w:rsidRDefault="00643AB5">
            <w:pPr>
              <w:pBdr>
                <w:top w:val="nil"/>
                <w:left w:val="nil"/>
                <w:bottom w:val="nil"/>
                <w:right w:val="nil"/>
                <w:between w:val="nil"/>
              </w:pBdr>
              <w:ind w:left="421" w:hanging="284"/>
              <w:rPr>
                <w:rFonts w:asciiTheme="majorHAnsi" w:eastAsia="Calibri" w:hAnsiTheme="majorHAnsi" w:cstheme="majorHAnsi"/>
                <w:color w:val="000000"/>
                <w:sz w:val="22"/>
                <w:szCs w:val="22"/>
              </w:rPr>
            </w:pPr>
            <w:r w:rsidRPr="001232C3">
              <w:rPr>
                <w:rFonts w:asciiTheme="majorHAnsi" w:eastAsia="Calibri" w:hAnsiTheme="majorHAnsi" w:cstheme="majorHAnsi"/>
                <w:smallCaps/>
                <w:color w:val="000000"/>
                <w:sz w:val="22"/>
                <w:szCs w:val="22"/>
              </w:rPr>
              <w:t>Lovas</w:t>
            </w:r>
            <w:r w:rsidRPr="001232C3">
              <w:rPr>
                <w:rFonts w:asciiTheme="majorHAnsi" w:eastAsia="Calibri" w:hAnsiTheme="majorHAnsi" w:cstheme="majorHAnsi"/>
                <w:color w:val="000000"/>
                <w:sz w:val="22"/>
                <w:szCs w:val="22"/>
              </w:rPr>
              <w:t xml:space="preserve"> Zsuzsa, </w:t>
            </w:r>
            <w:r w:rsidRPr="001232C3">
              <w:rPr>
                <w:rFonts w:asciiTheme="majorHAnsi" w:eastAsia="Calibri" w:hAnsiTheme="majorHAnsi" w:cstheme="majorHAnsi"/>
                <w:smallCaps/>
                <w:color w:val="000000"/>
                <w:sz w:val="22"/>
                <w:szCs w:val="22"/>
              </w:rPr>
              <w:t>Herczog</w:t>
            </w:r>
            <w:r w:rsidRPr="001232C3">
              <w:rPr>
                <w:rFonts w:asciiTheme="majorHAnsi" w:eastAsia="Calibri" w:hAnsiTheme="majorHAnsi" w:cstheme="majorHAnsi"/>
                <w:color w:val="000000"/>
                <w:sz w:val="22"/>
                <w:szCs w:val="22"/>
              </w:rPr>
              <w:t xml:space="preserve"> Mária: </w:t>
            </w:r>
            <w:r w:rsidRPr="001232C3">
              <w:rPr>
                <w:rFonts w:asciiTheme="majorHAnsi" w:eastAsia="Calibri" w:hAnsiTheme="majorHAnsi" w:cstheme="majorHAnsi"/>
                <w:i/>
                <w:color w:val="000000"/>
                <w:sz w:val="22"/>
                <w:szCs w:val="22"/>
              </w:rPr>
              <w:t>A mediáció, avagy a fájdalommentes konfliktuskezelés.</w:t>
            </w:r>
            <w:r w:rsidRPr="001232C3">
              <w:rPr>
                <w:rFonts w:asciiTheme="majorHAnsi" w:eastAsia="Calibri" w:hAnsiTheme="majorHAnsi" w:cstheme="majorHAnsi"/>
                <w:color w:val="000000"/>
                <w:sz w:val="22"/>
                <w:szCs w:val="22"/>
              </w:rPr>
              <w:t xml:space="preserve"> Wolters Kluwer, Budapest, 2019.</w:t>
            </w:r>
          </w:p>
          <w:p w14:paraId="443DBBB2" w14:textId="77777777" w:rsidR="00E40B7D" w:rsidRPr="001232C3" w:rsidRDefault="00643AB5">
            <w:pPr>
              <w:ind w:left="394" w:hanging="257"/>
              <w:rPr>
                <w:rFonts w:asciiTheme="majorHAnsi" w:eastAsia="Calibri" w:hAnsiTheme="majorHAnsi" w:cstheme="majorHAnsi"/>
                <w:sz w:val="22"/>
                <w:szCs w:val="22"/>
              </w:rPr>
            </w:pPr>
            <w:r w:rsidRPr="001232C3">
              <w:rPr>
                <w:rFonts w:asciiTheme="majorHAnsi" w:eastAsia="Calibri" w:hAnsiTheme="majorHAnsi" w:cstheme="majorHAnsi"/>
                <w:smallCaps/>
                <w:sz w:val="22"/>
                <w:szCs w:val="22"/>
              </w:rPr>
              <w:t>Görgényi</w:t>
            </w:r>
            <w:r w:rsidRPr="001232C3">
              <w:rPr>
                <w:rFonts w:asciiTheme="majorHAnsi" w:eastAsia="Calibri" w:hAnsiTheme="majorHAnsi" w:cstheme="majorHAnsi"/>
                <w:sz w:val="22"/>
                <w:szCs w:val="22"/>
              </w:rPr>
              <w:t xml:space="preserve"> Ilona: </w:t>
            </w:r>
            <w:r w:rsidRPr="001232C3">
              <w:rPr>
                <w:rFonts w:asciiTheme="majorHAnsi" w:eastAsia="Calibri" w:hAnsiTheme="majorHAnsi" w:cstheme="majorHAnsi"/>
                <w:i/>
                <w:sz w:val="22"/>
                <w:szCs w:val="22"/>
              </w:rPr>
              <w:t>Kártalanítás vagy jóvátétel.</w:t>
            </w:r>
            <w:r w:rsidRPr="001232C3">
              <w:rPr>
                <w:rFonts w:asciiTheme="majorHAnsi" w:eastAsia="Calibri" w:hAnsiTheme="majorHAnsi" w:cstheme="majorHAnsi"/>
                <w:sz w:val="22"/>
                <w:szCs w:val="22"/>
              </w:rPr>
              <w:t xml:space="preserve"> Magyar Kriminológiai Társaság, Kriminológiai Közlemények, 1993/48.</w:t>
            </w:r>
          </w:p>
          <w:p w14:paraId="0F567B20" w14:textId="77777777" w:rsidR="00E40B7D" w:rsidRPr="001232C3" w:rsidRDefault="00564719">
            <w:pPr>
              <w:ind w:left="394" w:hanging="257"/>
              <w:rPr>
                <w:rFonts w:asciiTheme="majorHAnsi" w:eastAsia="Calibri" w:hAnsiTheme="majorHAnsi" w:cstheme="majorHAnsi"/>
                <w:sz w:val="22"/>
                <w:szCs w:val="22"/>
              </w:rPr>
            </w:pPr>
            <w:hyperlink r:id="rId15">
              <w:r w:rsidR="00643AB5" w:rsidRPr="001232C3">
                <w:rPr>
                  <w:rFonts w:asciiTheme="majorHAnsi" w:eastAsia="Calibri" w:hAnsiTheme="majorHAnsi" w:cstheme="majorHAnsi"/>
                  <w:smallCaps/>
                  <w:sz w:val="22"/>
                  <w:szCs w:val="22"/>
                </w:rPr>
                <w:t>Nagy</w:t>
              </w:r>
            </w:hyperlink>
            <w:hyperlink r:id="rId16">
              <w:r w:rsidR="00643AB5" w:rsidRPr="001232C3">
                <w:rPr>
                  <w:rFonts w:asciiTheme="majorHAnsi" w:eastAsia="Calibri" w:hAnsiTheme="majorHAnsi" w:cstheme="majorHAnsi"/>
                  <w:sz w:val="22"/>
                  <w:szCs w:val="22"/>
                </w:rPr>
                <w:t xml:space="preserve"> Ferenc:</w:t>
              </w:r>
            </w:hyperlink>
            <w:hyperlink r:id="rId17">
              <w:r w:rsidR="00643AB5" w:rsidRPr="001232C3">
                <w:rPr>
                  <w:rFonts w:asciiTheme="majorHAnsi" w:eastAsia="Calibri" w:hAnsiTheme="majorHAnsi" w:cstheme="majorHAnsi"/>
                  <w:i/>
                  <w:sz w:val="22"/>
                  <w:szCs w:val="22"/>
                </w:rPr>
                <w:t xml:space="preserve"> Jóvátétel - mint a konfliktusfeloldó büntető igazságszolgáltatás egyik formája</w:t>
              </w:r>
            </w:hyperlink>
            <w:r w:rsidR="00643AB5" w:rsidRPr="001232C3">
              <w:rPr>
                <w:rFonts w:asciiTheme="majorHAnsi" w:eastAsia="Calibri" w:hAnsiTheme="majorHAnsi" w:cstheme="majorHAnsi"/>
                <w:i/>
                <w:sz w:val="22"/>
                <w:szCs w:val="22"/>
              </w:rPr>
              <w:t>.</w:t>
            </w:r>
            <w:r w:rsidR="00643AB5" w:rsidRPr="001232C3">
              <w:rPr>
                <w:rFonts w:asciiTheme="majorHAnsi" w:eastAsia="Calibri" w:hAnsiTheme="majorHAnsi" w:cstheme="majorHAnsi"/>
                <w:sz w:val="22"/>
                <w:szCs w:val="22"/>
              </w:rPr>
              <w:t xml:space="preserve"> Magyar Kriminológiai Társaság, Kriminológiai Közlemények 1993/48.</w:t>
            </w:r>
          </w:p>
          <w:p w14:paraId="03BE3DD7" w14:textId="77777777" w:rsidR="00E40B7D" w:rsidRPr="001232C3" w:rsidRDefault="00643AB5">
            <w:pPr>
              <w:ind w:left="394" w:hanging="257"/>
              <w:rPr>
                <w:rFonts w:asciiTheme="majorHAnsi" w:eastAsia="Calibri" w:hAnsiTheme="majorHAnsi" w:cstheme="majorHAnsi"/>
                <w:sz w:val="22"/>
                <w:szCs w:val="22"/>
              </w:rPr>
            </w:pPr>
            <w:r w:rsidRPr="001232C3">
              <w:rPr>
                <w:rFonts w:asciiTheme="majorHAnsi" w:eastAsia="Calibri" w:hAnsiTheme="majorHAnsi" w:cstheme="majorHAnsi"/>
                <w:smallCaps/>
                <w:sz w:val="22"/>
                <w:szCs w:val="22"/>
              </w:rPr>
              <w:t>Kertész</w:t>
            </w:r>
            <w:r w:rsidRPr="001232C3">
              <w:rPr>
                <w:rFonts w:asciiTheme="majorHAnsi" w:eastAsia="Calibri" w:hAnsiTheme="majorHAnsi" w:cstheme="majorHAnsi"/>
                <w:sz w:val="22"/>
                <w:szCs w:val="22"/>
              </w:rPr>
              <w:t xml:space="preserve"> Tibor: </w:t>
            </w:r>
            <w:r w:rsidRPr="001232C3">
              <w:rPr>
                <w:rFonts w:asciiTheme="majorHAnsi" w:eastAsia="Calibri" w:hAnsiTheme="majorHAnsi" w:cstheme="majorHAnsi"/>
                <w:i/>
                <w:sz w:val="22"/>
                <w:szCs w:val="22"/>
              </w:rPr>
              <w:t>A büntetőügyekben alkalmazott mediáció a mediátor szemszögéből.</w:t>
            </w:r>
            <w:r w:rsidRPr="001232C3">
              <w:rPr>
                <w:rFonts w:asciiTheme="majorHAnsi" w:eastAsia="Calibri" w:hAnsiTheme="majorHAnsi" w:cstheme="majorHAnsi"/>
                <w:sz w:val="22"/>
                <w:szCs w:val="22"/>
              </w:rPr>
              <w:t xml:space="preserve"> Országos Kriminológiai Intézet, Kriminológiai Közlemények, 2010/67.</w:t>
            </w:r>
          </w:p>
          <w:p w14:paraId="345711F6" w14:textId="77777777" w:rsidR="00E40B7D" w:rsidRPr="001232C3" w:rsidRDefault="00643AB5">
            <w:pPr>
              <w:ind w:firstLine="137"/>
              <w:jc w:val="both"/>
              <w:rPr>
                <w:rFonts w:asciiTheme="majorHAnsi" w:eastAsia="Calibri" w:hAnsiTheme="majorHAnsi" w:cstheme="majorHAnsi"/>
                <w:sz w:val="22"/>
                <w:szCs w:val="22"/>
              </w:rPr>
            </w:pPr>
            <w:r w:rsidRPr="001232C3">
              <w:rPr>
                <w:rFonts w:asciiTheme="majorHAnsi" w:eastAsia="Calibri" w:hAnsiTheme="majorHAnsi" w:cstheme="majorHAnsi"/>
                <w:sz w:val="22"/>
                <w:szCs w:val="22"/>
              </w:rPr>
              <w:t>Órai jegyzetek.</w:t>
            </w:r>
          </w:p>
        </w:tc>
      </w:tr>
    </w:tbl>
    <w:p w14:paraId="68F03CB0" w14:textId="77777777" w:rsidR="00E40B7D" w:rsidRPr="001232C3" w:rsidRDefault="00E40B7D">
      <w:pPr>
        <w:rPr>
          <w:rFonts w:asciiTheme="majorHAnsi" w:eastAsia="Calibri" w:hAnsiTheme="majorHAnsi" w:cstheme="majorHAnsi"/>
          <w:sz w:val="22"/>
          <w:szCs w:val="22"/>
        </w:rPr>
      </w:pPr>
    </w:p>
    <w:p w14:paraId="60E8DC43" w14:textId="77777777" w:rsidR="001232C3" w:rsidRPr="001232C3" w:rsidRDefault="001232C3">
      <w:pPr>
        <w:rPr>
          <w:rFonts w:asciiTheme="majorHAnsi" w:eastAsia="Calibri" w:hAnsiTheme="majorHAnsi" w:cstheme="majorHAnsi"/>
          <w:sz w:val="22"/>
          <w:szCs w:val="22"/>
        </w:rPr>
      </w:pPr>
    </w:p>
    <w:p w14:paraId="7DF600F3" w14:textId="77777777" w:rsidR="001232C3" w:rsidRPr="001232C3" w:rsidRDefault="001232C3">
      <w:pPr>
        <w:rPr>
          <w:rFonts w:asciiTheme="majorHAnsi" w:eastAsia="Calibri" w:hAnsiTheme="majorHAnsi" w:cstheme="majorHAnsi"/>
          <w:sz w:val="22"/>
          <w:szCs w:val="22"/>
        </w:rPr>
      </w:pPr>
    </w:p>
    <w:p w14:paraId="52F26517" w14:textId="77777777" w:rsidR="001232C3" w:rsidRPr="001232C3" w:rsidRDefault="001232C3">
      <w:pPr>
        <w:rPr>
          <w:rFonts w:asciiTheme="majorHAnsi" w:eastAsia="Calibri" w:hAnsiTheme="majorHAnsi" w:cstheme="majorHAnsi"/>
          <w:sz w:val="22"/>
          <w:szCs w:val="22"/>
        </w:rPr>
      </w:pPr>
    </w:p>
    <w:p w14:paraId="63551369" w14:textId="381CFB9F" w:rsidR="001232C3" w:rsidRPr="001232C3" w:rsidRDefault="001232C3">
      <w:pPr>
        <w:rPr>
          <w:rFonts w:asciiTheme="majorHAnsi" w:hAnsiTheme="majorHAnsi" w:cstheme="majorHAnsi"/>
          <w:sz w:val="22"/>
          <w:szCs w:val="22"/>
        </w:rPr>
      </w:pPr>
      <w:r w:rsidRPr="001232C3">
        <w:rPr>
          <w:rFonts w:asciiTheme="majorHAnsi" w:hAnsiTheme="majorHAnsi" w:cstheme="majorHAnsi"/>
          <w:sz w:val="22"/>
          <w:szCs w:val="22"/>
        </w:rPr>
        <w:br w:type="page"/>
      </w:r>
    </w:p>
    <w:tbl>
      <w:tblPr>
        <w:tblStyle w:val="a0"/>
        <w:tblW w:w="98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2149"/>
        <w:gridCol w:w="2149"/>
        <w:gridCol w:w="2789"/>
      </w:tblGrid>
      <w:tr w:rsidR="00E40B7D" w:rsidRPr="001232C3" w14:paraId="229FD564" w14:textId="77777777">
        <w:trPr>
          <w:cantSplit/>
        </w:trPr>
        <w:tc>
          <w:tcPr>
            <w:tcW w:w="2764" w:type="dxa"/>
            <w:shd w:val="clear" w:color="auto" w:fill="F2F2F2"/>
            <w:vAlign w:val="center"/>
          </w:tcPr>
          <w:p w14:paraId="51D69D6D" w14:textId="77777777" w:rsidR="00E40B7D" w:rsidRPr="001232C3" w:rsidRDefault="00643AB5">
            <w:pPr>
              <w:spacing w:before="60" w:after="60"/>
              <w:rPr>
                <w:rFonts w:asciiTheme="majorHAnsi" w:eastAsia="Calibri" w:hAnsiTheme="majorHAnsi" w:cstheme="majorHAnsi"/>
                <w:b/>
                <w:sz w:val="22"/>
                <w:szCs w:val="22"/>
              </w:rPr>
            </w:pPr>
            <w:proofErr w:type="spellStart"/>
            <w:r w:rsidRPr="001232C3">
              <w:rPr>
                <w:rFonts w:asciiTheme="majorHAnsi" w:eastAsia="Calibri" w:hAnsiTheme="majorHAnsi" w:cstheme="majorHAnsi"/>
                <w:b/>
                <w:sz w:val="22"/>
                <w:szCs w:val="22"/>
              </w:rPr>
              <w:lastRenderedPageBreak/>
              <w:t>Name</w:t>
            </w:r>
            <w:proofErr w:type="spellEnd"/>
            <w:r w:rsidRPr="001232C3">
              <w:rPr>
                <w:rFonts w:asciiTheme="majorHAnsi" w:eastAsia="Calibri" w:hAnsiTheme="majorHAnsi" w:cstheme="majorHAnsi"/>
                <w:b/>
                <w:sz w:val="22"/>
                <w:szCs w:val="22"/>
              </w:rPr>
              <w:t xml:space="preserve"> of </w:t>
            </w:r>
            <w:proofErr w:type="spellStart"/>
            <w:r w:rsidRPr="001232C3">
              <w:rPr>
                <w:rFonts w:asciiTheme="majorHAnsi" w:eastAsia="Calibri" w:hAnsiTheme="majorHAnsi" w:cstheme="majorHAnsi"/>
                <w:b/>
                <w:sz w:val="22"/>
                <w:szCs w:val="22"/>
              </w:rPr>
              <w:t>the</w:t>
            </w:r>
            <w:proofErr w:type="spellEnd"/>
            <w:r w:rsidRPr="001232C3">
              <w:rPr>
                <w:rFonts w:asciiTheme="majorHAnsi" w:eastAsia="Calibri" w:hAnsiTheme="majorHAnsi" w:cstheme="majorHAnsi"/>
                <w:b/>
                <w:sz w:val="22"/>
                <w:szCs w:val="22"/>
              </w:rPr>
              <w:t xml:space="preserve"> </w:t>
            </w:r>
            <w:proofErr w:type="spellStart"/>
            <w:r w:rsidRPr="001232C3">
              <w:rPr>
                <w:rFonts w:asciiTheme="majorHAnsi" w:eastAsia="Calibri" w:hAnsiTheme="majorHAnsi" w:cstheme="majorHAnsi"/>
                <w:b/>
                <w:sz w:val="22"/>
                <w:szCs w:val="22"/>
              </w:rPr>
              <w:t>course</w:t>
            </w:r>
            <w:proofErr w:type="spellEnd"/>
            <w:r w:rsidRPr="001232C3">
              <w:rPr>
                <w:rFonts w:asciiTheme="majorHAnsi" w:eastAsia="Calibri" w:hAnsiTheme="majorHAnsi" w:cstheme="majorHAnsi"/>
                <w:b/>
                <w:sz w:val="22"/>
                <w:szCs w:val="22"/>
              </w:rPr>
              <w:t>:</w:t>
            </w:r>
          </w:p>
        </w:tc>
        <w:tc>
          <w:tcPr>
            <w:tcW w:w="7087" w:type="dxa"/>
            <w:gridSpan w:val="3"/>
            <w:vAlign w:val="center"/>
          </w:tcPr>
          <w:p w14:paraId="31624939" w14:textId="3F72A5C7" w:rsidR="00E40B7D" w:rsidRPr="001232C3" w:rsidRDefault="00643AB5">
            <w:pPr>
              <w:rPr>
                <w:rFonts w:asciiTheme="majorHAnsi" w:hAnsiTheme="majorHAnsi" w:cstheme="majorHAnsi"/>
                <w:sz w:val="22"/>
                <w:szCs w:val="22"/>
              </w:rPr>
            </w:pPr>
            <w:proofErr w:type="spellStart"/>
            <w:r w:rsidRPr="001232C3">
              <w:rPr>
                <w:rFonts w:asciiTheme="majorHAnsi" w:hAnsiTheme="majorHAnsi" w:cstheme="majorHAnsi"/>
                <w:sz w:val="22"/>
                <w:szCs w:val="22"/>
              </w:rPr>
              <w:t>Restorative</w:t>
            </w:r>
            <w:proofErr w:type="spellEnd"/>
            <w:r w:rsidRPr="001232C3">
              <w:rPr>
                <w:rFonts w:asciiTheme="majorHAnsi" w:hAnsiTheme="majorHAnsi" w:cstheme="majorHAnsi"/>
                <w:sz w:val="22"/>
                <w:szCs w:val="22"/>
              </w:rPr>
              <w:t xml:space="preserve"> </w:t>
            </w:r>
            <w:proofErr w:type="spellStart"/>
            <w:r w:rsidRPr="001232C3">
              <w:rPr>
                <w:rFonts w:asciiTheme="majorHAnsi" w:hAnsiTheme="majorHAnsi" w:cstheme="majorHAnsi"/>
                <w:sz w:val="22"/>
                <w:szCs w:val="22"/>
              </w:rPr>
              <w:t>justice</w:t>
            </w:r>
            <w:proofErr w:type="spellEnd"/>
            <w:r w:rsidRPr="001232C3">
              <w:rPr>
                <w:rFonts w:asciiTheme="majorHAnsi" w:hAnsiTheme="majorHAnsi" w:cstheme="majorHAnsi"/>
                <w:sz w:val="22"/>
                <w:szCs w:val="22"/>
              </w:rPr>
              <w:t xml:space="preserve">, </w:t>
            </w:r>
            <w:proofErr w:type="spellStart"/>
            <w:r w:rsidRPr="001232C3">
              <w:rPr>
                <w:rFonts w:asciiTheme="majorHAnsi" w:hAnsiTheme="majorHAnsi" w:cstheme="majorHAnsi"/>
                <w:sz w:val="22"/>
                <w:szCs w:val="22"/>
              </w:rPr>
              <w:t>mediation</w:t>
            </w:r>
            <w:proofErr w:type="spellEnd"/>
            <w:r w:rsidR="001232C3" w:rsidRPr="001232C3">
              <w:rPr>
                <w:rFonts w:asciiTheme="majorHAnsi" w:hAnsiTheme="majorHAnsi" w:cstheme="majorHAnsi"/>
                <w:sz w:val="22"/>
                <w:szCs w:val="22"/>
              </w:rPr>
              <w:t xml:space="preserve"> </w:t>
            </w:r>
            <w:proofErr w:type="spellStart"/>
            <w:r w:rsidR="001232C3" w:rsidRPr="001232C3">
              <w:rPr>
                <w:rFonts w:asciiTheme="majorHAnsi" w:hAnsiTheme="majorHAnsi" w:cstheme="majorHAnsi"/>
                <w:sz w:val="22"/>
                <w:szCs w:val="22"/>
              </w:rPr>
              <w:t>procedure</w:t>
            </w:r>
            <w:proofErr w:type="spellEnd"/>
          </w:p>
        </w:tc>
      </w:tr>
      <w:tr w:rsidR="00E40B7D" w:rsidRPr="001232C3" w14:paraId="08F5E4CB" w14:textId="77777777">
        <w:trPr>
          <w:cantSplit/>
        </w:trPr>
        <w:tc>
          <w:tcPr>
            <w:tcW w:w="2764" w:type="dxa"/>
            <w:shd w:val="clear" w:color="auto" w:fill="F2F2F2"/>
            <w:vAlign w:val="center"/>
          </w:tcPr>
          <w:p w14:paraId="68CA3451"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Level:</w:t>
            </w:r>
            <w:r w:rsidRPr="001232C3">
              <w:rPr>
                <w:rFonts w:asciiTheme="majorHAnsi" w:eastAsia="Calibri" w:hAnsiTheme="majorHAnsi" w:cstheme="majorHAnsi"/>
                <w:b/>
                <w:sz w:val="22"/>
                <w:szCs w:val="22"/>
                <w:vertAlign w:val="superscript"/>
              </w:rPr>
              <w:footnoteReference w:id="12"/>
            </w:r>
          </w:p>
        </w:tc>
        <w:tc>
          <w:tcPr>
            <w:tcW w:w="7087" w:type="dxa"/>
            <w:gridSpan w:val="3"/>
            <w:vAlign w:val="center"/>
          </w:tcPr>
          <w:p w14:paraId="30460335" w14:textId="77777777" w:rsidR="00E40B7D" w:rsidRPr="001232C3" w:rsidRDefault="00643AB5">
            <w:pPr>
              <w:spacing w:before="60" w:after="60"/>
              <w:rPr>
                <w:rFonts w:asciiTheme="majorHAnsi" w:eastAsia="Calibri" w:hAnsiTheme="majorHAnsi" w:cstheme="majorHAnsi"/>
                <w:sz w:val="22"/>
                <w:szCs w:val="22"/>
              </w:rPr>
            </w:pPr>
            <w:r w:rsidRPr="001232C3">
              <w:rPr>
                <w:rFonts w:asciiTheme="majorHAnsi" w:eastAsia="Calibri" w:hAnsiTheme="majorHAnsi" w:cstheme="majorHAnsi"/>
                <w:sz w:val="22"/>
                <w:szCs w:val="22"/>
              </w:rPr>
              <w:t>5</w:t>
            </w:r>
          </w:p>
        </w:tc>
      </w:tr>
      <w:tr w:rsidR="00E40B7D" w:rsidRPr="001232C3" w14:paraId="0C20AD5F" w14:textId="77777777">
        <w:trPr>
          <w:cantSplit/>
        </w:trPr>
        <w:tc>
          <w:tcPr>
            <w:tcW w:w="2764" w:type="dxa"/>
            <w:shd w:val="clear" w:color="auto" w:fill="F2F2F2"/>
            <w:vAlign w:val="center"/>
          </w:tcPr>
          <w:p w14:paraId="5C56FFBC"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Prerequisites:</w:t>
            </w:r>
            <w:r w:rsidRPr="001232C3">
              <w:rPr>
                <w:rFonts w:asciiTheme="majorHAnsi" w:eastAsia="Calibri" w:hAnsiTheme="majorHAnsi" w:cstheme="majorHAnsi"/>
                <w:b/>
                <w:sz w:val="22"/>
                <w:szCs w:val="22"/>
                <w:vertAlign w:val="superscript"/>
              </w:rPr>
              <w:footnoteReference w:id="13"/>
            </w:r>
          </w:p>
        </w:tc>
        <w:tc>
          <w:tcPr>
            <w:tcW w:w="7087" w:type="dxa"/>
            <w:gridSpan w:val="3"/>
            <w:vAlign w:val="center"/>
          </w:tcPr>
          <w:p w14:paraId="109DADC9" w14:textId="77777777" w:rsidR="00E40B7D" w:rsidRPr="001232C3" w:rsidRDefault="00643AB5">
            <w:pPr>
              <w:spacing w:before="60" w:after="60"/>
              <w:rPr>
                <w:rFonts w:asciiTheme="majorHAnsi" w:eastAsia="Calibri" w:hAnsiTheme="majorHAnsi" w:cstheme="majorHAnsi"/>
                <w:sz w:val="22"/>
                <w:szCs w:val="22"/>
              </w:rPr>
            </w:pPr>
            <w:r w:rsidRPr="001232C3">
              <w:rPr>
                <w:rFonts w:asciiTheme="majorHAnsi" w:eastAsia="Calibri" w:hAnsiTheme="majorHAnsi" w:cstheme="majorHAnsi"/>
                <w:sz w:val="22"/>
                <w:szCs w:val="22"/>
              </w:rPr>
              <w:t>-</w:t>
            </w:r>
          </w:p>
        </w:tc>
      </w:tr>
      <w:tr w:rsidR="00E40B7D" w:rsidRPr="001232C3" w14:paraId="38ECA227" w14:textId="77777777">
        <w:trPr>
          <w:cantSplit/>
        </w:trPr>
        <w:tc>
          <w:tcPr>
            <w:tcW w:w="2764" w:type="dxa"/>
            <w:shd w:val="clear" w:color="auto" w:fill="F2F2F2"/>
            <w:vAlign w:val="center"/>
          </w:tcPr>
          <w:p w14:paraId="5CA7D593"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Requirement type:</w:t>
            </w:r>
            <w:r w:rsidRPr="001232C3">
              <w:rPr>
                <w:rFonts w:asciiTheme="majorHAnsi" w:eastAsia="Calibri" w:hAnsiTheme="majorHAnsi" w:cstheme="majorHAnsi"/>
                <w:b/>
                <w:sz w:val="22"/>
                <w:szCs w:val="22"/>
                <w:vertAlign w:val="superscript"/>
              </w:rPr>
              <w:footnoteReference w:id="14"/>
            </w:r>
          </w:p>
        </w:tc>
        <w:tc>
          <w:tcPr>
            <w:tcW w:w="7087" w:type="dxa"/>
            <w:gridSpan w:val="3"/>
            <w:vAlign w:val="center"/>
          </w:tcPr>
          <w:p w14:paraId="2DB94DDB" w14:textId="77777777" w:rsidR="00E40B7D" w:rsidRPr="001232C3" w:rsidRDefault="00643AB5">
            <w:pPr>
              <w:spacing w:before="60" w:after="60"/>
              <w:rPr>
                <w:rFonts w:asciiTheme="majorHAnsi" w:eastAsia="Calibri" w:hAnsiTheme="majorHAnsi" w:cstheme="majorHAnsi"/>
                <w:sz w:val="22"/>
                <w:szCs w:val="22"/>
              </w:rPr>
            </w:pPr>
            <w:r w:rsidRPr="001232C3">
              <w:rPr>
                <w:rFonts w:asciiTheme="majorHAnsi" w:eastAsia="Calibri" w:hAnsiTheme="majorHAnsi" w:cstheme="majorHAnsi"/>
                <w:sz w:val="22"/>
                <w:szCs w:val="22"/>
              </w:rPr>
              <w:t>Evaluation according to the three-scale grading</w:t>
            </w:r>
          </w:p>
        </w:tc>
      </w:tr>
      <w:tr w:rsidR="00E40B7D" w:rsidRPr="001232C3" w14:paraId="0088F7FD" w14:textId="77777777">
        <w:trPr>
          <w:cantSplit/>
        </w:trPr>
        <w:tc>
          <w:tcPr>
            <w:tcW w:w="2764" w:type="dxa"/>
            <w:vMerge w:val="restart"/>
            <w:shd w:val="clear" w:color="auto" w:fill="F2F2F2"/>
            <w:vAlign w:val="center"/>
          </w:tcPr>
          <w:p w14:paraId="6915729B"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Number</w:t>
            </w:r>
            <w:r w:rsidRPr="001232C3">
              <w:rPr>
                <w:rFonts w:asciiTheme="majorHAnsi" w:eastAsia="Calibri" w:hAnsiTheme="majorHAnsi" w:cstheme="majorHAnsi"/>
                <w:b/>
                <w:sz w:val="22"/>
                <w:szCs w:val="22"/>
                <w:vertAlign w:val="superscript"/>
              </w:rPr>
              <w:footnoteReference w:id="15"/>
            </w:r>
            <w:r w:rsidRPr="001232C3">
              <w:rPr>
                <w:rFonts w:asciiTheme="majorHAnsi" w:eastAsia="Calibri" w:hAnsiTheme="majorHAnsi" w:cstheme="majorHAnsi"/>
                <w:b/>
                <w:sz w:val="22"/>
                <w:szCs w:val="22"/>
              </w:rPr>
              <w:t xml:space="preserve"> and type of contact hours:</w:t>
            </w:r>
            <w:r w:rsidRPr="001232C3">
              <w:rPr>
                <w:rFonts w:asciiTheme="majorHAnsi" w:eastAsia="Calibri" w:hAnsiTheme="majorHAnsi" w:cstheme="majorHAnsi"/>
                <w:b/>
                <w:sz w:val="22"/>
                <w:szCs w:val="22"/>
                <w:vertAlign w:val="superscript"/>
              </w:rPr>
              <w:footnoteReference w:id="16"/>
            </w:r>
          </w:p>
        </w:tc>
        <w:tc>
          <w:tcPr>
            <w:tcW w:w="2149" w:type="dxa"/>
            <w:vMerge w:val="restart"/>
            <w:shd w:val="clear" w:color="auto" w:fill="F2F2F2"/>
            <w:vAlign w:val="center"/>
          </w:tcPr>
          <w:p w14:paraId="76DA863D"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Full-time training:</w:t>
            </w:r>
          </w:p>
        </w:tc>
        <w:tc>
          <w:tcPr>
            <w:tcW w:w="2149" w:type="dxa"/>
            <w:shd w:val="clear" w:color="auto" w:fill="F2F2F2"/>
            <w:vAlign w:val="center"/>
          </w:tcPr>
          <w:p w14:paraId="385CBB83"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Lecture:</w:t>
            </w:r>
          </w:p>
        </w:tc>
        <w:tc>
          <w:tcPr>
            <w:tcW w:w="2789" w:type="dxa"/>
            <w:vAlign w:val="center"/>
          </w:tcPr>
          <w:p w14:paraId="5892530D" w14:textId="77777777" w:rsidR="00E40B7D" w:rsidRPr="001232C3" w:rsidRDefault="00E40B7D">
            <w:pPr>
              <w:spacing w:before="60" w:after="60"/>
              <w:rPr>
                <w:rFonts w:asciiTheme="majorHAnsi" w:eastAsia="Calibri" w:hAnsiTheme="majorHAnsi" w:cstheme="majorHAnsi"/>
                <w:sz w:val="22"/>
                <w:szCs w:val="22"/>
              </w:rPr>
            </w:pPr>
          </w:p>
        </w:tc>
      </w:tr>
      <w:tr w:rsidR="00E40B7D" w:rsidRPr="001232C3" w14:paraId="59AE8AF3" w14:textId="77777777">
        <w:trPr>
          <w:cantSplit/>
        </w:trPr>
        <w:tc>
          <w:tcPr>
            <w:tcW w:w="2764" w:type="dxa"/>
            <w:vMerge/>
            <w:shd w:val="clear" w:color="auto" w:fill="F2F2F2"/>
            <w:vAlign w:val="center"/>
          </w:tcPr>
          <w:p w14:paraId="219E455B" w14:textId="77777777" w:rsidR="00E40B7D" w:rsidRPr="001232C3" w:rsidRDefault="00E40B7D">
            <w:pPr>
              <w:widowControl w:val="0"/>
              <w:pBdr>
                <w:top w:val="nil"/>
                <w:left w:val="nil"/>
                <w:bottom w:val="nil"/>
                <w:right w:val="nil"/>
                <w:between w:val="nil"/>
              </w:pBdr>
              <w:spacing w:line="276" w:lineRule="auto"/>
              <w:rPr>
                <w:rFonts w:asciiTheme="majorHAnsi" w:eastAsia="Calibri" w:hAnsiTheme="majorHAnsi" w:cstheme="majorHAnsi"/>
                <w:sz w:val="22"/>
                <w:szCs w:val="22"/>
              </w:rPr>
            </w:pPr>
          </w:p>
        </w:tc>
        <w:tc>
          <w:tcPr>
            <w:tcW w:w="2149" w:type="dxa"/>
            <w:vMerge/>
            <w:shd w:val="clear" w:color="auto" w:fill="F2F2F2"/>
            <w:vAlign w:val="center"/>
          </w:tcPr>
          <w:p w14:paraId="4FD7807C" w14:textId="77777777" w:rsidR="00E40B7D" w:rsidRPr="001232C3" w:rsidRDefault="00E40B7D">
            <w:pPr>
              <w:widowControl w:val="0"/>
              <w:pBdr>
                <w:top w:val="nil"/>
                <w:left w:val="nil"/>
                <w:bottom w:val="nil"/>
                <w:right w:val="nil"/>
                <w:between w:val="nil"/>
              </w:pBdr>
              <w:spacing w:line="276" w:lineRule="auto"/>
              <w:rPr>
                <w:rFonts w:asciiTheme="majorHAnsi" w:eastAsia="Calibri" w:hAnsiTheme="majorHAnsi" w:cstheme="majorHAnsi"/>
                <w:sz w:val="22"/>
                <w:szCs w:val="22"/>
              </w:rPr>
            </w:pPr>
          </w:p>
        </w:tc>
        <w:tc>
          <w:tcPr>
            <w:tcW w:w="2149" w:type="dxa"/>
            <w:shd w:val="clear" w:color="auto" w:fill="F2F2F2"/>
            <w:vAlign w:val="center"/>
          </w:tcPr>
          <w:p w14:paraId="196904E1"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Seminar:</w:t>
            </w:r>
          </w:p>
        </w:tc>
        <w:tc>
          <w:tcPr>
            <w:tcW w:w="2789" w:type="dxa"/>
            <w:vAlign w:val="center"/>
          </w:tcPr>
          <w:p w14:paraId="6CECF637" w14:textId="77777777" w:rsidR="00E40B7D" w:rsidRPr="001232C3" w:rsidRDefault="00643AB5">
            <w:pPr>
              <w:spacing w:before="60" w:after="60"/>
              <w:rPr>
                <w:rFonts w:asciiTheme="majorHAnsi" w:eastAsia="Calibri" w:hAnsiTheme="majorHAnsi" w:cstheme="majorHAnsi"/>
                <w:sz w:val="22"/>
                <w:szCs w:val="22"/>
              </w:rPr>
            </w:pPr>
            <w:r w:rsidRPr="001232C3">
              <w:rPr>
                <w:rFonts w:asciiTheme="majorHAnsi" w:eastAsia="Calibri" w:hAnsiTheme="majorHAnsi" w:cstheme="majorHAnsi"/>
                <w:sz w:val="22"/>
                <w:szCs w:val="22"/>
              </w:rPr>
              <w:t>2h/week</w:t>
            </w:r>
          </w:p>
        </w:tc>
      </w:tr>
      <w:tr w:rsidR="00E40B7D" w:rsidRPr="001232C3" w14:paraId="3067CB68" w14:textId="77777777">
        <w:trPr>
          <w:cantSplit/>
        </w:trPr>
        <w:tc>
          <w:tcPr>
            <w:tcW w:w="2764" w:type="dxa"/>
            <w:vMerge/>
            <w:shd w:val="clear" w:color="auto" w:fill="F2F2F2"/>
            <w:vAlign w:val="center"/>
          </w:tcPr>
          <w:p w14:paraId="18156692" w14:textId="77777777" w:rsidR="00E40B7D" w:rsidRPr="001232C3" w:rsidRDefault="00E40B7D">
            <w:pPr>
              <w:widowControl w:val="0"/>
              <w:pBdr>
                <w:top w:val="nil"/>
                <w:left w:val="nil"/>
                <w:bottom w:val="nil"/>
                <w:right w:val="nil"/>
                <w:between w:val="nil"/>
              </w:pBdr>
              <w:spacing w:line="276" w:lineRule="auto"/>
              <w:rPr>
                <w:rFonts w:asciiTheme="majorHAnsi" w:eastAsia="Calibri" w:hAnsiTheme="majorHAnsi" w:cstheme="majorHAnsi"/>
                <w:sz w:val="22"/>
                <w:szCs w:val="22"/>
              </w:rPr>
            </w:pPr>
          </w:p>
        </w:tc>
        <w:tc>
          <w:tcPr>
            <w:tcW w:w="2149" w:type="dxa"/>
            <w:vMerge w:val="restart"/>
            <w:shd w:val="clear" w:color="auto" w:fill="F2F2F2"/>
            <w:vAlign w:val="center"/>
          </w:tcPr>
          <w:p w14:paraId="080C9DCC"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Part-time training:</w:t>
            </w:r>
          </w:p>
        </w:tc>
        <w:tc>
          <w:tcPr>
            <w:tcW w:w="2149" w:type="dxa"/>
            <w:shd w:val="clear" w:color="auto" w:fill="F2F2F2"/>
            <w:vAlign w:val="center"/>
          </w:tcPr>
          <w:p w14:paraId="670E5BC5"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Lecture:</w:t>
            </w:r>
          </w:p>
        </w:tc>
        <w:tc>
          <w:tcPr>
            <w:tcW w:w="2789" w:type="dxa"/>
            <w:vAlign w:val="center"/>
          </w:tcPr>
          <w:p w14:paraId="2CE38B67" w14:textId="77777777" w:rsidR="00E40B7D" w:rsidRPr="001232C3" w:rsidRDefault="00E40B7D">
            <w:pPr>
              <w:spacing w:before="60" w:after="60"/>
              <w:rPr>
                <w:rFonts w:asciiTheme="majorHAnsi" w:eastAsia="Calibri" w:hAnsiTheme="majorHAnsi" w:cstheme="majorHAnsi"/>
                <w:sz w:val="22"/>
                <w:szCs w:val="22"/>
              </w:rPr>
            </w:pPr>
          </w:p>
        </w:tc>
      </w:tr>
      <w:tr w:rsidR="00E40B7D" w:rsidRPr="001232C3" w14:paraId="2423CC2E" w14:textId="77777777">
        <w:trPr>
          <w:cantSplit/>
        </w:trPr>
        <w:tc>
          <w:tcPr>
            <w:tcW w:w="2764" w:type="dxa"/>
            <w:vMerge/>
            <w:shd w:val="clear" w:color="auto" w:fill="F2F2F2"/>
            <w:vAlign w:val="center"/>
          </w:tcPr>
          <w:p w14:paraId="18F31838" w14:textId="77777777" w:rsidR="00E40B7D" w:rsidRPr="001232C3" w:rsidRDefault="00E40B7D">
            <w:pPr>
              <w:widowControl w:val="0"/>
              <w:pBdr>
                <w:top w:val="nil"/>
                <w:left w:val="nil"/>
                <w:bottom w:val="nil"/>
                <w:right w:val="nil"/>
                <w:between w:val="nil"/>
              </w:pBdr>
              <w:spacing w:line="276" w:lineRule="auto"/>
              <w:rPr>
                <w:rFonts w:asciiTheme="majorHAnsi" w:eastAsia="Calibri" w:hAnsiTheme="majorHAnsi" w:cstheme="majorHAnsi"/>
                <w:sz w:val="22"/>
                <w:szCs w:val="22"/>
              </w:rPr>
            </w:pPr>
          </w:p>
        </w:tc>
        <w:tc>
          <w:tcPr>
            <w:tcW w:w="2149" w:type="dxa"/>
            <w:vMerge/>
            <w:shd w:val="clear" w:color="auto" w:fill="F2F2F2"/>
            <w:vAlign w:val="center"/>
          </w:tcPr>
          <w:p w14:paraId="40F4E21A" w14:textId="77777777" w:rsidR="00E40B7D" w:rsidRPr="001232C3" w:rsidRDefault="00E40B7D">
            <w:pPr>
              <w:widowControl w:val="0"/>
              <w:pBdr>
                <w:top w:val="nil"/>
                <w:left w:val="nil"/>
                <w:bottom w:val="nil"/>
                <w:right w:val="nil"/>
                <w:between w:val="nil"/>
              </w:pBdr>
              <w:spacing w:line="276" w:lineRule="auto"/>
              <w:rPr>
                <w:rFonts w:asciiTheme="majorHAnsi" w:eastAsia="Calibri" w:hAnsiTheme="majorHAnsi" w:cstheme="majorHAnsi"/>
                <w:sz w:val="22"/>
                <w:szCs w:val="22"/>
              </w:rPr>
            </w:pPr>
          </w:p>
        </w:tc>
        <w:tc>
          <w:tcPr>
            <w:tcW w:w="2149" w:type="dxa"/>
            <w:shd w:val="clear" w:color="auto" w:fill="F2F2F2"/>
            <w:vAlign w:val="center"/>
          </w:tcPr>
          <w:p w14:paraId="0D92DD69"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Seminar:</w:t>
            </w:r>
          </w:p>
        </w:tc>
        <w:tc>
          <w:tcPr>
            <w:tcW w:w="2789" w:type="dxa"/>
            <w:vAlign w:val="center"/>
          </w:tcPr>
          <w:p w14:paraId="5644B014" w14:textId="484CFCEB" w:rsidR="00E40B7D" w:rsidRPr="001232C3" w:rsidRDefault="00FF3D8F">
            <w:pPr>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2</w:t>
            </w:r>
            <w:r w:rsidR="00643AB5" w:rsidRPr="001232C3">
              <w:rPr>
                <w:rFonts w:asciiTheme="majorHAnsi" w:eastAsia="Calibri" w:hAnsiTheme="majorHAnsi" w:cstheme="majorHAnsi"/>
                <w:sz w:val="22"/>
                <w:szCs w:val="22"/>
              </w:rPr>
              <w:t xml:space="preserve"> hours/semester</w:t>
            </w:r>
          </w:p>
        </w:tc>
      </w:tr>
      <w:tr w:rsidR="00E40B7D" w:rsidRPr="001232C3" w14:paraId="0C771972" w14:textId="77777777">
        <w:trPr>
          <w:cantSplit/>
        </w:trPr>
        <w:tc>
          <w:tcPr>
            <w:tcW w:w="2764" w:type="dxa"/>
            <w:shd w:val="clear" w:color="auto" w:fill="F2F2F2"/>
            <w:vAlign w:val="center"/>
          </w:tcPr>
          <w:p w14:paraId="0C5CBD2E"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Credit:</w:t>
            </w:r>
            <w:r w:rsidRPr="001232C3">
              <w:rPr>
                <w:rFonts w:asciiTheme="majorHAnsi" w:eastAsia="Calibri" w:hAnsiTheme="majorHAnsi" w:cstheme="majorHAnsi"/>
                <w:b/>
                <w:sz w:val="22"/>
                <w:szCs w:val="22"/>
                <w:vertAlign w:val="superscript"/>
              </w:rPr>
              <w:footnoteReference w:id="17"/>
            </w:r>
          </w:p>
        </w:tc>
        <w:tc>
          <w:tcPr>
            <w:tcW w:w="7087" w:type="dxa"/>
            <w:gridSpan w:val="3"/>
            <w:vAlign w:val="center"/>
          </w:tcPr>
          <w:p w14:paraId="5CD25797" w14:textId="77777777" w:rsidR="00E40B7D" w:rsidRPr="001232C3" w:rsidRDefault="00643AB5">
            <w:pPr>
              <w:spacing w:before="60" w:after="60"/>
              <w:rPr>
                <w:rFonts w:asciiTheme="majorHAnsi" w:eastAsia="Calibri" w:hAnsiTheme="majorHAnsi" w:cstheme="majorHAnsi"/>
                <w:sz w:val="22"/>
                <w:szCs w:val="22"/>
              </w:rPr>
            </w:pPr>
            <w:r w:rsidRPr="001232C3">
              <w:rPr>
                <w:rFonts w:asciiTheme="majorHAnsi" w:eastAsia="Calibri" w:hAnsiTheme="majorHAnsi" w:cstheme="majorHAnsi"/>
                <w:sz w:val="22"/>
                <w:szCs w:val="22"/>
              </w:rPr>
              <w:t>2</w:t>
            </w:r>
          </w:p>
        </w:tc>
      </w:tr>
      <w:tr w:rsidR="00E40B7D" w:rsidRPr="001232C3" w14:paraId="7C116236" w14:textId="77777777">
        <w:trPr>
          <w:cantSplit/>
        </w:trPr>
        <w:tc>
          <w:tcPr>
            <w:tcW w:w="2764" w:type="dxa"/>
            <w:shd w:val="clear" w:color="auto" w:fill="F2F2F2"/>
            <w:vAlign w:val="center"/>
          </w:tcPr>
          <w:p w14:paraId="5017D8DE"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Responsible department:</w:t>
            </w:r>
          </w:p>
        </w:tc>
        <w:tc>
          <w:tcPr>
            <w:tcW w:w="7087" w:type="dxa"/>
            <w:gridSpan w:val="3"/>
            <w:vAlign w:val="center"/>
          </w:tcPr>
          <w:p w14:paraId="3DE7AE2A" w14:textId="77777777" w:rsidR="00E40B7D" w:rsidRPr="001232C3" w:rsidRDefault="00643AB5">
            <w:pPr>
              <w:spacing w:before="60" w:after="60"/>
              <w:rPr>
                <w:rFonts w:asciiTheme="majorHAnsi" w:eastAsia="Calibri" w:hAnsiTheme="majorHAnsi" w:cstheme="majorHAnsi"/>
                <w:sz w:val="22"/>
                <w:szCs w:val="22"/>
              </w:rPr>
            </w:pPr>
            <w:r w:rsidRPr="001232C3">
              <w:rPr>
                <w:rFonts w:asciiTheme="majorHAnsi" w:eastAsia="Calibri" w:hAnsiTheme="majorHAnsi" w:cstheme="majorHAnsi"/>
                <w:sz w:val="22"/>
                <w:szCs w:val="22"/>
              </w:rPr>
              <w:t>Büntető Anyagi, Eljárási és Végrehajtási Jogi Tanszék</w:t>
            </w:r>
          </w:p>
        </w:tc>
      </w:tr>
      <w:tr w:rsidR="00E40B7D" w:rsidRPr="001232C3" w14:paraId="4C9F2E39" w14:textId="77777777">
        <w:trPr>
          <w:cantSplit/>
        </w:trPr>
        <w:tc>
          <w:tcPr>
            <w:tcW w:w="2764" w:type="dxa"/>
            <w:shd w:val="clear" w:color="auto" w:fill="F2F2F2"/>
            <w:vAlign w:val="center"/>
          </w:tcPr>
          <w:p w14:paraId="41F1B378"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Name of the lecturer:</w:t>
            </w:r>
          </w:p>
        </w:tc>
        <w:tc>
          <w:tcPr>
            <w:tcW w:w="7087" w:type="dxa"/>
            <w:gridSpan w:val="3"/>
            <w:vAlign w:val="center"/>
          </w:tcPr>
          <w:p w14:paraId="707ED430" w14:textId="77777777" w:rsidR="00E40B7D" w:rsidRPr="001232C3" w:rsidRDefault="00643AB5">
            <w:pPr>
              <w:spacing w:before="60" w:after="60"/>
              <w:rPr>
                <w:rFonts w:asciiTheme="majorHAnsi" w:eastAsia="Calibri" w:hAnsiTheme="majorHAnsi" w:cstheme="majorHAnsi"/>
                <w:sz w:val="22"/>
                <w:szCs w:val="22"/>
              </w:rPr>
            </w:pPr>
            <w:r w:rsidRPr="001232C3">
              <w:rPr>
                <w:rFonts w:asciiTheme="majorHAnsi" w:eastAsia="Calibri" w:hAnsiTheme="majorHAnsi" w:cstheme="majorHAnsi"/>
                <w:sz w:val="22"/>
                <w:szCs w:val="22"/>
              </w:rPr>
              <w:t>Dr. Villám Péter</w:t>
            </w:r>
          </w:p>
        </w:tc>
      </w:tr>
      <w:tr w:rsidR="00E40B7D" w:rsidRPr="001232C3" w14:paraId="52112E18" w14:textId="77777777">
        <w:trPr>
          <w:cantSplit/>
        </w:trPr>
        <w:tc>
          <w:tcPr>
            <w:tcW w:w="2764" w:type="dxa"/>
            <w:shd w:val="clear" w:color="auto" w:fill="D7E3BC"/>
            <w:vAlign w:val="center"/>
          </w:tcPr>
          <w:p w14:paraId="11BD130E"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Aim of the course:</w:t>
            </w:r>
            <w:r w:rsidRPr="001232C3">
              <w:rPr>
                <w:rFonts w:asciiTheme="majorHAnsi" w:eastAsia="Calibri" w:hAnsiTheme="majorHAnsi" w:cstheme="majorHAnsi"/>
                <w:b/>
                <w:sz w:val="22"/>
                <w:szCs w:val="22"/>
                <w:vertAlign w:val="superscript"/>
              </w:rPr>
              <w:footnoteReference w:id="18"/>
            </w:r>
          </w:p>
        </w:tc>
        <w:tc>
          <w:tcPr>
            <w:tcW w:w="7087" w:type="dxa"/>
            <w:gridSpan w:val="3"/>
            <w:vAlign w:val="center"/>
          </w:tcPr>
          <w:p w14:paraId="1D90CB77" w14:textId="77777777" w:rsidR="00E40B7D" w:rsidRPr="001232C3" w:rsidRDefault="00643AB5">
            <w:pPr>
              <w:rPr>
                <w:rFonts w:asciiTheme="majorHAnsi" w:hAnsiTheme="majorHAnsi" w:cstheme="majorHAnsi"/>
                <w:sz w:val="22"/>
                <w:szCs w:val="22"/>
              </w:rPr>
            </w:pPr>
            <w:r w:rsidRPr="001232C3">
              <w:rPr>
                <w:rFonts w:asciiTheme="majorHAnsi" w:hAnsiTheme="majorHAnsi" w:cstheme="majorHAnsi"/>
                <w:sz w:val="22"/>
                <w:szCs w:val="22"/>
              </w:rPr>
              <w:t xml:space="preserve">The aim of the </w:t>
            </w:r>
            <w:proofErr w:type="gramStart"/>
            <w:r w:rsidRPr="001232C3">
              <w:rPr>
                <w:rFonts w:asciiTheme="majorHAnsi" w:hAnsiTheme="majorHAnsi" w:cstheme="majorHAnsi"/>
                <w:sz w:val="22"/>
                <w:szCs w:val="22"/>
              </w:rPr>
              <w:t>course(</w:t>
            </w:r>
            <w:proofErr w:type="gramEnd"/>
            <w:r w:rsidRPr="001232C3">
              <w:rPr>
                <w:rFonts w:asciiTheme="majorHAnsi" w:hAnsiTheme="majorHAnsi" w:cstheme="majorHAnsi"/>
                <w:sz w:val="22"/>
                <w:szCs w:val="22"/>
              </w:rPr>
              <w:t>including the elements set out in points 7.1.1 and 8.1.1 of the KKK):</w:t>
            </w:r>
          </w:p>
          <w:p w14:paraId="56DA63BA" w14:textId="77777777" w:rsidR="00E40B7D" w:rsidRPr="001232C3" w:rsidRDefault="00643AB5">
            <w:pPr>
              <w:rPr>
                <w:rFonts w:asciiTheme="majorHAnsi" w:hAnsiTheme="majorHAnsi" w:cstheme="majorHAnsi"/>
                <w:sz w:val="22"/>
                <w:szCs w:val="22"/>
                <w:u w:val="single"/>
              </w:rPr>
            </w:pPr>
            <w:r w:rsidRPr="001232C3">
              <w:rPr>
                <w:rFonts w:asciiTheme="majorHAnsi" w:hAnsiTheme="majorHAnsi" w:cstheme="majorHAnsi"/>
                <w:sz w:val="22"/>
                <w:szCs w:val="22"/>
                <w:u w:val="single"/>
              </w:rPr>
              <w:t>Purpose of education:</w:t>
            </w:r>
          </w:p>
          <w:p w14:paraId="1330CC10" w14:textId="77777777" w:rsidR="00E40B7D" w:rsidRPr="001232C3" w:rsidRDefault="00643AB5">
            <w:pPr>
              <w:rPr>
                <w:rFonts w:asciiTheme="majorHAnsi" w:hAnsiTheme="majorHAnsi" w:cstheme="majorHAnsi"/>
                <w:i/>
                <w:sz w:val="22"/>
                <w:szCs w:val="22"/>
              </w:rPr>
            </w:pPr>
            <w:r w:rsidRPr="001232C3">
              <w:rPr>
                <w:rFonts w:asciiTheme="majorHAnsi" w:hAnsiTheme="majorHAnsi" w:cstheme="majorHAnsi"/>
                <w:i/>
                <w:sz w:val="22"/>
                <w:szCs w:val="22"/>
              </w:rPr>
              <w:t>To provide an introduction to the legal context of the diversionary procedure in criminal prosecution, the mediation procedure. To explore the restorative methods that can be used in mediation proceedings. Mediation in criminal cases was introduced into the domestic legal order with effect from 1 January 2007.</w:t>
            </w:r>
          </w:p>
        </w:tc>
      </w:tr>
      <w:tr w:rsidR="00E40B7D" w:rsidRPr="001232C3" w14:paraId="2AF06D32" w14:textId="77777777">
        <w:trPr>
          <w:cantSplit/>
        </w:trPr>
        <w:tc>
          <w:tcPr>
            <w:tcW w:w="2764" w:type="dxa"/>
            <w:shd w:val="clear" w:color="auto" w:fill="D7E3BC"/>
            <w:vAlign w:val="center"/>
          </w:tcPr>
          <w:p w14:paraId="782235F8"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lastRenderedPageBreak/>
              <w:t>Outline of the course:</w:t>
            </w:r>
            <w:r w:rsidRPr="001232C3">
              <w:rPr>
                <w:rFonts w:asciiTheme="majorHAnsi" w:eastAsia="Calibri" w:hAnsiTheme="majorHAnsi" w:cstheme="majorHAnsi"/>
                <w:b/>
                <w:sz w:val="22"/>
                <w:szCs w:val="22"/>
                <w:vertAlign w:val="superscript"/>
              </w:rPr>
              <w:footnoteReference w:id="19"/>
            </w:r>
          </w:p>
        </w:tc>
        <w:tc>
          <w:tcPr>
            <w:tcW w:w="7087" w:type="dxa"/>
            <w:gridSpan w:val="3"/>
            <w:vAlign w:val="center"/>
          </w:tcPr>
          <w:p w14:paraId="537D5079" w14:textId="77777777" w:rsidR="00E40B7D" w:rsidRPr="001232C3" w:rsidRDefault="00643AB5">
            <w:pPr>
              <w:jc w:val="both"/>
              <w:rPr>
                <w:rFonts w:asciiTheme="majorHAnsi" w:hAnsiTheme="majorHAnsi" w:cstheme="majorHAnsi"/>
                <w:sz w:val="22"/>
                <w:szCs w:val="22"/>
              </w:rPr>
            </w:pPr>
            <w:r w:rsidRPr="001232C3">
              <w:rPr>
                <w:rFonts w:asciiTheme="majorHAnsi" w:hAnsiTheme="majorHAnsi" w:cstheme="majorHAnsi"/>
                <w:sz w:val="22"/>
                <w:szCs w:val="22"/>
              </w:rPr>
              <w:t xml:space="preserve">In Europe, the restorative approach has been incorporated into legal systems and practice in different ways. The course will introduce students to embedded, partially embedded and independent systems of restorative justice. </w:t>
            </w:r>
          </w:p>
          <w:p w14:paraId="098502A9" w14:textId="77777777" w:rsidR="00E40B7D" w:rsidRPr="001232C3" w:rsidRDefault="00643AB5">
            <w:pPr>
              <w:jc w:val="both"/>
              <w:rPr>
                <w:rFonts w:asciiTheme="majorHAnsi" w:hAnsiTheme="majorHAnsi" w:cstheme="majorHAnsi"/>
                <w:sz w:val="22"/>
                <w:szCs w:val="22"/>
              </w:rPr>
            </w:pPr>
            <w:r w:rsidRPr="001232C3">
              <w:rPr>
                <w:rFonts w:asciiTheme="majorHAnsi" w:hAnsiTheme="majorHAnsi" w:cstheme="majorHAnsi"/>
                <w:sz w:val="22"/>
                <w:szCs w:val="22"/>
              </w:rPr>
              <w:t xml:space="preserve">Christian theology and culture and ecclesiastical law are also familiar with these forms of consensualism, which can be traced back to biblical foundations. </w:t>
            </w:r>
          </w:p>
          <w:p w14:paraId="4EC3B28F" w14:textId="77777777" w:rsidR="00E40B7D" w:rsidRPr="001232C3" w:rsidRDefault="00643AB5">
            <w:pPr>
              <w:jc w:val="both"/>
              <w:rPr>
                <w:rFonts w:asciiTheme="majorHAnsi" w:hAnsiTheme="majorHAnsi" w:cstheme="majorHAnsi"/>
                <w:sz w:val="22"/>
                <w:szCs w:val="22"/>
              </w:rPr>
            </w:pPr>
            <w:r w:rsidRPr="001232C3">
              <w:rPr>
                <w:rFonts w:asciiTheme="majorHAnsi" w:hAnsiTheme="majorHAnsi" w:cstheme="majorHAnsi"/>
                <w:sz w:val="22"/>
                <w:szCs w:val="22"/>
              </w:rPr>
              <w:t xml:space="preserve">The Hungarian legal system and judiciary makes use of various methods, currently in Hungarian practice the most established is the mediation methodology for mediation procedures. </w:t>
            </w:r>
          </w:p>
          <w:p w14:paraId="44A5F563" w14:textId="77777777" w:rsidR="00E40B7D" w:rsidRPr="001232C3" w:rsidRDefault="00643AB5">
            <w:pPr>
              <w:jc w:val="both"/>
              <w:rPr>
                <w:rFonts w:asciiTheme="majorHAnsi" w:hAnsiTheme="majorHAnsi" w:cstheme="majorHAnsi"/>
                <w:sz w:val="22"/>
                <w:szCs w:val="22"/>
              </w:rPr>
            </w:pPr>
            <w:r w:rsidRPr="001232C3">
              <w:rPr>
                <w:rFonts w:asciiTheme="majorHAnsi" w:hAnsiTheme="majorHAnsi" w:cstheme="majorHAnsi"/>
                <w:sz w:val="22"/>
                <w:szCs w:val="22"/>
              </w:rPr>
              <w:t xml:space="preserve">Students will be introduced to the legal context and practice of mediation in criminal proceedings, as well as to the restorative nature of mediation, community service, and reparation work, which are the responsibility of probation supervision. The use of this procedure was made possible by Recommendation No R (99) 19 of the Committee of Ministers of the Council of Europe on mediation. </w:t>
            </w:r>
          </w:p>
          <w:p w14:paraId="2DC39DD9" w14:textId="77777777" w:rsidR="00E40B7D" w:rsidRPr="001232C3" w:rsidRDefault="00643AB5">
            <w:pPr>
              <w:jc w:val="both"/>
              <w:rPr>
                <w:rFonts w:asciiTheme="majorHAnsi" w:hAnsiTheme="majorHAnsi" w:cstheme="majorHAnsi"/>
                <w:sz w:val="22"/>
                <w:szCs w:val="22"/>
              </w:rPr>
            </w:pPr>
            <w:r w:rsidRPr="001232C3">
              <w:rPr>
                <w:rFonts w:asciiTheme="majorHAnsi" w:hAnsiTheme="majorHAnsi" w:cstheme="majorHAnsi"/>
                <w:sz w:val="22"/>
                <w:szCs w:val="22"/>
              </w:rPr>
              <w:t xml:space="preserve">The training will introduce the applicable provisions of Act XC of 2017 on Criminal Procedure, which regulate the mediation procedure in a rather broad manner. </w:t>
            </w:r>
          </w:p>
          <w:p w14:paraId="448B613A" w14:textId="77777777" w:rsidR="00E40B7D" w:rsidRPr="001232C3" w:rsidRDefault="00643AB5">
            <w:pPr>
              <w:jc w:val="both"/>
              <w:rPr>
                <w:rFonts w:asciiTheme="majorHAnsi" w:hAnsiTheme="majorHAnsi" w:cstheme="majorHAnsi"/>
                <w:sz w:val="22"/>
                <w:szCs w:val="22"/>
              </w:rPr>
            </w:pPr>
            <w:r w:rsidRPr="001232C3">
              <w:rPr>
                <w:rFonts w:asciiTheme="majorHAnsi" w:hAnsiTheme="majorHAnsi" w:cstheme="majorHAnsi"/>
                <w:sz w:val="22"/>
                <w:szCs w:val="22"/>
              </w:rPr>
              <w:t xml:space="preserve">During the training </w:t>
            </w:r>
          </w:p>
          <w:p w14:paraId="321DCE48" w14:textId="77777777" w:rsidR="00E40B7D" w:rsidRPr="001232C3" w:rsidRDefault="00643AB5">
            <w:pPr>
              <w:numPr>
                <w:ilvl w:val="0"/>
                <w:numId w:val="1"/>
              </w:numPr>
              <w:jc w:val="both"/>
              <w:rPr>
                <w:rFonts w:asciiTheme="majorHAnsi" w:hAnsiTheme="majorHAnsi" w:cstheme="majorHAnsi"/>
                <w:sz w:val="22"/>
                <w:szCs w:val="22"/>
              </w:rPr>
            </w:pPr>
            <w:r w:rsidRPr="001232C3">
              <w:rPr>
                <w:rFonts w:asciiTheme="majorHAnsi" w:hAnsiTheme="majorHAnsi" w:cstheme="majorHAnsi"/>
                <w:sz w:val="22"/>
                <w:szCs w:val="22"/>
              </w:rPr>
              <w:t xml:space="preserve">Article 29 of Act C of 2012 on the Penal Code, Section 29, the legal instrument of active remorse, </w:t>
            </w:r>
          </w:p>
          <w:p w14:paraId="3C7F5C53" w14:textId="77777777" w:rsidR="00E40B7D" w:rsidRPr="001232C3" w:rsidRDefault="00643AB5">
            <w:pPr>
              <w:numPr>
                <w:ilvl w:val="0"/>
                <w:numId w:val="1"/>
              </w:numPr>
              <w:jc w:val="both"/>
              <w:rPr>
                <w:rFonts w:asciiTheme="majorHAnsi" w:hAnsiTheme="majorHAnsi" w:cstheme="majorHAnsi"/>
                <w:sz w:val="22"/>
                <w:szCs w:val="22"/>
              </w:rPr>
            </w:pPr>
            <w:r w:rsidRPr="001232C3">
              <w:rPr>
                <w:rFonts w:asciiTheme="majorHAnsi" w:hAnsiTheme="majorHAnsi" w:cstheme="majorHAnsi"/>
                <w:sz w:val="22"/>
                <w:szCs w:val="22"/>
              </w:rPr>
              <w:t>Act CXXIII of 2006 on Mediation in Criminal Matters,</w:t>
            </w:r>
          </w:p>
          <w:p w14:paraId="7D05B085" w14:textId="77777777" w:rsidR="00E40B7D" w:rsidRPr="001232C3" w:rsidRDefault="00643AB5">
            <w:pPr>
              <w:numPr>
                <w:ilvl w:val="0"/>
                <w:numId w:val="1"/>
              </w:numPr>
              <w:jc w:val="both"/>
              <w:rPr>
                <w:rFonts w:asciiTheme="majorHAnsi" w:hAnsiTheme="majorHAnsi" w:cstheme="majorHAnsi"/>
                <w:sz w:val="22"/>
                <w:szCs w:val="22"/>
              </w:rPr>
            </w:pPr>
            <w:r w:rsidRPr="001232C3">
              <w:rPr>
                <w:rFonts w:asciiTheme="majorHAnsi" w:hAnsiTheme="majorHAnsi" w:cstheme="majorHAnsi"/>
                <w:sz w:val="22"/>
                <w:szCs w:val="22"/>
              </w:rPr>
              <w:t>Act II of 2012 on offences, offence proceedings and the offence registration system,</w:t>
            </w:r>
          </w:p>
          <w:p w14:paraId="5E51CC62" w14:textId="77777777" w:rsidR="00E40B7D" w:rsidRPr="001232C3" w:rsidRDefault="00643AB5">
            <w:pPr>
              <w:numPr>
                <w:ilvl w:val="0"/>
                <w:numId w:val="1"/>
              </w:numPr>
              <w:jc w:val="both"/>
              <w:rPr>
                <w:rFonts w:asciiTheme="majorHAnsi" w:hAnsiTheme="majorHAnsi" w:cstheme="majorHAnsi"/>
                <w:sz w:val="22"/>
                <w:szCs w:val="22"/>
              </w:rPr>
            </w:pPr>
            <w:r w:rsidRPr="001232C3">
              <w:rPr>
                <w:rFonts w:asciiTheme="majorHAnsi" w:hAnsiTheme="majorHAnsi" w:cstheme="majorHAnsi"/>
                <w:sz w:val="22"/>
                <w:szCs w:val="22"/>
              </w:rPr>
              <w:t>Act CXXX of 2016 on the Code of Civil Procedure,</w:t>
            </w:r>
          </w:p>
          <w:p w14:paraId="031AC55D" w14:textId="77777777" w:rsidR="00E40B7D" w:rsidRPr="001232C3" w:rsidRDefault="00643AB5">
            <w:pPr>
              <w:numPr>
                <w:ilvl w:val="0"/>
                <w:numId w:val="1"/>
              </w:numPr>
              <w:jc w:val="both"/>
              <w:rPr>
                <w:rFonts w:asciiTheme="majorHAnsi" w:hAnsiTheme="majorHAnsi" w:cstheme="majorHAnsi"/>
                <w:sz w:val="22"/>
                <w:szCs w:val="22"/>
              </w:rPr>
            </w:pPr>
            <w:r w:rsidRPr="001232C3">
              <w:rPr>
                <w:rFonts w:asciiTheme="majorHAnsi" w:hAnsiTheme="majorHAnsi" w:cstheme="majorHAnsi"/>
                <w:sz w:val="22"/>
                <w:szCs w:val="22"/>
              </w:rPr>
              <w:t>Act I of 2017 on the Code of Administrative Procedure,</w:t>
            </w:r>
          </w:p>
          <w:p w14:paraId="35123AA1" w14:textId="77777777" w:rsidR="00E40B7D" w:rsidRPr="001232C3" w:rsidRDefault="00643AB5">
            <w:pPr>
              <w:numPr>
                <w:ilvl w:val="0"/>
                <w:numId w:val="1"/>
              </w:numPr>
              <w:jc w:val="both"/>
              <w:rPr>
                <w:rFonts w:asciiTheme="majorHAnsi" w:hAnsiTheme="majorHAnsi" w:cstheme="majorHAnsi"/>
                <w:sz w:val="22"/>
                <w:szCs w:val="22"/>
              </w:rPr>
            </w:pPr>
            <w:r w:rsidRPr="001232C3">
              <w:rPr>
                <w:rFonts w:asciiTheme="majorHAnsi" w:hAnsiTheme="majorHAnsi" w:cstheme="majorHAnsi"/>
                <w:sz w:val="22"/>
                <w:szCs w:val="22"/>
              </w:rPr>
              <w:t>The provisions on mediation procedures of the Decree of the Minister of Justice of the Republic of Poland No. 8/2013 (29.VI.) on the activities of the Parole Board are described and compared.</w:t>
            </w:r>
          </w:p>
          <w:p w14:paraId="17601506" w14:textId="77777777" w:rsidR="00E40B7D" w:rsidRPr="001232C3" w:rsidRDefault="00643AB5">
            <w:pPr>
              <w:jc w:val="both"/>
              <w:rPr>
                <w:rFonts w:asciiTheme="majorHAnsi" w:hAnsiTheme="majorHAnsi" w:cstheme="majorHAnsi"/>
                <w:sz w:val="22"/>
                <w:szCs w:val="22"/>
              </w:rPr>
            </w:pPr>
            <w:r w:rsidRPr="001232C3">
              <w:rPr>
                <w:rFonts w:asciiTheme="majorHAnsi" w:hAnsiTheme="majorHAnsi" w:cstheme="majorHAnsi"/>
                <w:sz w:val="22"/>
                <w:szCs w:val="22"/>
              </w:rPr>
              <w:t>We analyse the legal provisions applicable to the participants in the procedure, in particular the status of the victim (Council of the European Union Framework Decision on the standing of victims in criminal proceedings, Decision 2001/220/IB)</w:t>
            </w:r>
          </w:p>
          <w:p w14:paraId="5C134C30" w14:textId="77777777" w:rsidR="00E40B7D" w:rsidRPr="001232C3" w:rsidRDefault="00643AB5">
            <w:pPr>
              <w:jc w:val="both"/>
              <w:rPr>
                <w:rFonts w:asciiTheme="majorHAnsi" w:hAnsiTheme="majorHAnsi" w:cstheme="majorHAnsi"/>
                <w:sz w:val="22"/>
                <w:szCs w:val="22"/>
              </w:rPr>
            </w:pPr>
            <w:r w:rsidRPr="001232C3">
              <w:rPr>
                <w:rFonts w:asciiTheme="majorHAnsi" w:hAnsiTheme="majorHAnsi" w:cstheme="majorHAnsi"/>
                <w:sz w:val="22"/>
                <w:szCs w:val="22"/>
              </w:rPr>
              <w:t>We will examine the relevant decisions of the Curia on the substantive law of active remorse and the concept and content of reparation (BK Opinion No 3/2007 on the interpretation of certain provisions of Act C of 2012 and Act XIX of 1998 on mediation).</w:t>
            </w:r>
          </w:p>
          <w:p w14:paraId="6B5EB270" w14:textId="77777777" w:rsidR="00E40B7D" w:rsidRPr="001232C3" w:rsidRDefault="00643AB5">
            <w:pPr>
              <w:jc w:val="both"/>
              <w:rPr>
                <w:rFonts w:asciiTheme="majorHAnsi" w:eastAsia="Calibri" w:hAnsiTheme="majorHAnsi" w:cstheme="majorHAnsi"/>
                <w:sz w:val="22"/>
                <w:szCs w:val="22"/>
              </w:rPr>
            </w:pPr>
            <w:r w:rsidRPr="001232C3">
              <w:rPr>
                <w:rFonts w:asciiTheme="majorHAnsi" w:hAnsiTheme="majorHAnsi" w:cstheme="majorHAnsi"/>
                <w:sz w:val="22"/>
                <w:szCs w:val="22"/>
              </w:rPr>
              <w:t>Content: presentation of the restorative approach by branch of law; professional and lay actors in the administration of justice; restorative rules of criminal procedure; alternative and restorative sentencing practices.</w:t>
            </w:r>
          </w:p>
        </w:tc>
      </w:tr>
      <w:tr w:rsidR="00E40B7D" w:rsidRPr="001232C3" w14:paraId="3592C807" w14:textId="77777777">
        <w:trPr>
          <w:cantSplit/>
        </w:trPr>
        <w:tc>
          <w:tcPr>
            <w:tcW w:w="2764" w:type="dxa"/>
            <w:shd w:val="clear" w:color="auto" w:fill="D7E3BC"/>
            <w:vAlign w:val="center"/>
          </w:tcPr>
          <w:p w14:paraId="6499F067"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Testing and evaluation:</w:t>
            </w:r>
            <w:r w:rsidRPr="001232C3">
              <w:rPr>
                <w:rFonts w:asciiTheme="majorHAnsi" w:eastAsia="Calibri" w:hAnsiTheme="majorHAnsi" w:cstheme="majorHAnsi"/>
                <w:b/>
                <w:sz w:val="22"/>
                <w:szCs w:val="22"/>
                <w:vertAlign w:val="superscript"/>
              </w:rPr>
              <w:footnoteReference w:id="20"/>
            </w:r>
          </w:p>
        </w:tc>
        <w:tc>
          <w:tcPr>
            <w:tcW w:w="7087" w:type="dxa"/>
            <w:gridSpan w:val="3"/>
            <w:vAlign w:val="center"/>
          </w:tcPr>
          <w:p w14:paraId="5C2C3488" w14:textId="220C936E" w:rsidR="00E40B7D" w:rsidRPr="001232C3" w:rsidRDefault="00643AB5" w:rsidP="001232C3">
            <w:pPr>
              <w:jc w:val="both"/>
              <w:rPr>
                <w:rFonts w:asciiTheme="majorHAnsi" w:eastAsia="Calibri" w:hAnsiTheme="majorHAnsi" w:cstheme="majorHAnsi"/>
                <w:sz w:val="22"/>
                <w:szCs w:val="22"/>
              </w:rPr>
            </w:pPr>
            <w:r w:rsidRPr="001232C3">
              <w:rPr>
                <w:rFonts w:asciiTheme="majorHAnsi" w:eastAsia="Calibri" w:hAnsiTheme="majorHAnsi" w:cstheme="majorHAnsi"/>
                <w:sz w:val="22"/>
                <w:szCs w:val="22"/>
              </w:rPr>
              <w:t xml:space="preserve">Attendance and active participation in the lectures and holding a </w:t>
            </w:r>
            <w:proofErr w:type="spellStart"/>
            <w:r w:rsidRPr="001232C3">
              <w:rPr>
                <w:rFonts w:asciiTheme="majorHAnsi" w:eastAsia="Calibri" w:hAnsiTheme="majorHAnsi" w:cstheme="majorHAnsi"/>
                <w:sz w:val="22"/>
                <w:szCs w:val="22"/>
              </w:rPr>
              <w:t>presentation</w:t>
            </w:r>
            <w:proofErr w:type="spellEnd"/>
            <w:r w:rsidRPr="001232C3">
              <w:rPr>
                <w:rFonts w:asciiTheme="majorHAnsi" w:eastAsia="Calibri" w:hAnsiTheme="majorHAnsi" w:cstheme="majorHAnsi"/>
                <w:sz w:val="22"/>
                <w:szCs w:val="22"/>
              </w:rPr>
              <w:t>.</w:t>
            </w:r>
          </w:p>
          <w:p w14:paraId="26E83700" w14:textId="77777777" w:rsidR="00E40B7D" w:rsidRPr="001232C3" w:rsidRDefault="00643AB5">
            <w:pPr>
              <w:rPr>
                <w:rFonts w:asciiTheme="majorHAnsi" w:eastAsia="Calibri" w:hAnsiTheme="majorHAnsi" w:cstheme="majorHAnsi"/>
                <w:sz w:val="22"/>
                <w:szCs w:val="22"/>
              </w:rPr>
            </w:pPr>
            <w:r w:rsidRPr="001232C3">
              <w:rPr>
                <w:rFonts w:asciiTheme="majorHAnsi" w:eastAsia="Calibri" w:hAnsiTheme="majorHAnsi" w:cstheme="majorHAnsi"/>
                <w:sz w:val="22"/>
                <w:szCs w:val="22"/>
              </w:rPr>
              <w:t>Three-scale grade: evaluation according to the three-scale grading scheme: excellent (5), satisfactory (3), fail (1)</w:t>
            </w:r>
          </w:p>
        </w:tc>
      </w:tr>
      <w:tr w:rsidR="00E40B7D" w:rsidRPr="001232C3" w14:paraId="658EC920" w14:textId="77777777">
        <w:trPr>
          <w:cantSplit/>
        </w:trPr>
        <w:tc>
          <w:tcPr>
            <w:tcW w:w="2764" w:type="dxa"/>
            <w:shd w:val="clear" w:color="auto" w:fill="D7E3BC"/>
            <w:vAlign w:val="center"/>
          </w:tcPr>
          <w:p w14:paraId="5B1083E4" w14:textId="77777777" w:rsidR="00E40B7D" w:rsidRPr="001232C3" w:rsidRDefault="00643AB5">
            <w:pPr>
              <w:spacing w:before="60" w:after="60"/>
              <w:rPr>
                <w:rFonts w:asciiTheme="majorHAnsi" w:eastAsia="Calibri" w:hAnsiTheme="majorHAnsi" w:cstheme="majorHAnsi"/>
                <w:b/>
                <w:sz w:val="22"/>
                <w:szCs w:val="22"/>
              </w:rPr>
            </w:pPr>
            <w:r w:rsidRPr="001232C3">
              <w:rPr>
                <w:rFonts w:asciiTheme="majorHAnsi" w:eastAsia="Calibri" w:hAnsiTheme="majorHAnsi" w:cstheme="majorHAnsi"/>
                <w:b/>
                <w:sz w:val="22"/>
                <w:szCs w:val="22"/>
              </w:rPr>
              <w:t>Course materials:</w:t>
            </w:r>
            <w:r w:rsidRPr="001232C3">
              <w:rPr>
                <w:rFonts w:asciiTheme="majorHAnsi" w:eastAsia="Calibri" w:hAnsiTheme="majorHAnsi" w:cstheme="majorHAnsi"/>
                <w:b/>
                <w:sz w:val="22"/>
                <w:szCs w:val="22"/>
                <w:vertAlign w:val="superscript"/>
              </w:rPr>
              <w:footnoteReference w:id="21"/>
            </w:r>
          </w:p>
        </w:tc>
        <w:tc>
          <w:tcPr>
            <w:tcW w:w="7087" w:type="dxa"/>
            <w:gridSpan w:val="3"/>
            <w:vAlign w:val="center"/>
          </w:tcPr>
          <w:p w14:paraId="23A0A962" w14:textId="77777777" w:rsidR="00E40B7D" w:rsidRPr="001232C3" w:rsidRDefault="00E40B7D">
            <w:pPr>
              <w:spacing w:before="60" w:after="60"/>
              <w:rPr>
                <w:rFonts w:asciiTheme="majorHAnsi" w:eastAsia="Calibri" w:hAnsiTheme="majorHAnsi" w:cstheme="majorHAnsi"/>
                <w:sz w:val="22"/>
                <w:szCs w:val="22"/>
              </w:rPr>
            </w:pPr>
          </w:p>
        </w:tc>
      </w:tr>
    </w:tbl>
    <w:p w14:paraId="31C6B721" w14:textId="77777777" w:rsidR="00E40B7D" w:rsidRPr="001232C3" w:rsidRDefault="00E40B7D">
      <w:pPr>
        <w:jc w:val="both"/>
        <w:rPr>
          <w:rFonts w:asciiTheme="majorHAnsi" w:eastAsia="Calibri" w:hAnsiTheme="majorHAnsi" w:cstheme="majorHAnsi"/>
          <w:sz w:val="22"/>
          <w:szCs w:val="22"/>
        </w:rPr>
      </w:pPr>
    </w:p>
    <w:sectPr w:rsidR="00E40B7D" w:rsidRPr="001232C3">
      <w:pgSz w:w="11906" w:h="16838"/>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40C2C" w14:textId="77777777" w:rsidR="002A1223" w:rsidRDefault="002A1223">
      <w:r>
        <w:separator/>
      </w:r>
    </w:p>
  </w:endnote>
  <w:endnote w:type="continuationSeparator" w:id="0">
    <w:p w14:paraId="21BED39A" w14:textId="77777777" w:rsidR="002A1223" w:rsidRDefault="002A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456A4" w14:textId="77777777" w:rsidR="002A1223" w:rsidRDefault="002A1223">
      <w:r>
        <w:separator/>
      </w:r>
    </w:p>
  </w:footnote>
  <w:footnote w:type="continuationSeparator" w:id="0">
    <w:p w14:paraId="1FF0B71B" w14:textId="77777777" w:rsidR="002A1223" w:rsidRDefault="002A1223">
      <w:r>
        <w:continuationSeparator/>
      </w:r>
    </w:p>
  </w:footnote>
  <w:footnote w:id="1">
    <w:p w14:paraId="4433CA2B" w14:textId="77777777" w:rsidR="00E40B7D" w:rsidRDefault="00643AB5">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Szint:</w:t>
      </w:r>
      <w:r>
        <w:rPr>
          <w:rFonts w:ascii="Calibri" w:eastAsia="Calibri" w:hAnsi="Calibri" w:cs="Calibri"/>
          <w:color w:val="000000"/>
          <w:sz w:val="20"/>
          <w:szCs w:val="20"/>
        </w:rPr>
        <w:t xml:space="preserve"> 1-10: amely félévhez a tárgy a mintatanterv szerint tartozik, vagy amelyen hallgatása egyébként ajánlott.</w:t>
      </w:r>
    </w:p>
  </w:footnote>
  <w:footnote w:id="2">
    <w:p w14:paraId="11DFB03C" w14:textId="77777777" w:rsidR="00E40B7D" w:rsidRDefault="00643AB5">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Előfeltételt</w:t>
      </w:r>
      <w:r>
        <w:rPr>
          <w:rFonts w:ascii="Calibri" w:eastAsia="Calibri" w:hAnsi="Calibri" w:cs="Calibri"/>
          <w:color w:val="000000"/>
          <w:sz w:val="20"/>
          <w:szCs w:val="20"/>
        </w:rPr>
        <w:t xml:space="preserve"> meghatározni opcionális. Megadható például előfeltételként valamely tárgy előhallgatása vagy párhuzamos hallgatása; minimális kreditszám. Az erre vonatkozó szűrőt a Tanulmányi Osztály tudja beállítani.</w:t>
      </w:r>
    </w:p>
  </w:footnote>
  <w:footnote w:id="3">
    <w:p w14:paraId="4D78B4C1" w14:textId="77777777" w:rsidR="00E40B7D" w:rsidRDefault="00643AB5">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Követelmény típus:</w:t>
      </w:r>
      <w:r>
        <w:rPr>
          <w:rFonts w:ascii="Calibri" w:eastAsia="Calibri" w:hAnsi="Calibri" w:cs="Calibri"/>
          <w:color w:val="000000"/>
          <w:sz w:val="20"/>
          <w:szCs w:val="20"/>
        </w:rPr>
        <w:t xml:space="preserve"> kötelezően választhatónál „Évközi jegy” (ötfokozatú)”, szabadon választhatónál „Beszámoló (háromfokozatú)”.</w:t>
      </w:r>
    </w:p>
  </w:footnote>
  <w:footnote w:id="4">
    <w:p w14:paraId="2ABB2A7A" w14:textId="77777777" w:rsidR="00E40B7D" w:rsidRDefault="00643AB5">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Óraszám:</w:t>
      </w:r>
      <w:r>
        <w:rPr>
          <w:rFonts w:ascii="Calibri" w:eastAsia="Calibri" w:hAnsi="Calibri" w:cs="Calibri"/>
          <w:color w:val="000000"/>
          <w:sz w:val="20"/>
          <w:szCs w:val="20"/>
        </w:rPr>
        <w:t xml:space="preserve"> kötelezően választhatónál nappalin 2 óra/hét, levelezőn 3 óra/félév. Szabadon választhatónál nappalin 2 óra/hét, levelezőn 2 óra/félév.</w:t>
      </w:r>
    </w:p>
  </w:footnote>
  <w:footnote w:id="5">
    <w:p w14:paraId="69596668" w14:textId="77777777" w:rsidR="00E40B7D" w:rsidRDefault="00643AB5">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Óratípus:</w:t>
      </w:r>
      <w:r>
        <w:rPr>
          <w:rFonts w:ascii="Calibri" w:eastAsia="Calibri" w:hAnsi="Calibri" w:cs="Calibri"/>
          <w:color w:val="000000"/>
          <w:sz w:val="20"/>
          <w:szCs w:val="20"/>
        </w:rPr>
        <w:t xml:space="preserve"> kötelezően választhatónál „Előadás”, szabadon választhatónál „Gyakorlat”.</w:t>
      </w:r>
    </w:p>
  </w:footnote>
  <w:footnote w:id="6">
    <w:p w14:paraId="25BA86B0" w14:textId="77777777" w:rsidR="00E40B7D" w:rsidRDefault="00643AB5">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Kredit:</w:t>
      </w:r>
      <w:r>
        <w:rPr>
          <w:rFonts w:ascii="Calibri" w:eastAsia="Calibri" w:hAnsi="Calibri" w:cs="Calibri"/>
          <w:color w:val="000000"/>
          <w:sz w:val="20"/>
          <w:szCs w:val="20"/>
        </w:rPr>
        <w:t xml:space="preserve"> kötelezően és szabadon választhatóknál egyaránt 2 kredit.</w:t>
      </w:r>
    </w:p>
  </w:footnote>
  <w:footnote w:id="7">
    <w:p w14:paraId="7FCDDEC8" w14:textId="77777777" w:rsidR="00E40B7D" w:rsidRDefault="00643AB5">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Felelős szervezet neve:</w:t>
      </w:r>
      <w:r>
        <w:rPr>
          <w:rFonts w:ascii="Calibri" w:eastAsia="Calibri" w:hAnsi="Calibri" w:cs="Calibri"/>
          <w:color w:val="000000"/>
          <w:sz w:val="20"/>
          <w:szCs w:val="20"/>
        </w:rPr>
        <w:t xml:space="preserve"> konkrét tanszék, intézet, stb.</w:t>
      </w:r>
    </w:p>
  </w:footnote>
  <w:footnote w:id="8">
    <w:p w14:paraId="17E89E7D" w14:textId="77777777" w:rsidR="00E40B7D" w:rsidRDefault="00643AB5">
      <w:pPr>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b/>
          <w:sz w:val="20"/>
          <w:szCs w:val="20"/>
        </w:rPr>
        <w:t>Oktatás célja</w:t>
      </w:r>
      <w:r>
        <w:rPr>
          <w:rFonts w:ascii="Calibri" w:eastAsia="Calibri" w:hAnsi="Calibri" w:cs="Calibri"/>
          <w:sz w:val="20"/>
          <w:szCs w:val="20"/>
        </w:rPr>
        <w:t xml:space="preserve"> (kellően alapos kifejtéssel): a </w:t>
      </w:r>
      <w:r>
        <w:rPr>
          <w:rFonts w:ascii="Calibri" w:eastAsia="Calibri" w:hAnsi="Calibri" w:cs="Calibri"/>
          <w:b/>
          <w:sz w:val="20"/>
          <w:szCs w:val="20"/>
        </w:rPr>
        <w:t>képzési és kimeneti követelményhez (KKK) igazodva</w:t>
      </w:r>
      <w:r>
        <w:rPr>
          <w:rFonts w:ascii="Calibri" w:eastAsia="Calibri" w:hAnsi="Calibri" w:cs="Calibri"/>
          <w:sz w:val="20"/>
          <w:szCs w:val="20"/>
        </w:rPr>
        <w:t xml:space="preserve">, így pl. jogász osztatlan szakon a </w:t>
      </w:r>
      <w:r>
        <w:rPr>
          <w:rFonts w:ascii="Calibri" w:eastAsia="Calibri" w:hAnsi="Calibri" w:cs="Calibri"/>
          <w:i/>
          <w:sz w:val="20"/>
          <w:szCs w:val="20"/>
        </w:rPr>
        <w:t>18/2016. (VIII. 5.) EMMI rendelet</w:t>
      </w:r>
      <w:r>
        <w:rPr>
          <w:rFonts w:ascii="Calibri" w:eastAsia="Calibri" w:hAnsi="Calibri" w:cs="Calibri"/>
          <w:sz w:val="20"/>
          <w:szCs w:val="20"/>
        </w:rPr>
        <w:t xml:space="preserve"> 4. melléklet V./2. fejezet 7.1.1. pontban felsorolt tudás-, képesség-, attitűd-, autonómia- és felelősségelemek közül melyek átadásához, fejlesztéséhez járul hozzá az adott tárgy és hogyan. Itt kell megadni azt is, hogy a KKK 8.1.1. pontjában meghatározott kategóriák közül leginkább melyikbe tartozik az adott tárgy (társadalomtudományi alapismeretek, jogász szakterület-specifikus szakmai ismeretek, az alapvető szakmai ismeretekhez kapcsolódó választható ismeretkörök, stb.).</w:t>
      </w:r>
    </w:p>
  </w:footnote>
  <w:footnote w:id="9">
    <w:p w14:paraId="5214D064" w14:textId="77777777" w:rsidR="00E40B7D" w:rsidRDefault="00643AB5">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Tantárgy tartalma:</w:t>
      </w:r>
      <w:r>
        <w:rPr>
          <w:rFonts w:ascii="Calibri" w:eastAsia="Calibri" w:hAnsi="Calibri" w:cs="Calibri"/>
          <w:color w:val="000000"/>
          <w:sz w:val="20"/>
          <w:szCs w:val="20"/>
        </w:rPr>
        <w:t xml:space="preserve"> itt kell megadni mintegy 10-12 pontban a tantárgy tematikáját (tematikus elemeit). Nem dátum szerint kell megadni, hanem sorszámozva!</w:t>
      </w:r>
    </w:p>
  </w:footnote>
  <w:footnote w:id="10">
    <w:p w14:paraId="038B61E6" w14:textId="77777777" w:rsidR="00E40B7D" w:rsidRDefault="00643AB5">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Számonkérési és értékelési rendszere:</w:t>
      </w:r>
      <w:r>
        <w:rPr>
          <w:rFonts w:ascii="Calibri" w:eastAsia="Calibri" w:hAnsi="Calibri" w:cs="Calibri"/>
          <w:color w:val="000000"/>
          <w:sz w:val="20"/>
          <w:szCs w:val="20"/>
        </w:rPr>
        <w:t xml:space="preserve"> a fentebb meghatározott követelmény típuson túl itt kell részletezni, hogy miként történik a számonkérés. Írásbeli, szóbeli vagy kombinált vizsga? Milyen félévközi tanulmányi követelmény van (pl. házi dolgozat, prezentáció)? Meghatározott számú hiányzáshoz kapcsolódik-e szankció és milyen (pl. aláírás megtagadása, plusz feladat), s a minősítést mire kapja a hallgató, esetleg milyen részminősítésekből tevődik az össze? [Vö. TVSz 33. § (4) bek.].</w:t>
      </w:r>
    </w:p>
  </w:footnote>
  <w:footnote w:id="11">
    <w:p w14:paraId="153778AB" w14:textId="77777777" w:rsidR="00E40B7D" w:rsidRDefault="00643AB5">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Irodalom:</w:t>
      </w:r>
      <w:r>
        <w:rPr>
          <w:rFonts w:ascii="Calibri" w:eastAsia="Calibri" w:hAnsi="Calibri" w:cs="Calibri"/>
          <w:color w:val="000000"/>
          <w:sz w:val="20"/>
          <w:szCs w:val="20"/>
        </w:rPr>
        <w:t xml:space="preserve"> itt kell meghatározni a tananyagot, a kötelező és (opcionálisan) az ajánlott irodalmat. Érdemes utalni arra is, hogy az előadásokon elhangzottak is a kötelező tananyag részét képezik.</w:t>
      </w:r>
    </w:p>
  </w:footnote>
  <w:footnote w:id="12">
    <w:p w14:paraId="0C1CEFDF" w14:textId="77777777" w:rsidR="00E40B7D" w:rsidRDefault="00643AB5">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Level:</w:t>
      </w:r>
      <w:r>
        <w:rPr>
          <w:rFonts w:ascii="Calibri" w:eastAsia="Calibri" w:hAnsi="Calibri" w:cs="Calibri"/>
          <w:color w:val="000000"/>
          <w:sz w:val="20"/>
          <w:szCs w:val="20"/>
        </w:rPr>
        <w:t xml:space="preserve"> 1-10: the semester in which the course shall be announced according to the curriculum, or in which it is recommended for students to attend.</w:t>
      </w:r>
    </w:p>
  </w:footnote>
  <w:footnote w:id="13">
    <w:p w14:paraId="4D2AF6E2" w14:textId="77777777" w:rsidR="00E40B7D" w:rsidRDefault="00643AB5">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Prerequisites:</w:t>
      </w:r>
      <w:r>
        <w:rPr>
          <w:rFonts w:ascii="Calibri" w:eastAsia="Calibri" w:hAnsi="Calibri" w:cs="Calibri"/>
          <w:color w:val="000000"/>
          <w:sz w:val="20"/>
          <w:szCs w:val="20"/>
        </w:rPr>
        <w:t xml:space="preserve"> optional. E.g. preconditioned subject(s), subjects to be concurrently signed up; a minimum number of credits completed.</w:t>
      </w:r>
    </w:p>
  </w:footnote>
  <w:footnote w:id="14">
    <w:p w14:paraId="044E10C6" w14:textId="77777777" w:rsidR="00E40B7D" w:rsidRDefault="00643AB5">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Requirement type:</w:t>
      </w:r>
      <w:r>
        <w:rPr>
          <w:rFonts w:ascii="Calibri" w:eastAsia="Calibri" w:hAnsi="Calibri" w:cs="Calibri"/>
          <w:color w:val="000000"/>
          <w:sz w:val="20"/>
          <w:szCs w:val="20"/>
        </w:rPr>
        <w:t xml:space="preserve"> in case of elective course-units („kötvál”): „Mid-term grade (in five-grade system)”; in case of optional course units („szabvál”): „Written assignment (in three-grade system)”.</w:t>
      </w:r>
    </w:p>
  </w:footnote>
  <w:footnote w:id="15">
    <w:p w14:paraId="41E63925" w14:textId="77777777" w:rsidR="00E40B7D" w:rsidRDefault="00643AB5">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Number and type of classes:</w:t>
      </w:r>
      <w:r>
        <w:rPr>
          <w:rFonts w:ascii="Calibri" w:eastAsia="Calibri" w:hAnsi="Calibri" w:cs="Calibri"/>
          <w:color w:val="000000"/>
          <w:sz w:val="20"/>
          <w:szCs w:val="20"/>
        </w:rPr>
        <w:t xml:space="preserve"> in case of elective course-units („kötvál”) 2 hours/week for full-time students and 3 hours/semester for part-time students. In case of optional course units („szabvál”) 2 hours/week for full-time students and 2 hours/semester for part-time students.</w:t>
      </w:r>
    </w:p>
  </w:footnote>
  <w:footnote w:id="16">
    <w:p w14:paraId="382B29A4" w14:textId="77777777" w:rsidR="00E40B7D" w:rsidRDefault="00643AB5">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Type of contact hours:</w:t>
      </w:r>
      <w:r>
        <w:rPr>
          <w:rFonts w:ascii="Calibri" w:eastAsia="Calibri" w:hAnsi="Calibri" w:cs="Calibri"/>
          <w:color w:val="000000"/>
          <w:sz w:val="20"/>
          <w:szCs w:val="20"/>
        </w:rPr>
        <w:t xml:space="preserve"> in case of elective course-units („kötvál”): „Lecture”; in case of optional course units („szabvál”): „Seminar”.</w:t>
      </w:r>
    </w:p>
  </w:footnote>
  <w:footnote w:id="17">
    <w:p w14:paraId="6AE95350" w14:textId="77777777" w:rsidR="00E40B7D" w:rsidRDefault="00643AB5">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Credit:</w:t>
      </w:r>
      <w:r>
        <w:rPr>
          <w:rFonts w:ascii="Calibri" w:eastAsia="Calibri" w:hAnsi="Calibri" w:cs="Calibri"/>
          <w:color w:val="000000"/>
          <w:sz w:val="20"/>
          <w:szCs w:val="20"/>
        </w:rPr>
        <w:t xml:space="preserve"> 2 credits both in case of elective course-units („kötvál”) and optional course units („szabvál”).</w:t>
      </w:r>
    </w:p>
  </w:footnote>
  <w:footnote w:id="18">
    <w:p w14:paraId="142E22FE" w14:textId="77777777" w:rsidR="00E40B7D" w:rsidRDefault="00643AB5">
      <w:pPr>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b/>
          <w:sz w:val="20"/>
          <w:szCs w:val="20"/>
        </w:rPr>
        <w:t>Aim of the course:</w:t>
      </w:r>
      <w:r>
        <w:rPr>
          <w:rFonts w:ascii="Calibri" w:eastAsia="Calibri" w:hAnsi="Calibri" w:cs="Calibri"/>
          <w:sz w:val="20"/>
          <w:szCs w:val="20"/>
        </w:rPr>
        <w:t xml:space="preserve"> this is to be outlined in accordance with the qualification requirements. For the Law Master qualification requirements please study </w:t>
      </w:r>
      <w:r>
        <w:rPr>
          <w:rFonts w:ascii="Calibri" w:eastAsia="Calibri" w:hAnsi="Calibri" w:cs="Calibri"/>
          <w:i/>
          <w:sz w:val="20"/>
          <w:szCs w:val="20"/>
        </w:rPr>
        <w:t xml:space="preserve">Decree No. 18/2016. (VIII. 5.) EMMI, </w:t>
      </w:r>
      <w:r>
        <w:rPr>
          <w:rFonts w:ascii="Calibri" w:eastAsia="Calibri" w:hAnsi="Calibri" w:cs="Calibri"/>
          <w:sz w:val="20"/>
          <w:szCs w:val="20"/>
        </w:rPr>
        <w:t>Annex 4, Chapter V./2., 7.1.1. and 8.1.1.</w:t>
      </w:r>
    </w:p>
  </w:footnote>
  <w:footnote w:id="19">
    <w:p w14:paraId="490138B9" w14:textId="77777777" w:rsidR="00E40B7D" w:rsidRDefault="00643AB5">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Outline of the course:</w:t>
      </w:r>
      <w:r>
        <w:rPr>
          <w:rFonts w:ascii="Calibri" w:eastAsia="Calibri" w:hAnsi="Calibri" w:cs="Calibri"/>
          <w:color w:val="000000"/>
          <w:sz w:val="20"/>
          <w:szCs w:val="20"/>
        </w:rPr>
        <w:t xml:space="preserve"> please specify at least 10-12 thematic items. Please don’t assign concrete dates to the different items, but mark them with numbers!</w:t>
      </w:r>
    </w:p>
  </w:footnote>
  <w:footnote w:id="20">
    <w:p w14:paraId="4EE9F1DD" w14:textId="77777777" w:rsidR="00E40B7D" w:rsidRDefault="00643AB5">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Testing and evaluation:</w:t>
      </w:r>
      <w:r>
        <w:rPr>
          <w:rFonts w:ascii="Calibri" w:eastAsia="Calibri" w:hAnsi="Calibri" w:cs="Calibri"/>
          <w:color w:val="000000"/>
          <w:sz w:val="20"/>
          <w:szCs w:val="20"/>
        </w:rPr>
        <w:t xml:space="preserve"> please define how students will be examined and evaluated. Oral exam, written exam or combined exam? Are there any mid-semester requirements to be fulfilled? Is the absence from class sanctioned (and if yes, how)? Are there any partial qualifications?</w:t>
      </w:r>
    </w:p>
  </w:footnote>
  <w:footnote w:id="21">
    <w:p w14:paraId="7FF09142" w14:textId="77777777" w:rsidR="00E40B7D" w:rsidRDefault="00643AB5">
      <w:pPr>
        <w:pBdr>
          <w:top w:val="nil"/>
          <w:left w:val="nil"/>
          <w:bottom w:val="nil"/>
          <w:right w:val="nil"/>
          <w:between w:val="nil"/>
        </w:pBdr>
        <w:jc w:val="both"/>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Course materials:</w:t>
      </w:r>
      <w:r>
        <w:rPr>
          <w:rFonts w:ascii="Calibri" w:eastAsia="Calibri" w:hAnsi="Calibri" w:cs="Calibri"/>
          <w:color w:val="000000"/>
          <w:sz w:val="20"/>
          <w:szCs w:val="20"/>
        </w:rPr>
        <w:t xml:space="preserve"> compulsory (and recommended) course materials.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252A4"/>
    <w:multiLevelType w:val="multilevel"/>
    <w:tmpl w:val="4334A57A"/>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860F0D"/>
    <w:multiLevelType w:val="multilevel"/>
    <w:tmpl w:val="3692F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7D"/>
    <w:rsid w:val="001232C3"/>
    <w:rsid w:val="002A1223"/>
    <w:rsid w:val="00400777"/>
    <w:rsid w:val="00564719"/>
    <w:rsid w:val="00643AB5"/>
    <w:rsid w:val="00E40B7D"/>
    <w:rsid w:val="00FF3D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9614"/>
  <w15:docId w15:val="{1A533134-64D8-4995-A629-F8845DBB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uiPriority w:val="9"/>
    <w:qFormat/>
    <w:pPr>
      <w:jc w:val="both"/>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a1700001.tv" TargetMode="External"/><Relationship Id="rId13" Type="http://schemas.openxmlformats.org/officeDocument/2006/relationships/hyperlink" Target="https://hvgorac.hu/?route=product/search&amp;search=K%C5%91r%C3%B6s%20Andr%C3%A1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t.jogtar.hu/jogszabaly?docid=a1600130.tv" TargetMode="External"/><Relationship Id="rId12" Type="http://schemas.openxmlformats.org/officeDocument/2006/relationships/hyperlink" Target="https://hvgorac.hu/?route=product/search&amp;search=Kiss%20K%C3%A1roly" TargetMode="External"/><Relationship Id="rId17" Type="http://schemas.openxmlformats.org/officeDocument/2006/relationships/hyperlink" Target="https://drive.google.com/open?id=0ByCQPCs31-v0NV9LMmlPUHoyNVU&amp;authuser=0" TargetMode="External"/><Relationship Id="rId2" Type="http://schemas.openxmlformats.org/officeDocument/2006/relationships/styles" Target="styles.xml"/><Relationship Id="rId16" Type="http://schemas.openxmlformats.org/officeDocument/2006/relationships/hyperlink" Target="https://drive.google.com/open?id=0ByCQPCs31-v0NV9LMmlPUHoyNVU&amp;authuser=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vgorac.hu/?route=product/search&amp;search=Jeles%20Judit" TargetMode="External"/><Relationship Id="rId5" Type="http://schemas.openxmlformats.org/officeDocument/2006/relationships/footnotes" Target="footnotes.xml"/><Relationship Id="rId15" Type="http://schemas.openxmlformats.org/officeDocument/2006/relationships/hyperlink" Target="https://drive.google.com/open?id=0ByCQPCs31-v0NV9LMmlPUHoyNVU&amp;authuser=0" TargetMode="External"/><Relationship Id="rId10" Type="http://schemas.openxmlformats.org/officeDocument/2006/relationships/hyperlink" Target="https://hvgorac.hu/?route=product/search&amp;search=Gyeng%C3%A9n%C3%A9%20Nagy%20M%C3%A1r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vgorac.hu/?route=product/search&amp;search=%C3%89li%C3%A1s%20Eszter" TargetMode="External"/><Relationship Id="rId14" Type="http://schemas.openxmlformats.org/officeDocument/2006/relationships/hyperlink" Target="https://hvgorac.hu/?route=product/search&amp;search=Kr%C3%A9mer%20Andr%C3%A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8168</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Villám Péter</dc:creator>
  <cp:lastModifiedBy>Réti Anna</cp:lastModifiedBy>
  <cp:revision>2</cp:revision>
  <dcterms:created xsi:type="dcterms:W3CDTF">2024-07-09T10:09:00Z</dcterms:created>
  <dcterms:modified xsi:type="dcterms:W3CDTF">2024-07-09T10:09:00Z</dcterms:modified>
</cp:coreProperties>
</file>