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05EF9" w14:textId="77777777" w:rsidR="00052BCC" w:rsidRDefault="00AE5636">
      <w:pPr>
        <w:pStyle w:val="Cmsor1"/>
        <w:spacing w:before="60"/>
        <w:ind w:left="5"/>
        <w:rPr>
          <w:u w:val="none"/>
        </w:rPr>
      </w:pP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XII.</w:t>
      </w:r>
      <w:r>
        <w:rPr>
          <w:spacing w:val="-5"/>
          <w:u w:val="none"/>
        </w:rPr>
        <w:t xml:space="preserve"> </w:t>
      </w:r>
      <w:r>
        <w:rPr>
          <w:u w:val="none"/>
        </w:rPr>
        <w:t>táblás</w:t>
      </w:r>
      <w:r>
        <w:rPr>
          <w:spacing w:val="-4"/>
          <w:u w:val="none"/>
        </w:rPr>
        <w:t xml:space="preserve"> </w:t>
      </w:r>
      <w:r>
        <w:rPr>
          <w:u w:val="none"/>
        </w:rPr>
        <w:t>törvénytől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Werbőczyig</w:t>
      </w:r>
    </w:p>
    <w:p w14:paraId="1AF84B5A" w14:textId="17E9CA29" w:rsidR="00052BCC" w:rsidRDefault="00AE5636">
      <w:pPr>
        <w:spacing w:before="250"/>
        <w:ind w:left="1" w:right="6"/>
        <w:jc w:val="center"/>
        <w:rPr>
          <w:b/>
          <w:i/>
          <w:sz w:val="28"/>
        </w:rPr>
      </w:pPr>
      <w:r>
        <w:rPr>
          <w:b/>
          <w:i/>
          <w:sz w:val="28"/>
        </w:rPr>
        <w:t>202</w:t>
      </w:r>
      <w:r w:rsidR="002F708D">
        <w:rPr>
          <w:b/>
          <w:i/>
          <w:sz w:val="28"/>
        </w:rPr>
        <w:t>5</w:t>
      </w:r>
      <w:r>
        <w:rPr>
          <w:b/>
          <w:i/>
          <w:sz w:val="28"/>
        </w:rPr>
        <w:t>/202</w:t>
      </w:r>
      <w:r w:rsidR="002F708D">
        <w:rPr>
          <w:b/>
          <w:i/>
          <w:sz w:val="28"/>
        </w:rPr>
        <w:t>6</w:t>
      </w:r>
      <w:r>
        <w:rPr>
          <w:b/>
          <w:i/>
          <w:sz w:val="28"/>
        </w:rPr>
        <w:t>.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I.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Speciálkollégium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nappali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tagozat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számára</w:t>
      </w:r>
    </w:p>
    <w:p w14:paraId="426F8DD1" w14:textId="77777777" w:rsidR="00052BCC" w:rsidRDefault="00AE5636">
      <w:pPr>
        <w:spacing w:before="246"/>
        <w:ind w:left="116" w:right="114"/>
        <w:jc w:val="both"/>
        <w:rPr>
          <w:sz w:val="28"/>
        </w:rPr>
      </w:pPr>
      <w:r>
        <w:rPr>
          <w:sz w:val="28"/>
        </w:rPr>
        <w:t xml:space="preserve">A római jogi forrásolvasási gyakorlatok az összefüggő szövegelemzések, szemelvények segítségével </w:t>
      </w:r>
      <w:r>
        <w:rPr>
          <w:i/>
          <w:sz w:val="28"/>
        </w:rPr>
        <w:t>az első féléves római jogi kollokviumra való alaposabb szakmai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felkészülést biztosítják, a római jogi terminológia megértését és használatát fejlesztik</w:t>
      </w:r>
      <w:r>
        <w:rPr>
          <w:sz w:val="28"/>
        </w:rPr>
        <w:t>. A kurzus második felében néhány alapvető középkori latin</w:t>
      </w:r>
      <w:r>
        <w:rPr>
          <w:spacing w:val="-16"/>
          <w:sz w:val="28"/>
        </w:rPr>
        <w:t xml:space="preserve"> </w:t>
      </w:r>
      <w:r>
        <w:rPr>
          <w:sz w:val="28"/>
        </w:rPr>
        <w:t>nyelvű</w:t>
      </w:r>
      <w:r>
        <w:rPr>
          <w:spacing w:val="-15"/>
          <w:sz w:val="28"/>
        </w:rPr>
        <w:t xml:space="preserve"> </w:t>
      </w:r>
      <w:r>
        <w:rPr>
          <w:sz w:val="28"/>
        </w:rPr>
        <w:t>forrásszemelvénnyel</w:t>
      </w:r>
      <w:r>
        <w:rPr>
          <w:spacing w:val="-15"/>
          <w:sz w:val="28"/>
        </w:rPr>
        <w:t xml:space="preserve"> </w:t>
      </w:r>
      <w:r>
        <w:rPr>
          <w:sz w:val="28"/>
        </w:rPr>
        <w:t>ismerkednek</w:t>
      </w:r>
      <w:r>
        <w:rPr>
          <w:spacing w:val="-15"/>
          <w:sz w:val="28"/>
        </w:rPr>
        <w:t xml:space="preserve"> </w:t>
      </w:r>
      <w:r>
        <w:rPr>
          <w:sz w:val="28"/>
        </w:rPr>
        <w:t>meg</w:t>
      </w:r>
      <w:r>
        <w:rPr>
          <w:spacing w:val="-15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hallgatók.</w:t>
      </w:r>
      <w:r>
        <w:rPr>
          <w:spacing w:val="-18"/>
          <w:sz w:val="28"/>
        </w:rPr>
        <w:t xml:space="preserve"> </w:t>
      </w:r>
      <w:r>
        <w:rPr>
          <w:sz w:val="28"/>
        </w:rPr>
        <w:t>A</w:t>
      </w:r>
      <w:r>
        <w:rPr>
          <w:spacing w:val="-14"/>
          <w:sz w:val="28"/>
        </w:rPr>
        <w:t xml:space="preserve"> </w:t>
      </w:r>
      <w:r>
        <w:rPr>
          <w:sz w:val="28"/>
        </w:rPr>
        <w:t>félév</w:t>
      </w:r>
      <w:r>
        <w:rPr>
          <w:spacing w:val="-15"/>
          <w:sz w:val="28"/>
        </w:rPr>
        <w:t xml:space="preserve"> </w:t>
      </w:r>
      <w:r>
        <w:rPr>
          <w:sz w:val="28"/>
        </w:rPr>
        <w:t>folyamán egy alkalommal lehetőség</w:t>
      </w:r>
      <w:r>
        <w:rPr>
          <w:spacing w:val="-3"/>
          <w:sz w:val="28"/>
        </w:rPr>
        <w:t xml:space="preserve"> </w:t>
      </w:r>
      <w:r>
        <w:rPr>
          <w:sz w:val="28"/>
        </w:rPr>
        <w:t>szerint a</w:t>
      </w:r>
      <w:r>
        <w:rPr>
          <w:spacing w:val="-1"/>
          <w:sz w:val="28"/>
        </w:rPr>
        <w:t xml:space="preserve"> </w:t>
      </w:r>
      <w:r>
        <w:rPr>
          <w:sz w:val="28"/>
        </w:rPr>
        <w:t>Magyar Országos Levéltárba is ellátogatunk.</w:t>
      </w:r>
    </w:p>
    <w:p w14:paraId="4CA067C3" w14:textId="34FD07BE" w:rsidR="00052BCC" w:rsidRDefault="00AE5636">
      <w:pPr>
        <w:pStyle w:val="Szvegtrzs"/>
        <w:spacing w:before="200"/>
        <w:ind w:left="116" w:right="113" w:firstLine="0"/>
      </w:pPr>
      <w:r>
        <w:t xml:space="preserve">A kurzus teljesítése </w:t>
      </w:r>
      <w:r w:rsidRPr="002F708D">
        <w:rPr>
          <w:i/>
          <w:iCs/>
        </w:rPr>
        <w:t xml:space="preserve">írásbeli </w:t>
      </w:r>
      <w:r w:rsidR="002F708D" w:rsidRPr="002F708D">
        <w:rPr>
          <w:i/>
          <w:iCs/>
        </w:rPr>
        <w:t xml:space="preserve">beszámoló </w:t>
      </w:r>
      <w:r w:rsidRPr="002F708D">
        <w:rPr>
          <w:i/>
          <w:iCs/>
        </w:rPr>
        <w:t xml:space="preserve">vagy szóbeli </w:t>
      </w:r>
      <w:r w:rsidR="002F708D" w:rsidRPr="002F708D">
        <w:rPr>
          <w:i/>
          <w:iCs/>
        </w:rPr>
        <w:t>órai referátum</w:t>
      </w:r>
      <w:r>
        <w:t xml:space="preserve"> formájában történik a félév </w:t>
      </w:r>
      <w:r w:rsidR="002F708D">
        <w:t>során</w:t>
      </w:r>
      <w:r>
        <w:t>, az órák során közösen megbeszélt ill. feldolgozott anyagrészekből.</w:t>
      </w:r>
    </w:p>
    <w:p w14:paraId="40B97FB4" w14:textId="42C21DCD" w:rsidR="00052BCC" w:rsidRDefault="00AE5636">
      <w:pPr>
        <w:spacing w:before="201"/>
        <w:ind w:left="116" w:right="112"/>
        <w:jc w:val="both"/>
        <w:rPr>
          <w:sz w:val="28"/>
        </w:rPr>
      </w:pPr>
      <w:r>
        <w:rPr>
          <w:b/>
          <w:sz w:val="28"/>
          <w:u w:val="single"/>
        </w:rPr>
        <w:t>A speciálkollégium órák időpontja, helyszí</w:t>
      </w:r>
      <w:r>
        <w:rPr>
          <w:b/>
          <w:sz w:val="28"/>
          <w:u w:val="single"/>
        </w:rPr>
        <w:t>ne</w:t>
      </w:r>
      <w:r>
        <w:rPr>
          <w:sz w:val="28"/>
        </w:rPr>
        <w:t>: szerdánként 1</w:t>
      </w:r>
      <w:r w:rsidR="002F708D">
        <w:rPr>
          <w:sz w:val="28"/>
        </w:rPr>
        <w:t>2</w:t>
      </w:r>
      <w:r>
        <w:rPr>
          <w:sz w:val="28"/>
        </w:rPr>
        <w:t>-1</w:t>
      </w:r>
      <w:r w:rsidR="002F708D">
        <w:rPr>
          <w:sz w:val="28"/>
        </w:rPr>
        <w:t>3</w:t>
      </w:r>
      <w:r>
        <w:rPr>
          <w:sz w:val="28"/>
        </w:rPr>
        <w:t>.30</w:t>
      </w:r>
      <w:r>
        <w:rPr>
          <w:spacing w:val="40"/>
          <w:sz w:val="28"/>
        </w:rPr>
        <w:t xml:space="preserve"> </w:t>
      </w:r>
      <w:r>
        <w:rPr>
          <w:sz w:val="28"/>
        </w:rPr>
        <w:t>(Gy</w:t>
      </w:r>
      <w:bookmarkStart w:id="0" w:name="_GoBack"/>
      <w:bookmarkEnd w:id="0"/>
      <w:r w:rsidR="00117B6C">
        <w:rPr>
          <w:sz w:val="28"/>
        </w:rPr>
        <w:t xml:space="preserve"> </w:t>
      </w:r>
      <w:r w:rsidR="002F708D">
        <w:rPr>
          <w:sz w:val="28"/>
        </w:rPr>
        <w:t>314</w:t>
      </w:r>
      <w:r w:rsidR="00117B6C">
        <w:rPr>
          <w:sz w:val="28"/>
        </w:rPr>
        <w:t>.)</w:t>
      </w:r>
    </w:p>
    <w:p w14:paraId="2764EA65" w14:textId="77777777" w:rsidR="00052BCC" w:rsidRDefault="00052BCC">
      <w:pPr>
        <w:pStyle w:val="Szvegtrzs"/>
        <w:ind w:left="0" w:firstLine="0"/>
        <w:jc w:val="left"/>
      </w:pPr>
    </w:p>
    <w:p w14:paraId="6580DB89" w14:textId="77777777" w:rsidR="00052BCC" w:rsidRDefault="00052BCC">
      <w:pPr>
        <w:pStyle w:val="Szvegtrzs"/>
        <w:spacing w:before="78"/>
        <w:ind w:left="0" w:firstLine="0"/>
        <w:jc w:val="left"/>
      </w:pPr>
    </w:p>
    <w:p w14:paraId="1B73157A" w14:textId="77777777" w:rsidR="00052BCC" w:rsidRDefault="00AE5636">
      <w:pPr>
        <w:pStyle w:val="Cmsor1"/>
        <w:ind w:left="6"/>
        <w:rPr>
          <w:u w:val="none"/>
        </w:rPr>
      </w:pPr>
      <w:r>
        <w:rPr>
          <w:spacing w:val="-2"/>
          <w:u w:val="none"/>
        </w:rPr>
        <w:t>Tematika</w:t>
      </w:r>
    </w:p>
    <w:p w14:paraId="290BA2B8" w14:textId="77777777" w:rsidR="00052BCC" w:rsidRDefault="00052BCC">
      <w:pPr>
        <w:pStyle w:val="Szvegtrzs"/>
        <w:spacing w:before="198"/>
        <w:ind w:left="0" w:firstLine="0"/>
        <w:jc w:val="left"/>
        <w:rPr>
          <w:b/>
        </w:rPr>
      </w:pPr>
    </w:p>
    <w:p w14:paraId="3E6E2591" w14:textId="77777777" w:rsidR="00052BCC" w:rsidRDefault="00AE5636">
      <w:pPr>
        <w:ind w:left="116"/>
        <w:jc w:val="both"/>
        <w:rPr>
          <w:b/>
          <w:sz w:val="28"/>
        </w:rPr>
      </w:pPr>
      <w:r>
        <w:rPr>
          <w:b/>
          <w:sz w:val="28"/>
          <w:u w:val="single"/>
        </w:rPr>
        <w:t>A/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Szemelvények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római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állam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és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jog</w:t>
      </w:r>
      <w:r>
        <w:rPr>
          <w:b/>
          <w:spacing w:val="-2"/>
          <w:sz w:val="28"/>
          <w:u w:val="single"/>
        </w:rPr>
        <w:t xml:space="preserve"> fejlődéstörténetéhez:</w:t>
      </w:r>
    </w:p>
    <w:p w14:paraId="22A3F269" w14:textId="77777777" w:rsidR="00052BCC" w:rsidRDefault="00052BCC">
      <w:pPr>
        <w:pStyle w:val="Szvegtrzs"/>
        <w:spacing w:before="1"/>
        <w:ind w:left="0" w:firstLine="0"/>
        <w:jc w:val="left"/>
        <w:rPr>
          <w:b/>
        </w:rPr>
      </w:pPr>
    </w:p>
    <w:p w14:paraId="06976B9B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20"/>
        <w:rPr>
          <w:sz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122F453" wp14:editId="4504043F">
                <wp:simplePos x="0" y="0"/>
                <wp:positionH relativeFrom="page">
                  <wp:posOffset>4005960</wp:posOffset>
                </wp:positionH>
                <wp:positionV relativeFrom="paragraph">
                  <wp:posOffset>403283</wp:posOffset>
                </wp:positionV>
                <wp:extent cx="4318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2" y="9144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D051A3" id="Graphic 1" o:spid="_x0000_s1026" style="position:absolute;margin-left:315.45pt;margin-top:31.75pt;width:3.4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" path="m42672,l,,,9144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Bevezetés. A történeti és jogi, valamint régészeti források jelentősége a római jog oktatásában és kutatásában.</w:t>
      </w:r>
    </w:p>
    <w:p w14:paraId="7A07DB64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13"/>
        <w:rPr>
          <w:sz w:val="28"/>
        </w:rPr>
      </w:pPr>
      <w:r>
        <w:rPr>
          <w:sz w:val="28"/>
        </w:rPr>
        <w:t xml:space="preserve">Róma keletkezéstörténete a források tükrében. Életviszonyok és normarendszerek Rómában. Előzmények: a </w:t>
      </w:r>
      <w:proofErr w:type="spellStart"/>
      <w:r>
        <w:rPr>
          <w:i/>
          <w:sz w:val="28"/>
        </w:rPr>
        <w:t>ius</w:t>
      </w:r>
      <w:proofErr w:type="spellEnd"/>
      <w:r>
        <w:rPr>
          <w:sz w:val="28"/>
        </w:rPr>
        <w:t xml:space="preserve">, </w:t>
      </w:r>
      <w:proofErr w:type="spellStart"/>
      <w:r>
        <w:rPr>
          <w:i/>
          <w:sz w:val="28"/>
        </w:rPr>
        <w:t>fas</w:t>
      </w:r>
      <w:proofErr w:type="spellEnd"/>
      <w:r>
        <w:rPr>
          <w:sz w:val="28"/>
        </w:rPr>
        <w:t xml:space="preserve">, </w:t>
      </w:r>
      <w:r>
        <w:rPr>
          <w:i/>
          <w:sz w:val="28"/>
        </w:rPr>
        <w:t xml:space="preserve">mos </w:t>
      </w:r>
      <w:r>
        <w:rPr>
          <w:sz w:val="28"/>
        </w:rPr>
        <w:t xml:space="preserve">jelentéstartalmának összefüggése és egymásrautaltsága a római jog </w:t>
      </w:r>
      <w:r>
        <w:rPr>
          <w:spacing w:val="-2"/>
          <w:sz w:val="28"/>
        </w:rPr>
        <w:t>rendszerében.</w:t>
      </w:r>
    </w:p>
    <w:p w14:paraId="1A78937A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5"/>
        </w:tabs>
        <w:spacing w:line="341" w:lineRule="exact"/>
        <w:ind w:left="835" w:hanging="359"/>
        <w:rPr>
          <w:sz w:val="28"/>
        </w:rPr>
      </w:pP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XII.</w:t>
      </w:r>
      <w:r>
        <w:rPr>
          <w:spacing w:val="-6"/>
          <w:sz w:val="28"/>
        </w:rPr>
        <w:t xml:space="preserve"> </w:t>
      </w:r>
      <w:r>
        <w:rPr>
          <w:sz w:val="28"/>
        </w:rPr>
        <w:t>táblás</w:t>
      </w:r>
      <w:r>
        <w:rPr>
          <w:spacing w:val="-6"/>
          <w:sz w:val="28"/>
        </w:rPr>
        <w:t xml:space="preserve"> </w:t>
      </w:r>
      <w:r>
        <w:rPr>
          <w:sz w:val="28"/>
        </w:rPr>
        <w:t>törvény</w:t>
      </w:r>
      <w:r>
        <w:rPr>
          <w:spacing w:val="-4"/>
          <w:sz w:val="28"/>
        </w:rPr>
        <w:t xml:space="preserve"> </w:t>
      </w:r>
      <w:r>
        <w:rPr>
          <w:sz w:val="28"/>
        </w:rPr>
        <w:t>keletkezése</w:t>
      </w:r>
      <w:r>
        <w:rPr>
          <w:spacing w:val="-2"/>
          <w:sz w:val="28"/>
        </w:rPr>
        <w:t xml:space="preserve"> </w:t>
      </w:r>
      <w:r>
        <w:rPr>
          <w:sz w:val="28"/>
        </w:rPr>
        <w:t>és</w:t>
      </w:r>
      <w:r>
        <w:rPr>
          <w:spacing w:val="-5"/>
          <w:sz w:val="28"/>
        </w:rPr>
        <w:t xml:space="preserve"> </w:t>
      </w:r>
      <w:r>
        <w:rPr>
          <w:sz w:val="28"/>
        </w:rPr>
        <w:t>sajátosságai.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Forrásele</w:t>
      </w:r>
      <w:r>
        <w:rPr>
          <w:spacing w:val="-2"/>
          <w:sz w:val="28"/>
        </w:rPr>
        <w:t>mzés.</w:t>
      </w:r>
    </w:p>
    <w:p w14:paraId="1EBE6472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11"/>
        <w:rPr>
          <w:sz w:val="28"/>
        </w:rPr>
      </w:pPr>
      <w:r>
        <w:rPr>
          <w:sz w:val="28"/>
        </w:rPr>
        <w:t xml:space="preserve">A római jog belső felosztása. A jogérvényesítés jelentősége és fejlődése Rómában. A római peres eljárás szervezete és menete. A perrendtartás ősi szabályai, és a személyi végrehajtás menete (XII. táblás törvény I.-II.-III. tábla). A </w:t>
      </w:r>
      <w:proofErr w:type="spellStart"/>
      <w:r>
        <w:rPr>
          <w:i/>
          <w:sz w:val="28"/>
        </w:rPr>
        <w:t>legis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actiós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eljá</w:t>
      </w:r>
      <w:r>
        <w:rPr>
          <w:sz w:val="28"/>
        </w:rPr>
        <w:t xml:space="preserve">rások menetének leírása </w:t>
      </w:r>
      <w:proofErr w:type="spellStart"/>
      <w:r>
        <w:rPr>
          <w:sz w:val="28"/>
        </w:rPr>
        <w:t>Gaius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Institutiói</w:t>
      </w:r>
      <w:r>
        <w:rPr>
          <w:sz w:val="28"/>
        </w:rPr>
        <w:t>ban</w:t>
      </w:r>
      <w:proofErr w:type="spellEnd"/>
      <w:r>
        <w:rPr>
          <w:sz w:val="28"/>
        </w:rPr>
        <w:t>. (</w:t>
      </w:r>
      <w:proofErr w:type="spellStart"/>
      <w:r>
        <w:rPr>
          <w:i/>
          <w:sz w:val="28"/>
        </w:rPr>
        <w:t>Gaius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sz w:val="28"/>
        </w:rPr>
        <w:t>Inst</w:t>
      </w:r>
      <w:proofErr w:type="spellEnd"/>
      <w:r>
        <w:rPr>
          <w:sz w:val="28"/>
        </w:rPr>
        <w:t xml:space="preserve">. IV.1-3.). Szövegértelmezés és per-rekonstrukció. A perjog </w:t>
      </w:r>
      <w:r>
        <w:rPr>
          <w:spacing w:val="-2"/>
          <w:sz w:val="28"/>
        </w:rPr>
        <w:t>fejlődése.</w:t>
      </w:r>
    </w:p>
    <w:p w14:paraId="09203AF1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5"/>
        </w:tabs>
        <w:spacing w:line="342" w:lineRule="exact"/>
        <w:ind w:left="835" w:hanging="359"/>
        <w:rPr>
          <w:sz w:val="28"/>
        </w:rPr>
      </w:pPr>
      <w:r>
        <w:rPr>
          <w:sz w:val="28"/>
        </w:rPr>
        <w:t>Személyi</w:t>
      </w:r>
      <w:r>
        <w:rPr>
          <w:spacing w:val="5"/>
          <w:sz w:val="28"/>
        </w:rPr>
        <w:t xml:space="preserve"> </w:t>
      </w:r>
      <w:r>
        <w:rPr>
          <w:sz w:val="28"/>
        </w:rPr>
        <w:t>és</w:t>
      </w:r>
      <w:r>
        <w:rPr>
          <w:spacing w:val="6"/>
          <w:sz w:val="28"/>
        </w:rPr>
        <w:t xml:space="preserve"> </w:t>
      </w:r>
      <w:r>
        <w:rPr>
          <w:sz w:val="28"/>
        </w:rPr>
        <w:t>családjogi</w:t>
      </w:r>
      <w:r>
        <w:rPr>
          <w:spacing w:val="3"/>
          <w:sz w:val="28"/>
        </w:rPr>
        <w:t xml:space="preserve"> </w:t>
      </w:r>
      <w:r>
        <w:rPr>
          <w:sz w:val="28"/>
        </w:rPr>
        <w:t>szabályok:</w:t>
      </w:r>
      <w:r>
        <w:rPr>
          <w:spacing w:val="3"/>
          <w:sz w:val="28"/>
        </w:rPr>
        <w:t xml:space="preserve"> </w:t>
      </w:r>
      <w:r>
        <w:rPr>
          <w:sz w:val="28"/>
        </w:rPr>
        <w:t>A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patria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potestas</w:t>
      </w:r>
      <w:proofErr w:type="spellEnd"/>
      <w:r>
        <w:rPr>
          <w:i/>
          <w:spacing w:val="6"/>
          <w:sz w:val="28"/>
        </w:rPr>
        <w:t xml:space="preserve"> </w:t>
      </w:r>
      <w:r>
        <w:rPr>
          <w:sz w:val="28"/>
        </w:rPr>
        <w:t>tartalma</w:t>
      </w:r>
      <w:r>
        <w:rPr>
          <w:spacing w:val="4"/>
          <w:sz w:val="28"/>
        </w:rPr>
        <w:t xml:space="preserve"> </w:t>
      </w:r>
      <w:r>
        <w:rPr>
          <w:sz w:val="28"/>
        </w:rPr>
        <w:t>és</w:t>
      </w:r>
      <w:r>
        <w:rPr>
          <w:spacing w:val="4"/>
          <w:sz w:val="28"/>
        </w:rPr>
        <w:t xml:space="preserve"> </w:t>
      </w:r>
      <w:r>
        <w:rPr>
          <w:sz w:val="28"/>
        </w:rPr>
        <w:t>korlátai</w:t>
      </w:r>
      <w:r>
        <w:rPr>
          <w:spacing w:val="6"/>
          <w:sz w:val="28"/>
        </w:rPr>
        <w:t xml:space="preserve"> </w:t>
      </w:r>
      <w:r>
        <w:rPr>
          <w:spacing w:val="-10"/>
          <w:sz w:val="28"/>
        </w:rPr>
        <w:t>a</w:t>
      </w:r>
    </w:p>
    <w:p w14:paraId="3481D4A4" w14:textId="77777777" w:rsidR="00052BCC" w:rsidRDefault="00AE5636">
      <w:pPr>
        <w:pStyle w:val="Szvegtrzs"/>
        <w:ind w:right="120" w:firstLine="0"/>
      </w:pPr>
      <w:r>
        <w:t>XII.</w:t>
      </w:r>
      <w:r>
        <w:rPr>
          <w:spacing w:val="-11"/>
        </w:rPr>
        <w:t xml:space="preserve"> </w:t>
      </w:r>
      <w:r>
        <w:t>táblás</w:t>
      </w:r>
      <w:r>
        <w:rPr>
          <w:spacing w:val="-10"/>
        </w:rPr>
        <w:t xml:space="preserve"> </w:t>
      </w:r>
      <w:r>
        <w:t>törvényekben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későbbi</w:t>
      </w:r>
      <w:r>
        <w:rPr>
          <w:spacing w:val="-10"/>
        </w:rPr>
        <w:t xml:space="preserve"> </w:t>
      </w:r>
      <w:r>
        <w:t>római</w:t>
      </w:r>
      <w:r>
        <w:rPr>
          <w:spacing w:val="-10"/>
        </w:rPr>
        <w:t xml:space="preserve"> </w:t>
      </w:r>
      <w:r>
        <w:t>jogi</w:t>
      </w:r>
      <w:r>
        <w:rPr>
          <w:spacing w:val="-10"/>
        </w:rPr>
        <w:t xml:space="preserve"> </w:t>
      </w:r>
      <w:r>
        <w:t>jogfejlődés</w:t>
      </w:r>
      <w:r>
        <w:rPr>
          <w:spacing w:val="-10"/>
        </w:rPr>
        <w:t xml:space="preserve"> </w:t>
      </w:r>
      <w:r>
        <w:t>folyamán</w:t>
      </w:r>
      <w:r>
        <w:rPr>
          <w:spacing w:val="-10"/>
        </w:rPr>
        <w:t xml:space="preserve"> </w:t>
      </w:r>
      <w:r>
        <w:t xml:space="preserve">(IV. tábla, ill. </w:t>
      </w:r>
      <w:proofErr w:type="spellStart"/>
      <w:r>
        <w:rPr>
          <w:i/>
        </w:rPr>
        <w:t>Gaius</w:t>
      </w:r>
      <w:proofErr w:type="spellEnd"/>
      <w:r>
        <w:t xml:space="preserve">: </w:t>
      </w:r>
      <w:proofErr w:type="spellStart"/>
      <w:r>
        <w:t>Inst</w:t>
      </w:r>
      <w:proofErr w:type="spellEnd"/>
      <w:r>
        <w:t>. I. 48-55.).</w:t>
      </w:r>
    </w:p>
    <w:p w14:paraId="73C76E0B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spacing w:before="1"/>
        <w:ind w:right="120"/>
        <w:rPr>
          <w:sz w:val="28"/>
        </w:rPr>
      </w:pP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házasság,</w:t>
      </w:r>
      <w:r>
        <w:rPr>
          <w:spacing w:val="-8"/>
          <w:sz w:val="28"/>
        </w:rPr>
        <w:t xml:space="preserve"> </w:t>
      </w:r>
      <w:r>
        <w:rPr>
          <w:sz w:val="28"/>
        </w:rPr>
        <w:t>mint</w:t>
      </w:r>
      <w:r>
        <w:rPr>
          <w:spacing w:val="-6"/>
          <w:sz w:val="28"/>
        </w:rPr>
        <w:t xml:space="preserve"> </w:t>
      </w:r>
      <w:r>
        <w:rPr>
          <w:sz w:val="28"/>
        </w:rPr>
        <w:t>természetjogi</w:t>
      </w:r>
      <w:r>
        <w:rPr>
          <w:spacing w:val="-6"/>
          <w:sz w:val="28"/>
        </w:rPr>
        <w:t xml:space="preserve"> </w:t>
      </w:r>
      <w:r>
        <w:rPr>
          <w:sz w:val="28"/>
        </w:rPr>
        <w:t>intézmény</w:t>
      </w:r>
      <w:r>
        <w:rPr>
          <w:spacing w:val="-9"/>
          <w:sz w:val="28"/>
        </w:rPr>
        <w:t xml:space="preserve"> </w:t>
      </w:r>
      <w:r>
        <w:rPr>
          <w:sz w:val="28"/>
        </w:rPr>
        <w:t>és</w:t>
      </w:r>
      <w:r>
        <w:rPr>
          <w:spacing w:val="-6"/>
          <w:sz w:val="28"/>
        </w:rPr>
        <w:t xml:space="preserve"> </w:t>
      </w:r>
      <w:r>
        <w:rPr>
          <w:sz w:val="28"/>
        </w:rPr>
        <w:t>alapvető</w:t>
      </w:r>
      <w:r>
        <w:rPr>
          <w:spacing w:val="-7"/>
          <w:sz w:val="28"/>
        </w:rPr>
        <w:t xml:space="preserve"> </w:t>
      </w:r>
      <w:r>
        <w:rPr>
          <w:sz w:val="28"/>
        </w:rPr>
        <w:t>közösség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Rómában. A házassági jog szokásrendszere és alapvető intézményei a források </w:t>
      </w:r>
      <w:r>
        <w:rPr>
          <w:spacing w:val="-2"/>
          <w:sz w:val="28"/>
        </w:rPr>
        <w:t>alapján.</w:t>
      </w:r>
    </w:p>
    <w:p w14:paraId="44D58D5D" w14:textId="77777777" w:rsidR="00052BCC" w:rsidRDefault="00052BCC">
      <w:pPr>
        <w:jc w:val="both"/>
        <w:rPr>
          <w:sz w:val="28"/>
        </w:rPr>
        <w:sectPr w:rsidR="00052BCC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4F9CFBE1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spacing w:before="79"/>
        <w:ind w:right="113"/>
        <w:rPr>
          <w:sz w:val="28"/>
        </w:rPr>
      </w:pPr>
      <w:r>
        <w:rPr>
          <w:sz w:val="28"/>
        </w:rPr>
        <w:lastRenderedPageBreak/>
        <w:t xml:space="preserve">Az öröklés és gyámság, ill. a </w:t>
      </w:r>
      <w:r>
        <w:rPr>
          <w:sz w:val="28"/>
        </w:rPr>
        <w:t xml:space="preserve">gondnokság összefonódó szabályai a XII. táblás törvényekben, jelentőségük. Vélelmek és fikciók a XII. táblás törvényben, valamint a </w:t>
      </w:r>
      <w:proofErr w:type="spellStart"/>
      <w:r>
        <w:rPr>
          <w:sz w:val="28"/>
        </w:rPr>
        <w:t>praetori</w:t>
      </w:r>
      <w:proofErr w:type="spellEnd"/>
      <w:r>
        <w:rPr>
          <w:sz w:val="28"/>
        </w:rPr>
        <w:t xml:space="preserve"> jogfejlődés folyamán. (IV.- V. tábla)</w:t>
      </w:r>
    </w:p>
    <w:p w14:paraId="5477D16F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22"/>
        <w:rPr>
          <w:sz w:val="28"/>
        </w:rPr>
      </w:pPr>
      <w:r>
        <w:rPr>
          <w:sz w:val="28"/>
        </w:rPr>
        <w:t>A XII. táblás törvény dologi joga: birtokjogi és tulajdonjogi szabályok. Szol</w:t>
      </w:r>
      <w:r>
        <w:rPr>
          <w:sz w:val="28"/>
        </w:rPr>
        <w:t>galmak</w:t>
      </w:r>
      <w:r>
        <w:rPr>
          <w:spacing w:val="-2"/>
          <w:sz w:val="28"/>
        </w:rPr>
        <w:t xml:space="preserve"> </w:t>
      </w:r>
      <w:r>
        <w:rPr>
          <w:sz w:val="28"/>
        </w:rPr>
        <w:t>és</w:t>
      </w:r>
      <w:r>
        <w:rPr>
          <w:spacing w:val="-2"/>
          <w:sz w:val="28"/>
        </w:rPr>
        <w:t xml:space="preserve"> </w:t>
      </w:r>
      <w:r>
        <w:rPr>
          <w:sz w:val="28"/>
        </w:rPr>
        <w:t>szomszédjogok</w:t>
      </w:r>
      <w:r>
        <w:rPr>
          <w:spacing w:val="-2"/>
          <w:sz w:val="28"/>
        </w:rPr>
        <w:t xml:space="preserve"> </w:t>
      </w:r>
      <w:r>
        <w:rPr>
          <w:sz w:val="28"/>
        </w:rPr>
        <w:t>szabályozása.</w:t>
      </w:r>
      <w:r>
        <w:rPr>
          <w:spacing w:val="-3"/>
          <w:sz w:val="28"/>
        </w:rPr>
        <w:t xml:space="preserve"> </w:t>
      </w:r>
      <w:r>
        <w:rPr>
          <w:sz w:val="28"/>
        </w:rPr>
        <w:t>Elhatárolási</w:t>
      </w:r>
      <w:r>
        <w:rPr>
          <w:spacing w:val="-2"/>
          <w:sz w:val="28"/>
        </w:rPr>
        <w:t xml:space="preserve"> </w:t>
      </w:r>
      <w:r>
        <w:rPr>
          <w:sz w:val="28"/>
        </w:rPr>
        <w:t>kérdések</w:t>
      </w:r>
      <w:r>
        <w:rPr>
          <w:spacing w:val="-2"/>
          <w:sz w:val="28"/>
        </w:rPr>
        <w:t xml:space="preserve"> </w:t>
      </w:r>
      <w:r>
        <w:rPr>
          <w:sz w:val="28"/>
        </w:rPr>
        <w:t>(VI.</w:t>
      </w:r>
      <w:r>
        <w:rPr>
          <w:spacing w:val="-3"/>
          <w:sz w:val="28"/>
        </w:rPr>
        <w:t xml:space="preserve"> </w:t>
      </w:r>
      <w:r>
        <w:rPr>
          <w:sz w:val="28"/>
        </w:rPr>
        <w:t>és VII. tábla)</w:t>
      </w:r>
    </w:p>
    <w:p w14:paraId="13AA8258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11"/>
        <w:rPr>
          <w:sz w:val="28"/>
        </w:rPr>
      </w:pPr>
      <w:r>
        <w:rPr>
          <w:sz w:val="28"/>
        </w:rPr>
        <w:t>Büntetőjogi szabályok és alapelvek a XII. táblás törvényben. (VIII.-IX. tábla) Városrendészeti és temetkezési előírások Rómában. (X. tábla)</w:t>
      </w:r>
    </w:p>
    <w:p w14:paraId="0F57167B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25"/>
        <w:rPr>
          <w:sz w:val="28"/>
        </w:rPr>
      </w:pPr>
      <w:r>
        <w:rPr>
          <w:sz w:val="28"/>
        </w:rPr>
        <w:t>A hatalomalattiak károkozása és a ká</w:t>
      </w:r>
      <w:r>
        <w:rPr>
          <w:sz w:val="28"/>
        </w:rPr>
        <w:t xml:space="preserve">rtérítési jog ősi római jogi szabályai. </w:t>
      </w:r>
      <w:r>
        <w:rPr>
          <w:spacing w:val="-2"/>
          <w:sz w:val="28"/>
        </w:rPr>
        <w:t>(XI-XII.)</w:t>
      </w:r>
    </w:p>
    <w:p w14:paraId="1B061C1E" w14:textId="77777777" w:rsidR="00052BCC" w:rsidRDefault="00AE5636">
      <w:pPr>
        <w:pStyle w:val="Cmsor1"/>
        <w:tabs>
          <w:tab w:val="left" w:pos="596"/>
          <w:tab w:val="left" w:pos="1961"/>
          <w:tab w:val="left" w:pos="2317"/>
          <w:tab w:val="left" w:pos="3727"/>
          <w:tab w:val="left" w:pos="4856"/>
          <w:tab w:val="left" w:pos="6098"/>
          <w:tab w:val="left" w:pos="6544"/>
          <w:tab w:val="left" w:pos="8159"/>
        </w:tabs>
        <w:spacing w:before="320"/>
        <w:ind w:right="118"/>
        <w:jc w:val="left"/>
        <w:rPr>
          <w:b w:val="0"/>
          <w:u w:val="none"/>
        </w:rPr>
      </w:pPr>
      <w:r>
        <w:rPr>
          <w:spacing w:val="-6"/>
        </w:rPr>
        <w:t>B/</w:t>
      </w:r>
      <w:r>
        <w:tab/>
      </w:r>
      <w:r>
        <w:rPr>
          <w:spacing w:val="-2"/>
        </w:rPr>
        <w:t>Bevezetés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középkori</w:t>
      </w:r>
      <w:r>
        <w:tab/>
      </w:r>
      <w:r>
        <w:rPr>
          <w:spacing w:val="-2"/>
        </w:rPr>
        <w:t>magyar</w:t>
      </w:r>
      <w:r>
        <w:tab/>
      </w:r>
      <w:r>
        <w:rPr>
          <w:spacing w:val="-2"/>
        </w:rPr>
        <w:t>történeti</w:t>
      </w:r>
      <w:r>
        <w:tab/>
      </w:r>
      <w:r>
        <w:rPr>
          <w:spacing w:val="-6"/>
        </w:rPr>
        <w:t>és</w:t>
      </w:r>
      <w:r>
        <w:tab/>
      </w:r>
      <w:r>
        <w:rPr>
          <w:spacing w:val="-2"/>
        </w:rPr>
        <w:t>jogtörténeti</w:t>
      </w:r>
      <w:r>
        <w:tab/>
      </w:r>
      <w:r>
        <w:rPr>
          <w:spacing w:val="-2"/>
        </w:rPr>
        <w:t>források</w:t>
      </w:r>
      <w:r>
        <w:rPr>
          <w:spacing w:val="-2"/>
          <w:u w:val="none"/>
        </w:rPr>
        <w:t xml:space="preserve"> </w:t>
      </w:r>
      <w:r>
        <w:rPr>
          <w:spacing w:val="-2"/>
        </w:rPr>
        <w:t>rendszerébe</w:t>
      </w:r>
      <w:r>
        <w:rPr>
          <w:b w:val="0"/>
          <w:spacing w:val="-2"/>
        </w:rPr>
        <w:t>:</w:t>
      </w:r>
    </w:p>
    <w:p w14:paraId="54715D8D" w14:textId="77777777" w:rsidR="00052BCC" w:rsidRDefault="00052BCC">
      <w:pPr>
        <w:pStyle w:val="Szvegtrzs"/>
        <w:ind w:left="0" w:firstLine="0"/>
        <w:jc w:val="left"/>
      </w:pPr>
    </w:p>
    <w:p w14:paraId="1C1EBBF9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16"/>
        <w:rPr>
          <w:sz w:val="28"/>
        </w:rPr>
      </w:pPr>
      <w:r>
        <w:rPr>
          <w:sz w:val="28"/>
        </w:rPr>
        <w:t>A középlatin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hivatali írásbeliség sajátosságai és az alapvető oklevéltani fogalmak. A jogi latin nyelv sajátosságainak változása a jogforrások </w:t>
      </w:r>
      <w:r>
        <w:rPr>
          <w:spacing w:val="-2"/>
          <w:sz w:val="28"/>
        </w:rPr>
        <w:t>tükrében.</w:t>
      </w:r>
    </w:p>
    <w:p w14:paraId="621DF973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15"/>
        <w:rPr>
          <w:sz w:val="28"/>
        </w:rPr>
      </w:pPr>
      <w:r>
        <w:rPr>
          <w:sz w:val="28"/>
        </w:rPr>
        <w:t>Legfontosabb középkori jogtörténeti forrásaink és sajátosságaik. A szokásjog korabeli szerepe és jelentősége a jogfo</w:t>
      </w:r>
      <w:r>
        <w:rPr>
          <w:sz w:val="28"/>
        </w:rPr>
        <w:t xml:space="preserve">rrási rendszerben. Werbőczy </w:t>
      </w:r>
      <w:r>
        <w:rPr>
          <w:i/>
          <w:sz w:val="28"/>
        </w:rPr>
        <w:t>Hármaskönyv</w:t>
      </w:r>
      <w:r>
        <w:rPr>
          <w:sz w:val="28"/>
        </w:rPr>
        <w:t>e.</w:t>
      </w:r>
    </w:p>
    <w:p w14:paraId="32F7A13F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14"/>
        <w:rPr>
          <w:sz w:val="28"/>
        </w:rPr>
      </w:pPr>
      <w:r>
        <w:rPr>
          <w:sz w:val="28"/>
        </w:rPr>
        <w:t xml:space="preserve">A törvények és </w:t>
      </w:r>
      <w:proofErr w:type="spellStart"/>
      <w:r>
        <w:rPr>
          <w:i/>
          <w:sz w:val="28"/>
        </w:rPr>
        <w:t>decretum</w:t>
      </w:r>
      <w:r>
        <w:rPr>
          <w:sz w:val="28"/>
        </w:rPr>
        <w:t>ok</w:t>
      </w:r>
      <w:proofErr w:type="spellEnd"/>
      <w:r>
        <w:rPr>
          <w:sz w:val="28"/>
        </w:rPr>
        <w:t xml:space="preserve"> a magyar középkorban</w:t>
      </w:r>
      <w:r>
        <w:rPr>
          <w:i/>
          <w:sz w:val="28"/>
        </w:rPr>
        <w:t xml:space="preserve">. </w:t>
      </w:r>
      <w:r>
        <w:rPr>
          <w:sz w:val="28"/>
        </w:rPr>
        <w:t>Birtokjog, királyi birtokadomány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források</w:t>
      </w:r>
      <w:r>
        <w:rPr>
          <w:spacing w:val="-11"/>
          <w:sz w:val="28"/>
        </w:rPr>
        <w:t xml:space="preserve"> </w:t>
      </w:r>
      <w:r>
        <w:rPr>
          <w:sz w:val="28"/>
        </w:rPr>
        <w:t>alapján.</w:t>
      </w:r>
      <w:r>
        <w:rPr>
          <w:spacing w:val="-10"/>
          <w:sz w:val="28"/>
        </w:rPr>
        <w:t xml:space="preserve"> </w:t>
      </w:r>
      <w:r>
        <w:rPr>
          <w:sz w:val="28"/>
        </w:rPr>
        <w:t>Perjog</w:t>
      </w:r>
      <w:r>
        <w:rPr>
          <w:spacing w:val="-9"/>
          <w:sz w:val="28"/>
        </w:rPr>
        <w:t xml:space="preserve"> </w:t>
      </w:r>
      <w:r>
        <w:rPr>
          <w:sz w:val="28"/>
        </w:rPr>
        <w:t>és</w:t>
      </w:r>
      <w:r>
        <w:rPr>
          <w:spacing w:val="-8"/>
          <w:sz w:val="28"/>
        </w:rPr>
        <w:t xml:space="preserve"> </w:t>
      </w:r>
      <w:r>
        <w:rPr>
          <w:sz w:val="28"/>
        </w:rPr>
        <w:t>jogérvényesítés.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bizonyítási </w:t>
      </w:r>
      <w:r>
        <w:rPr>
          <w:spacing w:val="-2"/>
          <w:sz w:val="28"/>
        </w:rPr>
        <w:t>eljárás.</w:t>
      </w:r>
    </w:p>
    <w:p w14:paraId="60F1BA03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23"/>
        <w:rPr>
          <w:sz w:val="28"/>
        </w:rPr>
      </w:pPr>
      <w:r>
        <w:rPr>
          <w:sz w:val="28"/>
        </w:rPr>
        <w:t>Az állami és az egyházi bíráskodás kapcsolata. Joghatósági kérd</w:t>
      </w:r>
      <w:r>
        <w:rPr>
          <w:sz w:val="28"/>
        </w:rPr>
        <w:t>ések és változások 1526-ig a magyar középkor folyamán a források alapján.</w:t>
      </w:r>
    </w:p>
    <w:p w14:paraId="3479F3E9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22"/>
        <w:rPr>
          <w:sz w:val="28"/>
        </w:rPr>
      </w:pPr>
      <w:r>
        <w:rPr>
          <w:sz w:val="28"/>
        </w:rPr>
        <w:t>Szerződések, birtokeladás, birtokcsere, ajándékozás, elővásárlási jog és a szavatosság. A szerzett és a vásárolt birtok öröklése.</w:t>
      </w:r>
    </w:p>
    <w:p w14:paraId="458EFDEC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124"/>
        <w:rPr>
          <w:sz w:val="28"/>
        </w:rPr>
      </w:pPr>
      <w:r>
        <w:rPr>
          <w:sz w:val="28"/>
        </w:rPr>
        <w:t>Családi és házassági jog. A nők jogképessége és csel</w:t>
      </w:r>
      <w:r>
        <w:rPr>
          <w:sz w:val="28"/>
        </w:rPr>
        <w:t>ekvőképessége. A házassági vagyonjog intézményei.</w:t>
      </w:r>
    </w:p>
    <w:p w14:paraId="19B01D21" w14:textId="77777777" w:rsidR="00052BCC" w:rsidRDefault="00AE5636">
      <w:pPr>
        <w:pStyle w:val="Listaszerbekezds"/>
        <w:numPr>
          <w:ilvl w:val="0"/>
          <w:numId w:val="1"/>
        </w:numPr>
        <w:tabs>
          <w:tab w:val="left" w:pos="836"/>
        </w:tabs>
        <w:ind w:right="330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feudális</w:t>
      </w:r>
      <w:r>
        <w:rPr>
          <w:spacing w:val="-6"/>
          <w:sz w:val="28"/>
        </w:rPr>
        <w:t xml:space="preserve"> </w:t>
      </w:r>
      <w:r>
        <w:rPr>
          <w:sz w:val="28"/>
        </w:rPr>
        <w:t>büntetőjog</w:t>
      </w:r>
      <w:r>
        <w:rPr>
          <w:spacing w:val="-4"/>
          <w:sz w:val="28"/>
        </w:rPr>
        <w:t xml:space="preserve"> </w:t>
      </w:r>
      <w:r>
        <w:rPr>
          <w:sz w:val="28"/>
        </w:rPr>
        <w:t>és</w:t>
      </w:r>
      <w:r>
        <w:rPr>
          <w:spacing w:val="-3"/>
          <w:sz w:val="28"/>
        </w:rPr>
        <w:t xml:space="preserve"> </w:t>
      </w:r>
      <w:r>
        <w:rPr>
          <w:sz w:val="28"/>
        </w:rPr>
        <w:t>intézményei.</w:t>
      </w:r>
      <w:r>
        <w:rPr>
          <w:spacing w:val="-7"/>
          <w:sz w:val="28"/>
        </w:rPr>
        <w:t xml:space="preserve"> </w:t>
      </w:r>
      <w:r>
        <w:rPr>
          <w:sz w:val="28"/>
        </w:rPr>
        <w:t>Az</w:t>
      </w:r>
      <w:r>
        <w:rPr>
          <w:spacing w:val="-4"/>
          <w:sz w:val="28"/>
        </w:rPr>
        <w:t xml:space="preserve"> </w:t>
      </w:r>
      <w:r>
        <w:rPr>
          <w:sz w:val="28"/>
        </w:rPr>
        <w:t>ítéletek</w:t>
      </w:r>
      <w:r>
        <w:rPr>
          <w:spacing w:val="-2"/>
          <w:sz w:val="28"/>
        </w:rPr>
        <w:t xml:space="preserve"> </w:t>
      </w:r>
      <w:r>
        <w:rPr>
          <w:sz w:val="28"/>
        </w:rPr>
        <w:t>fajai</w:t>
      </w:r>
      <w:r>
        <w:rPr>
          <w:spacing w:val="-2"/>
          <w:sz w:val="28"/>
        </w:rPr>
        <w:t xml:space="preserve"> </w:t>
      </w:r>
      <w:r>
        <w:rPr>
          <w:sz w:val="28"/>
        </w:rPr>
        <w:t>és</w:t>
      </w:r>
      <w:r>
        <w:rPr>
          <w:spacing w:val="-2"/>
          <w:sz w:val="28"/>
        </w:rPr>
        <w:t xml:space="preserve"> </w:t>
      </w:r>
      <w:r>
        <w:rPr>
          <w:sz w:val="28"/>
        </w:rPr>
        <w:t>végrehajtása,</w:t>
      </w:r>
      <w:r>
        <w:rPr>
          <w:spacing w:val="-1"/>
          <w:sz w:val="28"/>
        </w:rPr>
        <w:t xml:space="preserve"> </w:t>
      </w:r>
      <w:r>
        <w:rPr>
          <w:sz w:val="28"/>
        </w:rPr>
        <w:t>a pallosjog. A peres eljárás speciális bizonyítási eszközei.</w:t>
      </w:r>
    </w:p>
    <w:p w14:paraId="145A3F07" w14:textId="77777777" w:rsidR="00052BCC" w:rsidRDefault="00052BCC">
      <w:pPr>
        <w:pStyle w:val="Szvegtrzs"/>
        <w:spacing w:before="316"/>
        <w:ind w:left="0" w:firstLine="0"/>
        <w:jc w:val="left"/>
      </w:pPr>
    </w:p>
    <w:p w14:paraId="6530A052" w14:textId="77777777" w:rsidR="00052BCC" w:rsidRDefault="00AE5636">
      <w:pPr>
        <w:pStyle w:val="Szvegtrzs"/>
        <w:ind w:left="116" w:firstLine="0"/>
        <w:jc w:val="left"/>
      </w:pPr>
      <w:r>
        <w:rPr>
          <w:u w:val="single"/>
        </w:rPr>
        <w:t>Felhasznált</w:t>
      </w:r>
      <w:r>
        <w:rPr>
          <w:spacing w:val="-6"/>
          <w:u w:val="single"/>
        </w:rPr>
        <w:t xml:space="preserve"> </w:t>
      </w:r>
      <w:r>
        <w:rPr>
          <w:u w:val="single"/>
        </w:rPr>
        <w:t>források,</w:t>
      </w:r>
      <w:r>
        <w:rPr>
          <w:spacing w:val="-7"/>
          <w:u w:val="single"/>
        </w:rPr>
        <w:t xml:space="preserve"> </w:t>
      </w:r>
      <w:r>
        <w:rPr>
          <w:u w:val="single"/>
        </w:rPr>
        <w:t>ill.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szövegkiadások:</w:t>
      </w:r>
    </w:p>
    <w:p w14:paraId="15834D26" w14:textId="77777777" w:rsidR="00052BCC" w:rsidRDefault="00AE5636">
      <w:pPr>
        <w:spacing w:before="321"/>
        <w:ind w:left="116" w:right="118"/>
        <w:rPr>
          <w:sz w:val="28"/>
        </w:rPr>
      </w:pPr>
      <w:r>
        <w:rPr>
          <w:i/>
          <w:sz w:val="28"/>
        </w:rPr>
        <w:t xml:space="preserve">A Tizenkéttáblás törvény </w:t>
      </w:r>
      <w:r>
        <w:rPr>
          <w:i/>
          <w:sz w:val="28"/>
        </w:rPr>
        <w:t>töredékei</w:t>
      </w:r>
      <w:r>
        <w:rPr>
          <w:sz w:val="28"/>
        </w:rPr>
        <w:t xml:space="preserve">, (ford., szerk. </w:t>
      </w:r>
      <w:proofErr w:type="spellStart"/>
      <w:r>
        <w:rPr>
          <w:sz w:val="28"/>
        </w:rPr>
        <w:t>Zlinszky</w:t>
      </w:r>
      <w:proofErr w:type="spellEnd"/>
      <w:r>
        <w:rPr>
          <w:sz w:val="28"/>
        </w:rPr>
        <w:t xml:space="preserve"> János), Szent István</w:t>
      </w:r>
      <w:r>
        <w:rPr>
          <w:spacing w:val="40"/>
          <w:sz w:val="28"/>
        </w:rPr>
        <w:t xml:space="preserve"> </w:t>
      </w:r>
      <w:r>
        <w:rPr>
          <w:sz w:val="28"/>
        </w:rPr>
        <w:t>Társulat, Budapest, 2016.</w:t>
      </w:r>
    </w:p>
    <w:p w14:paraId="693358BC" w14:textId="77777777" w:rsidR="00052BCC" w:rsidRDefault="00AE5636">
      <w:pPr>
        <w:pStyle w:val="Szvegtrzs"/>
        <w:ind w:left="116" w:right="118" w:firstLine="0"/>
        <w:jc w:val="left"/>
      </w:pPr>
      <w:proofErr w:type="spellStart"/>
      <w:r>
        <w:t>Gaius</w:t>
      </w:r>
      <w:proofErr w:type="spellEnd"/>
      <w:r>
        <w:rPr>
          <w:spacing w:val="-5"/>
        </w:rPr>
        <w:t xml:space="preserve"> </w:t>
      </w:r>
      <w:proofErr w:type="spellStart"/>
      <w:r>
        <w:rPr>
          <w:i/>
        </w:rPr>
        <w:t>Institútiói</w:t>
      </w:r>
      <w:proofErr w:type="spellEnd"/>
      <w:r>
        <w:rPr>
          <w:i/>
          <w:spacing w:val="-4"/>
        </w:rPr>
        <w:t xml:space="preserve"> </w:t>
      </w:r>
      <w:r>
        <w:t>(Négy</w:t>
      </w:r>
      <w:r>
        <w:rPr>
          <w:spacing w:val="-6"/>
        </w:rPr>
        <w:t xml:space="preserve"> </w:t>
      </w:r>
      <w:r>
        <w:t>kommentár),</w:t>
      </w:r>
      <w:r>
        <w:rPr>
          <w:spacing w:val="-7"/>
        </w:rPr>
        <w:t xml:space="preserve"> </w:t>
      </w:r>
      <w:r>
        <w:t>(ford.:</w:t>
      </w:r>
      <w:r>
        <w:rPr>
          <w:spacing w:val="-7"/>
        </w:rPr>
        <w:t xml:space="preserve"> </w:t>
      </w:r>
      <w:proofErr w:type="spellStart"/>
      <w:r>
        <w:t>Brósz</w:t>
      </w:r>
      <w:proofErr w:type="spellEnd"/>
      <w:r>
        <w:rPr>
          <w:spacing w:val="-6"/>
        </w:rPr>
        <w:t xml:space="preserve"> </w:t>
      </w:r>
      <w:r>
        <w:t>Róbert),</w:t>
      </w:r>
      <w:r>
        <w:rPr>
          <w:spacing w:val="-7"/>
        </w:rPr>
        <w:t xml:space="preserve"> </w:t>
      </w:r>
      <w:r>
        <w:t>Szent</w:t>
      </w:r>
      <w:r>
        <w:rPr>
          <w:spacing w:val="-7"/>
        </w:rPr>
        <w:t xml:space="preserve"> </w:t>
      </w:r>
      <w:r>
        <w:t>István</w:t>
      </w:r>
      <w:r>
        <w:rPr>
          <w:spacing w:val="-6"/>
        </w:rPr>
        <w:t xml:space="preserve"> </w:t>
      </w:r>
      <w:r>
        <w:t>Társulat, Budapest, 2014.</w:t>
      </w:r>
    </w:p>
    <w:p w14:paraId="71E00B65" w14:textId="3D0E94A8" w:rsidR="00052BCC" w:rsidRDefault="00AE5636">
      <w:pPr>
        <w:spacing w:before="1"/>
        <w:ind w:left="116" w:right="118"/>
        <w:rPr>
          <w:sz w:val="28"/>
        </w:rPr>
      </w:pP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magyar jogtörténet forrásai </w:t>
      </w:r>
      <w:r>
        <w:rPr>
          <w:sz w:val="28"/>
        </w:rPr>
        <w:t xml:space="preserve">(Szemelvénygyűjtemény), (szerk. Mezey Barna), </w:t>
      </w:r>
      <w:r>
        <w:rPr>
          <w:sz w:val="28"/>
        </w:rPr>
        <w:t>Osiris Kiadó, Budapest, 2006.</w:t>
      </w:r>
    </w:p>
    <w:p w14:paraId="63ABDBF5" w14:textId="77777777" w:rsidR="00AE5636" w:rsidRDefault="00AE5636">
      <w:pPr>
        <w:spacing w:before="78" w:line="242" w:lineRule="auto"/>
        <w:ind w:left="116" w:right="111"/>
        <w:jc w:val="both"/>
        <w:rPr>
          <w:sz w:val="28"/>
        </w:rPr>
      </w:pPr>
    </w:p>
    <w:p w14:paraId="61B3360A" w14:textId="77777777" w:rsidR="00AE5636" w:rsidRDefault="00AE5636">
      <w:pPr>
        <w:spacing w:before="78" w:line="242" w:lineRule="auto"/>
        <w:ind w:left="116" w:right="111"/>
        <w:jc w:val="both"/>
        <w:rPr>
          <w:sz w:val="28"/>
        </w:rPr>
      </w:pPr>
    </w:p>
    <w:p w14:paraId="63D31871" w14:textId="77777777" w:rsidR="00AE5636" w:rsidRDefault="00AE5636">
      <w:pPr>
        <w:spacing w:before="78" w:line="242" w:lineRule="auto"/>
        <w:ind w:left="116" w:right="111"/>
        <w:jc w:val="both"/>
        <w:rPr>
          <w:sz w:val="28"/>
        </w:rPr>
      </w:pPr>
    </w:p>
    <w:p w14:paraId="0206DDED" w14:textId="77777777" w:rsidR="00AE5636" w:rsidRDefault="00AE5636">
      <w:pPr>
        <w:spacing w:before="78" w:line="242" w:lineRule="auto"/>
        <w:ind w:left="116" w:right="111"/>
        <w:jc w:val="both"/>
        <w:rPr>
          <w:sz w:val="28"/>
        </w:rPr>
      </w:pPr>
    </w:p>
    <w:p w14:paraId="271F2414" w14:textId="345D8011" w:rsidR="00052BCC" w:rsidRDefault="00AE5636">
      <w:pPr>
        <w:spacing w:before="78" w:line="242" w:lineRule="auto"/>
        <w:ind w:left="116" w:right="111"/>
        <w:jc w:val="both"/>
        <w:rPr>
          <w:sz w:val="28"/>
        </w:rPr>
      </w:pPr>
      <w:r>
        <w:rPr>
          <w:sz w:val="28"/>
        </w:rPr>
        <w:lastRenderedPageBreak/>
        <w:t xml:space="preserve">Werbőczy István: </w:t>
      </w:r>
      <w:r>
        <w:rPr>
          <w:i/>
          <w:sz w:val="28"/>
        </w:rPr>
        <w:t>Hármaskönyv-</w:t>
      </w:r>
      <w:proofErr w:type="spellStart"/>
      <w:r>
        <w:rPr>
          <w:i/>
          <w:sz w:val="28"/>
        </w:rPr>
        <w:t>Tripartitum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(Latin-magyar kétnyelvű kiadás), Téka Könyvkiadó, Budapest, 1990.</w:t>
      </w:r>
    </w:p>
    <w:p w14:paraId="70B7DE0B" w14:textId="77777777" w:rsidR="00052BCC" w:rsidRDefault="00AE5636">
      <w:pPr>
        <w:ind w:left="116" w:right="114"/>
        <w:jc w:val="both"/>
        <w:rPr>
          <w:sz w:val="28"/>
        </w:rPr>
      </w:pPr>
      <w:proofErr w:type="spellStart"/>
      <w:r>
        <w:rPr>
          <w:sz w:val="28"/>
        </w:rPr>
        <w:t>Závodszky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Levente: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Szent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István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Szent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László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és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Kálmán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korabeli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törvények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és zsinati határozatok </w:t>
      </w:r>
      <w:r>
        <w:rPr>
          <w:i/>
          <w:sz w:val="28"/>
        </w:rPr>
        <w:t>forrásai. Függelék: A törvények szövege</w:t>
      </w:r>
      <w:r>
        <w:rPr>
          <w:sz w:val="28"/>
        </w:rPr>
        <w:t>, Szent István Társulat, Budapest, 1904. reprint kiadása 2002.</w:t>
      </w:r>
    </w:p>
    <w:p w14:paraId="58CE3079" w14:textId="17B5009D" w:rsidR="00052BCC" w:rsidRDefault="00AE5636">
      <w:pPr>
        <w:ind w:left="116" w:right="115"/>
        <w:jc w:val="both"/>
        <w:rPr>
          <w:sz w:val="28"/>
        </w:rPr>
      </w:pPr>
      <w:r>
        <w:rPr>
          <w:sz w:val="28"/>
        </w:rPr>
        <w:t>Di</w:t>
      </w:r>
      <w:r>
        <w:rPr>
          <w:i/>
          <w:sz w:val="28"/>
        </w:rPr>
        <w:t>plomata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Hungariae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Antiquissima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 w:rsidR="002F708D">
        <w:rPr>
          <w:sz w:val="28"/>
        </w:rPr>
        <w:t>s</w:t>
      </w:r>
      <w:r>
        <w:rPr>
          <w:sz w:val="28"/>
        </w:rPr>
        <w:t>zerk.Győrffy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György),</w:t>
      </w:r>
      <w:r>
        <w:rPr>
          <w:spacing w:val="-6"/>
          <w:sz w:val="28"/>
        </w:rPr>
        <w:t xml:space="preserve"> </w:t>
      </w:r>
      <w:r>
        <w:rPr>
          <w:sz w:val="28"/>
        </w:rPr>
        <w:t>Akadémiai</w:t>
      </w:r>
      <w:r>
        <w:rPr>
          <w:spacing w:val="-4"/>
          <w:sz w:val="28"/>
        </w:rPr>
        <w:t xml:space="preserve"> </w:t>
      </w:r>
      <w:r>
        <w:rPr>
          <w:sz w:val="28"/>
        </w:rPr>
        <w:t>Kiadó, Budapest, 1992.</w:t>
      </w:r>
    </w:p>
    <w:p w14:paraId="7926821F" w14:textId="77777777" w:rsidR="00052BCC" w:rsidRDefault="00AE5636">
      <w:pPr>
        <w:spacing w:line="322" w:lineRule="exact"/>
        <w:ind w:left="116"/>
        <w:rPr>
          <w:i/>
          <w:sz w:val="28"/>
        </w:rPr>
      </w:pPr>
      <w:proofErr w:type="spellStart"/>
      <w:r>
        <w:rPr>
          <w:sz w:val="28"/>
        </w:rPr>
        <w:t>Szentpétery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Imre: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Az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Árpádházi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királyok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okleveleinek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kritikai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j</w:t>
      </w:r>
      <w:r>
        <w:rPr>
          <w:i/>
          <w:sz w:val="28"/>
        </w:rPr>
        <w:t>egyzéke,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II.4.</w:t>
      </w:r>
    </w:p>
    <w:p w14:paraId="555ADC3E" w14:textId="77777777" w:rsidR="00052BCC" w:rsidRDefault="00AE5636">
      <w:pPr>
        <w:pStyle w:val="Szvegtrzs"/>
        <w:spacing w:line="322" w:lineRule="exact"/>
        <w:ind w:left="116" w:firstLine="0"/>
        <w:jc w:val="left"/>
      </w:pPr>
      <w:r>
        <w:t>(szerk.:</w:t>
      </w:r>
      <w:r>
        <w:rPr>
          <w:spacing w:val="-8"/>
        </w:rPr>
        <w:t xml:space="preserve"> </w:t>
      </w:r>
      <w:r>
        <w:t>Borsa</w:t>
      </w:r>
      <w:r>
        <w:rPr>
          <w:spacing w:val="-6"/>
        </w:rPr>
        <w:t xml:space="preserve"> </w:t>
      </w:r>
      <w:r>
        <w:t>Iván),</w:t>
      </w:r>
      <w:r>
        <w:rPr>
          <w:spacing w:val="-5"/>
        </w:rPr>
        <w:t xml:space="preserve"> </w:t>
      </w:r>
      <w:r>
        <w:t>Akadémiai</w:t>
      </w:r>
      <w:r>
        <w:rPr>
          <w:spacing w:val="-7"/>
        </w:rPr>
        <w:t xml:space="preserve"> </w:t>
      </w:r>
      <w:r>
        <w:t>Kiadó,</w:t>
      </w:r>
      <w:r>
        <w:rPr>
          <w:spacing w:val="-7"/>
        </w:rPr>
        <w:t xml:space="preserve"> </w:t>
      </w:r>
      <w:r>
        <w:t>Budapest,</w:t>
      </w:r>
      <w:r>
        <w:rPr>
          <w:spacing w:val="-6"/>
        </w:rPr>
        <w:t xml:space="preserve"> </w:t>
      </w:r>
      <w:r>
        <w:rPr>
          <w:spacing w:val="-2"/>
        </w:rPr>
        <w:t>1987.</w:t>
      </w:r>
    </w:p>
    <w:p w14:paraId="19C00F77" w14:textId="251D1AC9" w:rsidR="00052BCC" w:rsidRDefault="00AE5636">
      <w:pPr>
        <w:ind w:left="116"/>
        <w:rPr>
          <w:spacing w:val="-2"/>
          <w:sz w:val="28"/>
        </w:rPr>
      </w:pPr>
      <w:r>
        <w:rPr>
          <w:sz w:val="28"/>
        </w:rPr>
        <w:t>Zsoldos</w:t>
      </w:r>
      <w:r>
        <w:rPr>
          <w:spacing w:val="-10"/>
          <w:sz w:val="28"/>
        </w:rPr>
        <w:t xml:space="preserve"> </w:t>
      </w:r>
      <w:r>
        <w:rPr>
          <w:sz w:val="28"/>
        </w:rPr>
        <w:t>Attila: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800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éves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Aranybulla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Országház</w:t>
      </w:r>
      <w:r>
        <w:rPr>
          <w:spacing w:val="-8"/>
          <w:sz w:val="28"/>
        </w:rPr>
        <w:t xml:space="preserve"> </w:t>
      </w:r>
      <w:r>
        <w:rPr>
          <w:sz w:val="28"/>
        </w:rPr>
        <w:t>Kiadó,</w:t>
      </w:r>
      <w:r>
        <w:rPr>
          <w:spacing w:val="-6"/>
          <w:sz w:val="28"/>
        </w:rPr>
        <w:t xml:space="preserve"> </w:t>
      </w:r>
      <w:r>
        <w:rPr>
          <w:sz w:val="28"/>
        </w:rPr>
        <w:t>Budapest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2022.</w:t>
      </w:r>
    </w:p>
    <w:p w14:paraId="3139DC35" w14:textId="1ED92E6E" w:rsidR="00AE5636" w:rsidRDefault="00AE5636" w:rsidP="00AE5636">
      <w:pPr>
        <w:rPr>
          <w:sz w:val="28"/>
        </w:rPr>
      </w:pPr>
    </w:p>
    <w:p w14:paraId="781E1301" w14:textId="77777777" w:rsidR="00052BCC" w:rsidRDefault="00052BCC">
      <w:pPr>
        <w:pStyle w:val="Szvegtrzs"/>
        <w:ind w:left="0" w:firstLine="0"/>
        <w:jc w:val="left"/>
        <w:rPr>
          <w:sz w:val="20"/>
        </w:rPr>
      </w:pPr>
    </w:p>
    <w:p w14:paraId="14C97310" w14:textId="2DE74BEF" w:rsidR="00052BCC" w:rsidRDefault="00052BCC">
      <w:pPr>
        <w:rPr>
          <w:sz w:val="20"/>
        </w:rPr>
        <w:sectPr w:rsidR="00052BCC">
          <w:pgSz w:w="11910" w:h="16840"/>
          <w:pgMar w:top="1320" w:right="1300" w:bottom="280" w:left="1300" w:header="708" w:footer="708" w:gutter="0"/>
          <w:cols w:space="708"/>
        </w:sectPr>
      </w:pPr>
    </w:p>
    <w:p w14:paraId="26504135" w14:textId="0CD6F7A6" w:rsidR="00AE5636" w:rsidRDefault="00AE5636" w:rsidP="00AE5636">
      <w:pPr>
        <w:pStyle w:val="Szvegtrzs"/>
        <w:spacing w:before="89"/>
        <w:ind w:left="0" w:firstLine="0"/>
        <w:jc w:val="left"/>
      </w:pPr>
    </w:p>
    <w:p w14:paraId="0F4FDD12" w14:textId="066330B5" w:rsidR="00052BCC" w:rsidRDefault="00AE5636">
      <w:pPr>
        <w:pStyle w:val="Szvegtrzs"/>
        <w:spacing w:before="89"/>
        <w:ind w:left="116" w:firstLine="0"/>
        <w:jc w:val="left"/>
      </w:pPr>
      <w:r>
        <w:t>Budapest,</w:t>
      </w:r>
      <w:r>
        <w:rPr>
          <w:spacing w:val="-5"/>
        </w:rPr>
        <w:t xml:space="preserve"> </w:t>
      </w:r>
      <w:r>
        <w:t>202</w:t>
      </w:r>
      <w:r w:rsidR="002F708D">
        <w:t>5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szeptember</w:t>
      </w:r>
    </w:p>
    <w:p w14:paraId="05E0AE1F" w14:textId="77777777" w:rsidR="00052BCC" w:rsidRDefault="00AE5636">
      <w:pPr>
        <w:spacing w:before="88"/>
        <w:rPr>
          <w:sz w:val="28"/>
        </w:rPr>
      </w:pPr>
      <w:r>
        <w:br w:type="column"/>
      </w:r>
    </w:p>
    <w:p w14:paraId="17847FAE" w14:textId="77777777" w:rsidR="00052BCC" w:rsidRDefault="00AE5636">
      <w:pPr>
        <w:pStyle w:val="Szvegtrzs"/>
        <w:spacing w:before="1"/>
        <w:ind w:left="116" w:right="425" w:firstLine="0"/>
        <w:jc w:val="center"/>
      </w:pPr>
      <w:r>
        <w:t>Dr.</w:t>
      </w:r>
      <w:r>
        <w:rPr>
          <w:spacing w:val="-16"/>
        </w:rPr>
        <w:t xml:space="preserve"> </w:t>
      </w:r>
      <w:r>
        <w:t>Andrási</w:t>
      </w:r>
      <w:r>
        <w:rPr>
          <w:spacing w:val="-18"/>
        </w:rPr>
        <w:t xml:space="preserve"> </w:t>
      </w:r>
      <w:r>
        <w:t>Dorottya egyetemi docens Római Jogi Tanszék</w:t>
      </w:r>
    </w:p>
    <w:sectPr w:rsidR="00052BCC">
      <w:type w:val="continuous"/>
      <w:pgSz w:w="11910" w:h="16840"/>
      <w:pgMar w:top="1340" w:right="1300" w:bottom="280" w:left="1300" w:header="708" w:footer="708" w:gutter="0"/>
      <w:cols w:num="2" w:space="708" w:equalWidth="0">
        <w:col w:w="3318" w:space="3056"/>
        <w:col w:w="29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E9C"/>
    <w:multiLevelType w:val="hybridMultilevel"/>
    <w:tmpl w:val="F91C6F86"/>
    <w:lvl w:ilvl="0" w:tplc="FAAE7C6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2DACACF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1BD87B24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7564E83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6B2CEFD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A488A67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28B04E5A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5A2EF16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3661F9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C"/>
    <w:rsid w:val="00052BCC"/>
    <w:rsid w:val="00117B6C"/>
    <w:rsid w:val="002F2D68"/>
    <w:rsid w:val="002F708D"/>
    <w:rsid w:val="004646EE"/>
    <w:rsid w:val="00AE5636"/>
    <w:rsid w:val="00E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C8D4"/>
  <w15:docId w15:val="{F12681F3-75AF-408B-B7A0-E341AF31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16" w:right="5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36" w:hanging="360"/>
      <w:jc w:val="both"/>
    </w:pPr>
    <w:rPr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Andrási Dorottya</dc:creator>
  <cp:lastModifiedBy>Körmendy Renáta</cp:lastModifiedBy>
  <cp:revision>2</cp:revision>
  <dcterms:created xsi:type="dcterms:W3CDTF">2025-09-02T07:29:00Z</dcterms:created>
  <dcterms:modified xsi:type="dcterms:W3CDTF">2025-09-02T07:29:00Z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a Microsoft 365-höz</vt:lpwstr>
  </property>
</Properties>
</file>