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40" w:rsidRPr="00C679F0" w:rsidRDefault="00EB5040" w:rsidP="00EB5040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79F0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Laura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Gyeney</w:t>
      </w:r>
      <w:proofErr w:type="spellEnd"/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>JDDO324XA0</w:t>
      </w:r>
      <w:r w:rsidRPr="00C679F0">
        <w:rPr>
          <w:rFonts w:ascii="Times New Roman" w:hAnsi="Times New Roman" w:cs="Times New Roman"/>
          <w:sz w:val="24"/>
          <w:szCs w:val="24"/>
        </w:rPr>
        <w:t xml:space="preserve"> </w:t>
      </w:r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Union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citizenship</w:t>
      </w:r>
      <w:proofErr w:type="spellEnd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its</w:t>
      </w:r>
      <w:proofErr w:type="spellEnd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impact</w:t>
      </w:r>
      <w:proofErr w:type="spellEnd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</w:t>
      </w:r>
      <w:proofErr w:type="spellEnd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EU’s</w:t>
      </w:r>
      <w:proofErr w:type="spellEnd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market </w:t>
      </w:r>
      <w:proofErr w:type="spellStart"/>
      <w:r w:rsidRPr="00C83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freedoms</w:t>
      </w:r>
      <w:proofErr w:type="spellEnd"/>
    </w:p>
    <w:p w:rsidR="00EB5040" w:rsidRDefault="00EB5040" w:rsidP="00EB5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B5040" w:rsidRDefault="00EB5040" w:rsidP="00EB5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Contents of the subject:</w:t>
      </w:r>
    </w:p>
    <w:p w:rsidR="00EB5040" w:rsidRDefault="00EB5040" w:rsidP="00EB50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040" w:rsidRPr="00D63868" w:rsidRDefault="00EB5040" w:rsidP="00EB50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Union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celebrating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30th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birthday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Despite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retrogade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steps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taken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Court’s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Union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indeed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granted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State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beyond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under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EC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establishment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status. </w:t>
      </w:r>
    </w:p>
    <w:p w:rsidR="00EB5040" w:rsidRPr="00D63868" w:rsidRDefault="00EB5040" w:rsidP="00EB50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immediately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leads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Union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come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age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examined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angle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substance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given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status.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Put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differently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does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mean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State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today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occupy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better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position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under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did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became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Union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merely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consolidation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pre- Maastricht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acquis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EB5040" w:rsidRPr="00D63868" w:rsidRDefault="00EB5040" w:rsidP="00EB50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see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EU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moved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away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initial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incipient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market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roots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pointing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status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detached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consideration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move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creation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meaningful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reconceptualised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fundamental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interpretation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adapted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accordingly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above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aims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examine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had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interpretation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EU’s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seek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deepen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understanding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mechanisms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been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re-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interpreted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era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Finally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since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supranational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contested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issues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we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examine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limits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free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movement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emphasis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Brexit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aftermath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1.       The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union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citizenship</w:t>
      </w:r>
      <w:proofErr w:type="spellEnd"/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2.       The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economic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EU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</w:t>
      </w:r>
      <w:proofErr w:type="spellEnd"/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3.       The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Union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EU’s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freedoms</w:t>
      </w:r>
      <w:proofErr w:type="spellEnd"/>
    </w:p>
    <w:p w:rsidR="00EB5040" w:rsidRPr="00D63868" w:rsidRDefault="00EB5040" w:rsidP="00EB5040">
      <w:pPr>
        <w:pStyle w:val="Nincstrkz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. Union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personal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freedoms</w:t>
      </w:r>
      <w:proofErr w:type="spellEnd"/>
    </w:p>
    <w:p w:rsidR="00EB5040" w:rsidRPr="00D63868" w:rsidRDefault="00EB5040" w:rsidP="00EB5040">
      <w:pPr>
        <w:pStyle w:val="Nincstrkz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b. Union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free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movement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goods</w:t>
      </w:r>
      <w:proofErr w:type="spellEnd"/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4.       Re-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interpreting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freedoms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Union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citizenship</w:t>
      </w:r>
      <w:proofErr w:type="spellEnd"/>
    </w:p>
    <w:p w:rsidR="00EB5040" w:rsidRPr="00D63868" w:rsidRDefault="00EB5040" w:rsidP="00EB5040">
      <w:pPr>
        <w:pStyle w:val="Nincstrkz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Emerging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questions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particular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criticism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grounds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  </w:t>
      </w:r>
    </w:p>
    <w:p w:rsidR="00EB5040" w:rsidRPr="00D63868" w:rsidRDefault="00EB5040" w:rsidP="00EB5040">
      <w:pPr>
        <w:pStyle w:val="Nincstrkz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coherence</w:t>
      </w:r>
      <w:proofErr w:type="spellEnd"/>
    </w:p>
    <w:p w:rsidR="00EB5040" w:rsidRPr="00D63868" w:rsidRDefault="00EB5040" w:rsidP="00EB5040">
      <w:pPr>
        <w:pStyle w:val="Nincstrkz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b. </w:t>
      </w: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answers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5.      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Perspectives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EB5040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6.      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Political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EU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vote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petition,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diplomatic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privacy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against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expulsion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, etc.) </w:t>
      </w:r>
    </w:p>
    <w:p w:rsidR="00EB5040" w:rsidRPr="00D63868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7.       The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limits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free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movement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EB5040" w:rsidRDefault="00EB5040" w:rsidP="00EB504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3868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Restrictions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entry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residence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grounds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of 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public</w:t>
      </w:r>
      <w:proofErr w:type="spellEnd"/>
      <w:proofErr w:type="gram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EB5040" w:rsidRPr="00D63868" w:rsidRDefault="00EB5040" w:rsidP="00EB5040">
      <w:pPr>
        <w:pStyle w:val="Nincstrkz"/>
        <w:rPr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</w:t>
      </w:r>
      <w:proofErr w:type="gram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policy</w:t>
      </w:r>
      <w:proofErr w:type="gram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public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security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public</w:t>
      </w:r>
      <w:proofErr w:type="spellEnd"/>
      <w:r w:rsidRPr="00D638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hAnsi="Times New Roman" w:cs="Times New Roman"/>
          <w:sz w:val="24"/>
          <w:szCs w:val="24"/>
          <w:lang w:eastAsia="hu-HU"/>
        </w:rPr>
        <w:t>health</w:t>
      </w:r>
      <w:proofErr w:type="spellEnd"/>
      <w:r w:rsidRPr="00D63868">
        <w:rPr>
          <w:lang w:eastAsia="hu-HU"/>
        </w:rPr>
        <w:t xml:space="preserve">, </w:t>
      </w:r>
      <w:proofErr w:type="spellStart"/>
      <w:r w:rsidRPr="00D63868">
        <w:rPr>
          <w:lang w:eastAsia="hu-HU"/>
        </w:rPr>
        <w:t>with</w:t>
      </w:r>
      <w:proofErr w:type="spellEnd"/>
      <w:r w:rsidRPr="00D63868">
        <w:rPr>
          <w:lang w:eastAsia="hu-HU"/>
        </w:rPr>
        <w:t xml:space="preserve"> a </w:t>
      </w:r>
      <w:proofErr w:type="spellStart"/>
      <w:r w:rsidRPr="00D63868">
        <w:rPr>
          <w:lang w:eastAsia="hu-HU"/>
        </w:rPr>
        <w:t>special</w:t>
      </w:r>
      <w:proofErr w:type="spellEnd"/>
      <w:r w:rsidRPr="00D63868">
        <w:rPr>
          <w:lang w:eastAsia="hu-HU"/>
        </w:rPr>
        <w:t xml:space="preserve"> </w:t>
      </w:r>
      <w:proofErr w:type="spellStart"/>
      <w:r w:rsidRPr="00D63868">
        <w:rPr>
          <w:lang w:eastAsia="hu-HU"/>
        </w:rPr>
        <w:t>respect</w:t>
      </w:r>
      <w:proofErr w:type="spellEnd"/>
      <w:r w:rsidRPr="00D63868">
        <w:rPr>
          <w:lang w:eastAsia="hu-HU"/>
        </w:rPr>
        <w:t xml:space="preserve"> </w:t>
      </w:r>
      <w:proofErr w:type="spellStart"/>
      <w:r w:rsidRPr="00D63868">
        <w:rPr>
          <w:lang w:eastAsia="hu-HU"/>
        </w:rPr>
        <w:t>to</w:t>
      </w:r>
      <w:proofErr w:type="spellEnd"/>
      <w:r w:rsidRPr="00D63868">
        <w:rPr>
          <w:lang w:eastAsia="hu-HU"/>
        </w:rPr>
        <w:t xml:space="preserve"> COVID 19.</w:t>
      </w:r>
    </w:p>
    <w:p w:rsidR="00EB5040" w:rsidRPr="00D63868" w:rsidRDefault="00EB5040" w:rsidP="00EB5040">
      <w:pPr>
        <w:spacing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Brexit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aftermath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Readings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Blutman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 Az Európai Unió joga a gyakorlatban, HVG-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Orac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Budapest, </w:t>
      </w:r>
      <w:proofErr w:type="gram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2020. ,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Chapter</w:t>
      </w:r>
      <w:proofErr w:type="spellEnd"/>
      <w:proofErr w:type="gram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 : Az uniós polgárság és a személyek szabad mozgása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Szalayné Sándor Erzsébet: A személyek jogállása az uniós jogrendben, NKSZE, Budapest 2014.,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Chapter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: Az uniós polgárság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Uniós polgárság, a piacorientált szemlélettől való elszakadás göröngyös útja, IAS, VIII. 2012/2.</w:t>
      </w:r>
    </w:p>
    <w:p w:rsidR="00EB5040" w:rsidRPr="00D63868" w:rsidRDefault="00EB5040" w:rsidP="00EB5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Európai Uniós polgárság. In Jakab András, Könczöl Miklós,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Menyhárd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Attila, Sulyok Gábor. Internetes Jogtudományi Enciklopédia, HVG ORAC, 2020.</w:t>
      </w:r>
    </w:p>
    <w:p w:rsidR="00EB5040" w:rsidRPr="00D63868" w:rsidRDefault="00EB5040" w:rsidP="00EB5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040" w:rsidRPr="00D63868" w:rsidRDefault="00EB5040" w:rsidP="00EB5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Uniós polgárság a nemzeti jogrendek </w:t>
      </w:r>
      <w:proofErr w:type="gram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kontextusában</w:t>
      </w:r>
      <w:proofErr w:type="gram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IAS, XVI. 2020/3.</w:t>
      </w:r>
    </w:p>
    <w:p w:rsidR="00EB5040" w:rsidRPr="00D63868" w:rsidRDefault="00EB5040" w:rsidP="00EB5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040" w:rsidRPr="00D63868" w:rsidRDefault="00EB5040" w:rsidP="00EB5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Az Európai Unió Bíróságának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Tarola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ügyben hozott döntése: A munkanélkülivé vált személyek szociális ellátásokhoz való hozzáférése a szabad mozgás gyakorlása során, JOGESETEK MAGYARÁZATA, 2019: 2-3.</w:t>
      </w:r>
    </w:p>
    <w:p w:rsidR="00EB5040" w:rsidRPr="00D63868" w:rsidRDefault="00EB5040" w:rsidP="00EB5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Alina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Tryfonidou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union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EU’s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freedoms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Hart Publishing, 2016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Dimitry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Kochenov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EU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federalism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Cambridge University Press, 2017</w:t>
      </w:r>
    </w:p>
    <w:p w:rsidR="00EB5040" w:rsidRPr="00D63868" w:rsidRDefault="00EB5040" w:rsidP="00EB50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5199" w:rsidRDefault="00EB5040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40"/>
    <w:rsid w:val="002A47A1"/>
    <w:rsid w:val="00310CE4"/>
    <w:rsid w:val="003918AF"/>
    <w:rsid w:val="00772213"/>
    <w:rsid w:val="009F7C46"/>
    <w:rsid w:val="00A3107C"/>
    <w:rsid w:val="00E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AB64-CD1B-41B3-88C4-72A6D78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0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2021-02-16T11:52:00Z</dcterms:created>
  <dcterms:modified xsi:type="dcterms:W3CDTF">2021-02-16T11:52:00Z</dcterms:modified>
</cp:coreProperties>
</file>