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329" w:rsidRPr="00BE54F2" w:rsidRDefault="00056329" w:rsidP="00056329">
      <w:pPr>
        <w:spacing w:after="0" w:line="240" w:lineRule="auto"/>
        <w:rPr>
          <w:rFonts w:ascii="Arial" w:hAnsi="Arial" w:cs="Arial"/>
          <w:color w:val="222222"/>
          <w:sz w:val="24"/>
          <w:szCs w:val="24"/>
          <w:lang w:eastAsia="hu-HU"/>
        </w:rPr>
      </w:pPr>
      <w:r w:rsidRPr="00F02867">
        <w:rPr>
          <w:rFonts w:ascii="Times New Roman" w:hAnsi="Times New Roman"/>
          <w:b/>
          <w:sz w:val="24"/>
          <w:szCs w:val="24"/>
          <w:lang w:val="en-GB"/>
        </w:rPr>
        <w:t>Nam</w:t>
      </w:r>
      <w:bookmarkStart w:id="0" w:name="_GoBack"/>
      <w:bookmarkEnd w:id="0"/>
      <w:r w:rsidRPr="00F02867">
        <w:rPr>
          <w:rFonts w:ascii="Times New Roman" w:hAnsi="Times New Roman"/>
          <w:b/>
          <w:sz w:val="24"/>
          <w:szCs w:val="24"/>
          <w:lang w:val="en-GB"/>
        </w:rPr>
        <w:t>e of the lecturer</w:t>
      </w:r>
      <w:r>
        <w:rPr>
          <w:rFonts w:ascii="Times New Roman" w:hAnsi="Times New Roman"/>
          <w:color w:val="222222"/>
          <w:sz w:val="24"/>
          <w:szCs w:val="24"/>
          <w:lang w:val="en-GB" w:eastAsia="hu-HU"/>
        </w:rPr>
        <w:t>:</w:t>
      </w:r>
      <w:r w:rsidRPr="00BE54F2">
        <w:rPr>
          <w:rFonts w:ascii="Times New Roman" w:hAnsi="Times New Roman"/>
          <w:color w:val="222222"/>
          <w:sz w:val="24"/>
          <w:szCs w:val="24"/>
          <w:lang w:val="en-GB" w:eastAsia="hu-HU"/>
        </w:rPr>
        <w:t xml:space="preserve"> </w:t>
      </w:r>
      <w:r w:rsidRPr="00056329">
        <w:rPr>
          <w:rFonts w:ascii="Times New Roman" w:hAnsi="Times New Roman"/>
          <w:b/>
          <w:color w:val="222222"/>
          <w:sz w:val="24"/>
          <w:szCs w:val="24"/>
          <w:lang w:val="en-GB" w:eastAsia="hu-HU"/>
        </w:rPr>
        <w:t xml:space="preserve">Andrea </w:t>
      </w:r>
      <w:proofErr w:type="spellStart"/>
      <w:r w:rsidRPr="00056329">
        <w:rPr>
          <w:rFonts w:ascii="Times New Roman" w:hAnsi="Times New Roman"/>
          <w:b/>
          <w:color w:val="222222"/>
          <w:sz w:val="24"/>
          <w:szCs w:val="24"/>
          <w:lang w:val="en-GB" w:eastAsia="hu-HU"/>
        </w:rPr>
        <w:t>Gyulai</w:t>
      </w:r>
      <w:proofErr w:type="spellEnd"/>
      <w:r w:rsidRPr="00056329">
        <w:rPr>
          <w:rFonts w:ascii="Times New Roman" w:hAnsi="Times New Roman"/>
          <w:b/>
          <w:color w:val="222222"/>
          <w:sz w:val="24"/>
          <w:szCs w:val="24"/>
          <w:lang w:val="en-GB" w:eastAsia="hu-HU"/>
        </w:rPr>
        <w:t>-Schmidt</w:t>
      </w:r>
    </w:p>
    <w:p w:rsidR="00056329" w:rsidRPr="00ED588F" w:rsidRDefault="00056329" w:rsidP="00056329">
      <w:pPr>
        <w:spacing w:after="0" w:line="240" w:lineRule="auto"/>
        <w:rPr>
          <w:rFonts w:ascii="Arial" w:hAnsi="Arial" w:cs="Arial"/>
          <w:color w:val="222222"/>
          <w:sz w:val="24"/>
          <w:szCs w:val="24"/>
          <w:lang w:eastAsia="hu-HU"/>
        </w:rPr>
      </w:pPr>
      <w:proofErr w:type="spellStart"/>
      <w:r w:rsidRPr="00F02867">
        <w:rPr>
          <w:rFonts w:ascii="Times New Roman" w:hAnsi="Times New Roman"/>
          <w:b/>
          <w:sz w:val="24"/>
          <w:szCs w:val="24"/>
        </w:rPr>
        <w:t>Name</w:t>
      </w:r>
      <w:proofErr w:type="spellEnd"/>
      <w:r w:rsidRPr="00F02867">
        <w:rPr>
          <w:rFonts w:ascii="Times New Roman" w:hAnsi="Times New Roman"/>
          <w:b/>
          <w:sz w:val="24"/>
          <w:szCs w:val="24"/>
        </w:rPr>
        <w:t xml:space="preserve"> of </w:t>
      </w:r>
      <w:proofErr w:type="spellStart"/>
      <w:r w:rsidRPr="00F02867">
        <w:rPr>
          <w:rFonts w:ascii="Times New Roman" w:hAnsi="Times New Roman"/>
          <w:b/>
          <w:sz w:val="24"/>
          <w:szCs w:val="24"/>
        </w:rPr>
        <w:t>the</w:t>
      </w:r>
      <w:proofErr w:type="spellEnd"/>
      <w:r w:rsidRPr="00F02867">
        <w:rPr>
          <w:rFonts w:ascii="Times New Roman" w:hAnsi="Times New Roman"/>
          <w:b/>
          <w:sz w:val="24"/>
          <w:szCs w:val="24"/>
        </w:rPr>
        <w:t xml:space="preserve"> </w:t>
      </w:r>
      <w:proofErr w:type="spellStart"/>
      <w:r w:rsidRPr="00F02867">
        <w:rPr>
          <w:rFonts w:ascii="Times New Roman" w:hAnsi="Times New Roman"/>
          <w:b/>
          <w:sz w:val="24"/>
          <w:szCs w:val="24"/>
        </w:rPr>
        <w:t>course</w:t>
      </w:r>
      <w:proofErr w:type="spellEnd"/>
      <w:r w:rsidRPr="00F02867">
        <w:rPr>
          <w:rFonts w:ascii="Times New Roman" w:hAnsi="Times New Roman"/>
          <w:b/>
          <w:sz w:val="24"/>
          <w:szCs w:val="24"/>
        </w:rPr>
        <w:t xml:space="preserve">: </w:t>
      </w:r>
      <w:r w:rsidRPr="00ED588F">
        <w:rPr>
          <w:rFonts w:ascii="Times New Roman" w:hAnsi="Times New Roman"/>
          <w:b/>
          <w:bCs/>
          <w:color w:val="222222"/>
          <w:sz w:val="24"/>
          <w:szCs w:val="24"/>
          <w:lang w:val="en-GB" w:eastAsia="hu-HU"/>
        </w:rPr>
        <w:t>JDDO310XA0</w:t>
      </w:r>
      <w:r>
        <w:rPr>
          <w:rFonts w:ascii="Times New Roman" w:hAnsi="Times New Roman"/>
          <w:b/>
          <w:bCs/>
          <w:color w:val="222222"/>
          <w:sz w:val="24"/>
          <w:szCs w:val="24"/>
          <w:lang w:val="en-GB" w:eastAsia="hu-HU"/>
        </w:rPr>
        <w:t xml:space="preserve"> </w:t>
      </w:r>
      <w:r w:rsidRPr="00ED588F">
        <w:rPr>
          <w:rFonts w:ascii="Times New Roman" w:hAnsi="Times New Roman"/>
          <w:b/>
          <w:bCs/>
          <w:color w:val="222222"/>
          <w:sz w:val="24"/>
          <w:szCs w:val="24"/>
          <w:lang w:val="en-GB" w:eastAsia="hu-HU"/>
        </w:rPr>
        <w:t>Peculiarities of public contracts from a civil law perspective</w:t>
      </w:r>
    </w:p>
    <w:p w:rsidR="00056329" w:rsidRDefault="00056329" w:rsidP="00056329">
      <w:pPr>
        <w:spacing w:after="0" w:line="240" w:lineRule="auto"/>
        <w:rPr>
          <w:rFonts w:ascii="Arial" w:hAnsi="Arial" w:cs="Arial"/>
          <w:color w:val="222222"/>
          <w:sz w:val="24"/>
          <w:szCs w:val="24"/>
          <w:lang w:eastAsia="hu-HU"/>
        </w:rPr>
      </w:pPr>
    </w:p>
    <w:p w:rsidR="00056329" w:rsidRPr="00BE54F2" w:rsidRDefault="00056329" w:rsidP="00056329">
      <w:pPr>
        <w:spacing w:after="0" w:line="240" w:lineRule="auto"/>
        <w:rPr>
          <w:rFonts w:ascii="Arial" w:hAnsi="Arial" w:cs="Arial"/>
          <w:color w:val="222222"/>
          <w:sz w:val="24"/>
          <w:szCs w:val="24"/>
          <w:lang w:eastAsia="hu-HU"/>
        </w:rPr>
      </w:pP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b/>
          <w:bCs/>
          <w:color w:val="222222"/>
          <w:sz w:val="24"/>
          <w:szCs w:val="24"/>
          <w:lang w:val="en-GB" w:eastAsia="hu-HU"/>
        </w:rPr>
        <w:t>Subject description</w:t>
      </w:r>
    </w:p>
    <w:p w:rsidR="00056329" w:rsidRPr="00BE54F2" w:rsidRDefault="00056329" w:rsidP="00056329">
      <w:pPr>
        <w:spacing w:after="0" w:line="240" w:lineRule="auto"/>
        <w:jc w:val="both"/>
        <w:rPr>
          <w:rFonts w:ascii="Arial" w:hAnsi="Arial" w:cs="Arial"/>
          <w:color w:val="222222"/>
          <w:sz w:val="24"/>
          <w:szCs w:val="24"/>
          <w:lang w:eastAsia="hu-HU"/>
        </w:rPr>
      </w:pPr>
      <w:r w:rsidRPr="00BE54F2">
        <w:rPr>
          <w:rFonts w:ascii="Times New Roman" w:hAnsi="Times New Roman"/>
          <w:color w:val="222222"/>
          <w:sz w:val="24"/>
          <w:szCs w:val="24"/>
          <w:lang w:val="en-GB" w:eastAsia="hu-HU"/>
        </w:rPr>
        <w:t>Students will learn the civil law rules regarding public procurement, the specific requirements for the content of public contracts, the process of concluding contracts, change of subject, performance and amendment of contracts. In doing so, we present the points of connection that link public procurement and civil law contracts and that differ in nature due to their public procurement background.</w:t>
      </w:r>
    </w:p>
    <w:p w:rsidR="00056329" w:rsidRDefault="00056329" w:rsidP="00056329">
      <w:pPr>
        <w:spacing w:after="0" w:line="240" w:lineRule="auto"/>
        <w:rPr>
          <w:rFonts w:ascii="Times New Roman" w:hAnsi="Times New Roman"/>
          <w:color w:val="222222"/>
          <w:sz w:val="24"/>
          <w:szCs w:val="24"/>
          <w:lang w:val="en-GB" w:eastAsia="hu-HU"/>
        </w:rPr>
      </w:pPr>
      <w:r w:rsidRPr="00BE54F2">
        <w:rPr>
          <w:rFonts w:ascii="Times New Roman" w:hAnsi="Times New Roman"/>
          <w:color w:val="222222"/>
          <w:sz w:val="24"/>
          <w:szCs w:val="24"/>
          <w:lang w:val="en-GB" w:eastAsia="hu-HU"/>
        </w:rPr>
        <w:t> </w:t>
      </w:r>
    </w:p>
    <w:p w:rsidR="00056329" w:rsidRPr="00BE54F2" w:rsidRDefault="00056329" w:rsidP="00056329">
      <w:pPr>
        <w:spacing w:after="0" w:line="240" w:lineRule="auto"/>
        <w:rPr>
          <w:rFonts w:ascii="Arial" w:hAnsi="Arial" w:cs="Arial"/>
          <w:color w:val="222222"/>
          <w:sz w:val="24"/>
          <w:szCs w:val="24"/>
          <w:lang w:eastAsia="hu-HU"/>
        </w:rPr>
      </w:pP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b/>
          <w:bCs/>
          <w:color w:val="222222"/>
          <w:sz w:val="24"/>
          <w:szCs w:val="24"/>
          <w:lang w:val="en-GB" w:eastAsia="hu-HU"/>
        </w:rPr>
        <w:t>Topic overview</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1. Civil law interfaces of a public contract</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2. Specific rules on the award of public contracts (separation from other methods of awarding contracts)</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3. Failure to conclude the contract, applicable legal consequences</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4. Mandatory content of the public procurement contract, conditions of the amendment</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5. Ancillary obligations securing the contract</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6. Performance of the public contract</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7. The principle of publicity in the preparation, performance and amendment of the contract</w:t>
      </w:r>
    </w:p>
    <w:p w:rsidR="00056329" w:rsidRDefault="00056329" w:rsidP="00056329">
      <w:pPr>
        <w:spacing w:after="0" w:line="240" w:lineRule="auto"/>
        <w:rPr>
          <w:rFonts w:ascii="Times New Roman" w:hAnsi="Times New Roman"/>
          <w:color w:val="222222"/>
          <w:sz w:val="24"/>
          <w:szCs w:val="24"/>
          <w:lang w:val="en-GB" w:eastAsia="hu-HU"/>
        </w:rPr>
      </w:pPr>
      <w:r w:rsidRPr="00BE54F2">
        <w:rPr>
          <w:rFonts w:ascii="Times New Roman" w:hAnsi="Times New Roman"/>
          <w:color w:val="222222"/>
          <w:sz w:val="24"/>
          <w:szCs w:val="24"/>
          <w:lang w:val="en-GB" w:eastAsia="hu-HU"/>
        </w:rPr>
        <w:t> </w:t>
      </w:r>
    </w:p>
    <w:p w:rsidR="00056329" w:rsidRPr="00BE54F2" w:rsidRDefault="00056329" w:rsidP="00056329">
      <w:pPr>
        <w:spacing w:after="0" w:line="240" w:lineRule="auto"/>
        <w:rPr>
          <w:rFonts w:ascii="Arial" w:hAnsi="Arial" w:cs="Arial"/>
          <w:color w:val="222222"/>
          <w:sz w:val="24"/>
          <w:szCs w:val="24"/>
          <w:lang w:eastAsia="hu-HU"/>
        </w:rPr>
      </w:pP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b/>
          <w:bCs/>
          <w:color w:val="222222"/>
          <w:sz w:val="24"/>
          <w:szCs w:val="24"/>
          <w:lang w:val="en-GB" w:eastAsia="hu-HU"/>
        </w:rPr>
        <w:t>Required reading</w:t>
      </w:r>
    </w:p>
    <w:p w:rsidR="00056329" w:rsidRPr="00BE54F2" w:rsidRDefault="00056329" w:rsidP="00056329">
      <w:pPr>
        <w:spacing w:after="0" w:line="240" w:lineRule="auto"/>
        <w:rPr>
          <w:rFonts w:ascii="Arial" w:hAnsi="Arial" w:cs="Arial"/>
          <w:color w:val="222222"/>
          <w:sz w:val="24"/>
          <w:szCs w:val="24"/>
          <w:lang w:eastAsia="hu-HU"/>
        </w:rPr>
      </w:pPr>
      <w:r w:rsidRPr="00BE54F2">
        <w:rPr>
          <w:rFonts w:ascii="Times New Roman" w:hAnsi="Times New Roman"/>
          <w:color w:val="222222"/>
          <w:sz w:val="24"/>
          <w:szCs w:val="24"/>
          <w:lang w:val="en-GB" w:eastAsia="hu-HU"/>
        </w:rPr>
        <w:t>Act CXLIII of 2015 on Public Procurement:</w:t>
      </w:r>
    </w:p>
    <w:p w:rsidR="00056329" w:rsidRPr="00BE54F2" w:rsidRDefault="00056329" w:rsidP="00056329">
      <w:pPr>
        <w:spacing w:after="0" w:line="240" w:lineRule="auto"/>
        <w:rPr>
          <w:rFonts w:ascii="Arial" w:hAnsi="Arial" w:cs="Arial"/>
          <w:color w:val="222222"/>
          <w:sz w:val="24"/>
          <w:szCs w:val="24"/>
          <w:lang w:eastAsia="hu-HU"/>
        </w:rPr>
      </w:pPr>
      <w:proofErr w:type="spellStart"/>
      <w:r w:rsidRPr="00BE54F2">
        <w:rPr>
          <w:rFonts w:ascii="Times New Roman" w:hAnsi="Times New Roman"/>
          <w:color w:val="222222"/>
          <w:sz w:val="24"/>
          <w:szCs w:val="24"/>
          <w:lang w:val="en-GB" w:eastAsia="hu-HU"/>
        </w:rPr>
        <w:t>Artt</w:t>
      </w:r>
      <w:proofErr w:type="spellEnd"/>
      <w:r w:rsidRPr="00BE54F2">
        <w:rPr>
          <w:rFonts w:ascii="Times New Roman" w:hAnsi="Times New Roman"/>
          <w:color w:val="222222"/>
          <w:sz w:val="24"/>
          <w:szCs w:val="24"/>
          <w:lang w:val="en-GB" w:eastAsia="hu-HU"/>
        </w:rPr>
        <w:t>. (§§) 1-36 on the principles and general rules of procedure and</w:t>
      </w:r>
    </w:p>
    <w:p w:rsidR="00056329" w:rsidRPr="00BE54F2" w:rsidRDefault="00056329" w:rsidP="00056329">
      <w:pPr>
        <w:spacing w:after="0" w:line="240" w:lineRule="auto"/>
        <w:rPr>
          <w:rFonts w:ascii="Arial" w:hAnsi="Arial" w:cs="Arial"/>
          <w:color w:val="222222"/>
          <w:sz w:val="24"/>
          <w:szCs w:val="24"/>
          <w:lang w:eastAsia="hu-HU"/>
        </w:rPr>
      </w:pPr>
      <w:proofErr w:type="spellStart"/>
      <w:r w:rsidRPr="00BE54F2">
        <w:rPr>
          <w:rFonts w:ascii="Times New Roman" w:hAnsi="Times New Roman"/>
          <w:color w:val="222222"/>
          <w:sz w:val="24"/>
          <w:szCs w:val="24"/>
          <w:lang w:val="en-GB" w:eastAsia="hu-HU"/>
        </w:rPr>
        <w:t>Artt</w:t>
      </w:r>
      <w:proofErr w:type="spellEnd"/>
      <w:r w:rsidRPr="00BE54F2">
        <w:rPr>
          <w:rFonts w:ascii="Times New Roman" w:hAnsi="Times New Roman"/>
          <w:color w:val="222222"/>
          <w:sz w:val="24"/>
          <w:szCs w:val="24"/>
          <w:lang w:val="en-GB" w:eastAsia="hu-HU"/>
        </w:rPr>
        <w:t>. (§§) 130-143 on the provisions on contracts</w:t>
      </w:r>
    </w:p>
    <w:p w:rsidR="00056329" w:rsidRPr="00405982" w:rsidRDefault="00056329" w:rsidP="00056329">
      <w:pPr>
        <w:spacing w:after="0"/>
        <w:rPr>
          <w:rFonts w:ascii="Times New Roman" w:hAnsi="Times New Roman"/>
          <w:sz w:val="24"/>
          <w:szCs w:val="24"/>
        </w:rPr>
      </w:pPr>
      <w:r w:rsidRPr="00405982">
        <w:rPr>
          <w:rFonts w:ascii="Times New Roman" w:hAnsi="Times New Roman"/>
          <w:sz w:val="24"/>
          <w:szCs w:val="24"/>
        </w:rPr>
        <w:t>Gyulai-Schmidt, Andrea (</w:t>
      </w:r>
      <w:proofErr w:type="spellStart"/>
      <w:r w:rsidRPr="00405982">
        <w:rPr>
          <w:rFonts w:ascii="Times New Roman" w:hAnsi="Times New Roman"/>
          <w:sz w:val="24"/>
          <w:szCs w:val="24"/>
        </w:rPr>
        <w:t>szerk</w:t>
      </w:r>
      <w:proofErr w:type="spellEnd"/>
      <w:r w:rsidRPr="00405982">
        <w:rPr>
          <w:rFonts w:ascii="Times New Roman" w:hAnsi="Times New Roman"/>
          <w:sz w:val="24"/>
          <w:szCs w:val="24"/>
        </w:rPr>
        <w:t>.)</w:t>
      </w:r>
      <w:r>
        <w:rPr>
          <w:rFonts w:ascii="Times New Roman" w:hAnsi="Times New Roman"/>
          <w:sz w:val="24"/>
          <w:szCs w:val="24"/>
        </w:rPr>
        <w:t xml:space="preserve"> </w:t>
      </w:r>
      <w:r w:rsidRPr="00405982">
        <w:rPr>
          <w:rFonts w:ascii="Times New Roman" w:hAnsi="Times New Roman"/>
          <w:sz w:val="24"/>
          <w:szCs w:val="24"/>
        </w:rPr>
        <w:t>Közbeszerzések a fenntartható és innovatív fejlődés szolgálatában</w:t>
      </w:r>
      <w:r>
        <w:rPr>
          <w:rFonts w:ascii="Times New Roman" w:hAnsi="Times New Roman"/>
          <w:sz w:val="24"/>
          <w:szCs w:val="24"/>
        </w:rPr>
        <w:t xml:space="preserve"> </w:t>
      </w:r>
      <w:r w:rsidRPr="00405982">
        <w:rPr>
          <w:rFonts w:ascii="Times New Roman" w:hAnsi="Times New Roman"/>
          <w:sz w:val="24"/>
          <w:szCs w:val="24"/>
        </w:rPr>
        <w:t xml:space="preserve">Budapest, </w:t>
      </w:r>
      <w:proofErr w:type="gramStart"/>
      <w:r w:rsidRPr="00405982">
        <w:rPr>
          <w:rFonts w:ascii="Times New Roman" w:hAnsi="Times New Roman"/>
          <w:sz w:val="24"/>
          <w:szCs w:val="24"/>
        </w:rPr>
        <w:t>Magyarország :</w:t>
      </w:r>
      <w:proofErr w:type="gramEnd"/>
      <w:r w:rsidRPr="00405982">
        <w:rPr>
          <w:rFonts w:ascii="Times New Roman" w:hAnsi="Times New Roman"/>
          <w:sz w:val="24"/>
          <w:szCs w:val="24"/>
        </w:rPr>
        <w:t xml:space="preserve"> Pázmány Press (2015) , 297 p.</w:t>
      </w:r>
    </w:p>
    <w:p w:rsidR="00056329" w:rsidRPr="00405982" w:rsidRDefault="00056329" w:rsidP="00056329">
      <w:pPr>
        <w:spacing w:after="0"/>
        <w:rPr>
          <w:rFonts w:ascii="Times New Roman" w:hAnsi="Times New Roman"/>
          <w:sz w:val="24"/>
          <w:szCs w:val="24"/>
        </w:rPr>
      </w:pPr>
      <w:r w:rsidRPr="00405982">
        <w:rPr>
          <w:rFonts w:ascii="Times New Roman" w:hAnsi="Times New Roman"/>
          <w:sz w:val="24"/>
          <w:szCs w:val="24"/>
        </w:rPr>
        <w:t xml:space="preserve">ISBN: 9789633082560 Teljes </w:t>
      </w:r>
      <w:proofErr w:type="gramStart"/>
      <w:r w:rsidRPr="00405982">
        <w:rPr>
          <w:rFonts w:ascii="Times New Roman" w:hAnsi="Times New Roman"/>
          <w:sz w:val="24"/>
          <w:szCs w:val="24"/>
        </w:rPr>
        <w:t>dokumentum</w:t>
      </w:r>
      <w:proofErr w:type="gramEnd"/>
    </w:p>
    <w:p w:rsidR="00056329" w:rsidRPr="00151C60" w:rsidRDefault="00056329" w:rsidP="00056329">
      <w:pPr>
        <w:spacing w:after="0"/>
        <w:rPr>
          <w:rFonts w:ascii="Times New Roman" w:hAnsi="Times New Roman"/>
          <w:sz w:val="24"/>
          <w:szCs w:val="24"/>
        </w:rPr>
      </w:pPr>
      <w:r w:rsidRPr="00151C60">
        <w:rPr>
          <w:rFonts w:ascii="Times New Roman" w:hAnsi="Times New Roman"/>
          <w:sz w:val="24"/>
          <w:szCs w:val="24"/>
        </w:rPr>
        <w:t>Gyulai-Schmidt, Andrea</w:t>
      </w:r>
      <w:r>
        <w:rPr>
          <w:rFonts w:ascii="Times New Roman" w:hAnsi="Times New Roman"/>
          <w:sz w:val="24"/>
          <w:szCs w:val="24"/>
        </w:rPr>
        <w:t xml:space="preserve"> </w:t>
      </w:r>
      <w:r w:rsidRPr="00151C60">
        <w:rPr>
          <w:rFonts w:ascii="Times New Roman" w:hAnsi="Times New Roman"/>
          <w:sz w:val="24"/>
          <w:szCs w:val="24"/>
        </w:rPr>
        <w:t>Közös magánjogi elemek a megújult társasági jogban és a közbeszerzésben</w:t>
      </w:r>
      <w:r>
        <w:rPr>
          <w:rFonts w:ascii="Times New Roman" w:hAnsi="Times New Roman"/>
          <w:sz w:val="24"/>
          <w:szCs w:val="24"/>
        </w:rPr>
        <w:t xml:space="preserve"> </w:t>
      </w:r>
      <w:r w:rsidRPr="00151C60">
        <w:rPr>
          <w:rFonts w:ascii="Times New Roman" w:hAnsi="Times New Roman"/>
          <w:sz w:val="24"/>
          <w:szCs w:val="24"/>
        </w:rPr>
        <w:t>PÁZMÁNY LAW WORKING PAPERS 5</w:t>
      </w:r>
      <w:proofErr w:type="gramStart"/>
      <w:r w:rsidRPr="00151C60">
        <w:rPr>
          <w:rFonts w:ascii="Times New Roman" w:hAnsi="Times New Roman"/>
          <w:sz w:val="24"/>
          <w:szCs w:val="24"/>
        </w:rPr>
        <w:t>.:</w:t>
      </w:r>
      <w:proofErr w:type="gramEnd"/>
      <w:r w:rsidRPr="00151C60">
        <w:rPr>
          <w:rFonts w:ascii="Times New Roman" w:hAnsi="Times New Roman"/>
          <w:sz w:val="24"/>
          <w:szCs w:val="24"/>
        </w:rPr>
        <w:t xml:space="preserve"> 13. pp. 1</w:t>
      </w:r>
      <w:r>
        <w:rPr>
          <w:rFonts w:ascii="Times New Roman" w:hAnsi="Times New Roman"/>
          <w:sz w:val="24"/>
          <w:szCs w:val="24"/>
        </w:rPr>
        <w:t>–19.</w:t>
      </w:r>
      <w:r w:rsidRPr="00151C60">
        <w:rPr>
          <w:rFonts w:ascii="Times New Roman" w:hAnsi="Times New Roman"/>
          <w:sz w:val="24"/>
          <w:szCs w:val="24"/>
        </w:rPr>
        <w:t>, 19 p. (2014)</w:t>
      </w:r>
    </w:p>
    <w:p w:rsidR="003B5199" w:rsidRDefault="00056329"/>
    <w:sectPr w:rsidR="003B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329"/>
    <w:rsid w:val="00056329"/>
    <w:rsid w:val="002A47A1"/>
    <w:rsid w:val="00310CE4"/>
    <w:rsid w:val="003918AF"/>
    <w:rsid w:val="0077221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B693-5CB4-4E5C-97A6-1E5C6819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56329"/>
    <w:pPr>
      <w:spacing w:after="200" w:line="276" w:lineRule="auto"/>
    </w:pPr>
    <w:rPr>
      <w:rFonts w:ascii="Calibri" w:eastAsia="Times New Roman"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1385</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1</cp:revision>
  <dcterms:created xsi:type="dcterms:W3CDTF">2021-02-09T13:43:00Z</dcterms:created>
  <dcterms:modified xsi:type="dcterms:W3CDTF">2021-02-09T13:44:00Z</dcterms:modified>
</cp:coreProperties>
</file>