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28" w:rsidRPr="009E03A4" w:rsidRDefault="00530428" w:rsidP="00530428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E03A4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Marcel Szabó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530428" w:rsidRPr="0005393E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="00AE1DAE" w:rsidRPr="00AE1DAE">
        <w:rPr>
          <w:rFonts w:ascii="Times New Roman" w:hAnsi="Times New Roman" w:cs="Times New Roman"/>
          <w:b/>
          <w:sz w:val="24"/>
          <w:szCs w:val="24"/>
          <w:lang w:eastAsia="hu-HU"/>
        </w:rPr>
        <w:t>JDDO300XA0</w:t>
      </w:r>
      <w:r w:rsidR="00AE1DAE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05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Recent </w:t>
      </w:r>
      <w:proofErr w:type="spellStart"/>
      <w:r w:rsidRPr="0005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Developments</w:t>
      </w:r>
      <w:proofErr w:type="spellEnd"/>
      <w:r w:rsidRPr="000539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in European Law 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0428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Purpose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course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5C0B53">
        <w:rPr>
          <w:rFonts w:ascii="Times New Roman" w:hAnsi="Times New Roman" w:cs="Times New Roman"/>
          <w:bCs/>
          <w:sz w:val="24"/>
          <w:szCs w:val="24"/>
          <w:lang w:val="en-US"/>
        </w:rPr>
        <w:t>The purpose of the course is to provide participants with an up-to-date picture of new developments in the law of the European Union (including the new legislation as well as the most important case-law of the Court of Justice of the European Union with Hungarian relevance) in order to broaden students’ knowledge on the field, with attention to their specific areas of research.</w:t>
      </w:r>
      <w:proofErr w:type="gramEnd"/>
      <w:r w:rsidRPr="005C0B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The course also touches upon how the Hungarian Constitutional Court deals with the law of the European Union.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0428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Main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topics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course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National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constitutional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courts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EU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issues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case-law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Constitutional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Court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Hungary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3. Public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international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law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case-law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Court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Justice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European Union,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with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special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regard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to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Sólyom (Hungary v.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Slovakia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</w:t>
      </w:r>
      <w:proofErr w:type="spellEnd"/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4. Human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rights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European Union: European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Convention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Human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Rights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Charter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Fundamental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Rights</w:t>
      </w:r>
      <w:proofErr w:type="spellEnd"/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5.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Intra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-EU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investment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arbitration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after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Achmea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ruling</w:t>
      </w:r>
      <w:proofErr w:type="spellEnd"/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Hungarian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before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Court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Justice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European Union (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preliminary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ruling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procedures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and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infringement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procedures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Environmental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issues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in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case-law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Court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Justice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of </w:t>
      </w:r>
      <w:proofErr w:type="spellStart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the</w:t>
      </w:r>
      <w:proofErr w:type="spellEnd"/>
      <w:r w:rsidRPr="005C0B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European Union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Required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and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recommended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readings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(in </w:t>
      </w:r>
      <w:proofErr w:type="spellStart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Hungarian</w:t>
      </w:r>
      <w:proofErr w:type="spellEnd"/>
      <w:r w:rsidRPr="005C0B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and in English):</w:t>
      </w:r>
    </w:p>
    <w:p w:rsidR="00530428" w:rsidRPr="005C0B53" w:rsidRDefault="00530428" w:rsidP="0053042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Bárd Petra: Is László Sólyom </w:t>
      </w:r>
      <w:proofErr w:type="gram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European Citizen? Hungary versus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Slovak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Republic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Hungarian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Yearbook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of International Law and European Law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 1 (2013), pp. 145-162.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Blutman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László: Az Európai Unió joga a gyakorlatban – a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Brexit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után. HVG ORAC, 2020.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Geert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Van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Calster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–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Leonie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Reins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: EU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Environmental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Law. Edward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Elgar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Publishing, 2017.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Gyeney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Laura – Szabó Marcel: A magyar alkotmányjog az Európai Unióban. In: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Csink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Lóránt –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Schanda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Balázs – Varga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Zs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 András (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szerk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.): A magyar közjog alapintézményei, Pázmány Press, 2020, pp. 143-192.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Korom Veronika: The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Impact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Achmea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Ruling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on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Intra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-EU BIT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Investment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Arbitration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– </w:t>
      </w:r>
      <w:proofErr w:type="gram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</w:t>
      </w:r>
      <w:proofErr w:type="gram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Hungarian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Perspectice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Hungarian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Yearbook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of International Law and European Law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>. 8 (2020), pp. 53-74.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Koen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Lenaerts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: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Limits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on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Limitations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: The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Essence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of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Fundamental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Rights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in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EU.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German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 xml:space="preserve"> Law Journal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. 20 (2019),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Special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Issue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 6, pp. 779-793.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Szabados Tamás: Az Európai Unió Bíróságának </w:t>
      </w:r>
      <w:proofErr w:type="spellStart"/>
      <w:r w:rsidRPr="00530428">
        <w:rPr>
          <w:rFonts w:ascii="Times New Roman" w:hAnsi="Times New Roman" w:cs="Times New Roman"/>
          <w:sz w:val="21"/>
          <w:szCs w:val="21"/>
          <w:lang w:eastAsia="hu-HU"/>
        </w:rPr>
        <w:t>Achmea</w:t>
      </w:r>
      <w:proofErr w:type="spellEnd"/>
      <w:r w:rsidRPr="00530428">
        <w:rPr>
          <w:rFonts w:ascii="Times New Roman" w:hAnsi="Times New Roman" w:cs="Times New Roman"/>
          <w:sz w:val="21"/>
          <w:szCs w:val="21"/>
          <w:lang w:eastAsia="hu-HU"/>
        </w:rPr>
        <w:t xml:space="preserve">-döntése. </w:t>
      </w:r>
      <w:r w:rsidRPr="00530428">
        <w:rPr>
          <w:rFonts w:ascii="Times New Roman" w:hAnsi="Times New Roman" w:cs="Times New Roman"/>
          <w:i/>
          <w:iCs/>
          <w:sz w:val="21"/>
          <w:szCs w:val="21"/>
          <w:lang w:eastAsia="hu-HU"/>
        </w:rPr>
        <w:t>Jogesetek Magyarázata</w:t>
      </w:r>
      <w:r w:rsidRPr="00530428">
        <w:rPr>
          <w:rFonts w:ascii="Times New Roman" w:hAnsi="Times New Roman" w:cs="Times New Roman"/>
          <w:sz w:val="21"/>
          <w:szCs w:val="21"/>
          <w:lang w:eastAsia="hu-HU"/>
        </w:rPr>
        <w:t>, 2019/1. pp. 29-36.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</w:rPr>
      </w:pPr>
      <w:r w:rsidRPr="00530428">
        <w:rPr>
          <w:rFonts w:ascii="Times New Roman" w:hAnsi="Times New Roman" w:cs="Times New Roman"/>
          <w:sz w:val="21"/>
          <w:szCs w:val="21"/>
        </w:rPr>
        <w:t xml:space="preserve">Szabó Marcel: Minek nevezzelek? A nemzetközi szerződéses eredetű uniós jog az Alkotmánybíróság gyakorlatában. </w:t>
      </w:r>
      <w:r w:rsidRPr="00530428">
        <w:rPr>
          <w:rFonts w:ascii="Times New Roman" w:hAnsi="Times New Roman" w:cs="Times New Roman"/>
          <w:i/>
          <w:iCs/>
          <w:sz w:val="21"/>
          <w:szCs w:val="21"/>
        </w:rPr>
        <w:t>Közjogi Szemle</w:t>
      </w:r>
      <w:r w:rsidRPr="00530428">
        <w:rPr>
          <w:rFonts w:ascii="Times New Roman" w:hAnsi="Times New Roman" w:cs="Times New Roman"/>
          <w:sz w:val="21"/>
          <w:szCs w:val="21"/>
        </w:rPr>
        <w:t>, 2020/3. pp. 19-28.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</w:rPr>
      </w:pPr>
      <w:r w:rsidRPr="00530428">
        <w:rPr>
          <w:rFonts w:ascii="Times New Roman" w:hAnsi="Times New Roman" w:cs="Times New Roman"/>
          <w:sz w:val="21"/>
          <w:szCs w:val="21"/>
        </w:rPr>
        <w:lastRenderedPageBreak/>
        <w:t xml:space="preserve">Szabó Marcel: General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Principles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of Law in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Practice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of International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Courts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and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the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European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Court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of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Justice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</w:rPr>
        <w:t>Hungarian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i/>
          <w:iCs/>
          <w:sz w:val="21"/>
          <w:szCs w:val="21"/>
        </w:rPr>
        <w:t>Yearbook</w:t>
      </w:r>
      <w:proofErr w:type="spellEnd"/>
      <w:r w:rsidRPr="00530428">
        <w:rPr>
          <w:rFonts w:ascii="Times New Roman" w:hAnsi="Times New Roman" w:cs="Times New Roman"/>
          <w:i/>
          <w:iCs/>
          <w:sz w:val="21"/>
          <w:szCs w:val="21"/>
        </w:rPr>
        <w:t xml:space="preserve"> of International Law and European Law</w:t>
      </w:r>
      <w:r w:rsidRPr="00530428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Vol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>. 4 (2016), pp. 135-153.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</w:rPr>
      </w:pP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1"/>
          <w:szCs w:val="21"/>
          <w:lang w:eastAsia="hu-HU"/>
        </w:rPr>
      </w:pPr>
      <w:proofErr w:type="spellStart"/>
      <w:r w:rsidRPr="00530428">
        <w:rPr>
          <w:rFonts w:ascii="Times New Roman" w:hAnsi="Times New Roman" w:cs="Times New Roman"/>
          <w:sz w:val="21"/>
          <w:szCs w:val="21"/>
        </w:rPr>
        <w:t>Sionaidh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Douglas-Scott –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Nicholas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Hatzis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eds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.): Research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Handbook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on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EU Law and Human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Rights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. Edward </w:t>
      </w:r>
      <w:proofErr w:type="spellStart"/>
      <w:r w:rsidRPr="00530428">
        <w:rPr>
          <w:rFonts w:ascii="Times New Roman" w:hAnsi="Times New Roman" w:cs="Times New Roman"/>
          <w:sz w:val="21"/>
          <w:szCs w:val="21"/>
        </w:rPr>
        <w:t>Elgar</w:t>
      </w:r>
      <w:proofErr w:type="spellEnd"/>
      <w:r w:rsidRPr="00530428">
        <w:rPr>
          <w:rFonts w:ascii="Times New Roman" w:hAnsi="Times New Roman" w:cs="Times New Roman"/>
          <w:sz w:val="21"/>
          <w:szCs w:val="21"/>
        </w:rPr>
        <w:t xml:space="preserve"> Publishing, 2019.</w:t>
      </w:r>
    </w:p>
    <w:p w:rsidR="00530428" w:rsidRPr="00530428" w:rsidRDefault="00530428" w:rsidP="0053042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5199" w:rsidRPr="00530428" w:rsidRDefault="00AE1DAE" w:rsidP="00530428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3B5199" w:rsidRPr="00530428" w:rsidSect="005304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28"/>
    <w:rsid w:val="002A47A1"/>
    <w:rsid w:val="00310CE4"/>
    <w:rsid w:val="003918AF"/>
    <w:rsid w:val="00530428"/>
    <w:rsid w:val="00772213"/>
    <w:rsid w:val="009F7C46"/>
    <w:rsid w:val="00A3107C"/>
    <w:rsid w:val="00A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526C0"/>
  <w15:chartTrackingRefBased/>
  <w15:docId w15:val="{221BB637-7D8D-4F03-B0B4-459748B2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304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5304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2021-03-05T10:38:00Z</dcterms:created>
  <dcterms:modified xsi:type="dcterms:W3CDTF">2021-03-05T10:43:00Z</dcterms:modified>
</cp:coreProperties>
</file>