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42" w:rsidRPr="006F37E2" w:rsidRDefault="005D0542" w:rsidP="005D05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>András</w:t>
      </w:r>
      <w:proofErr w:type="spellEnd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>Zs</w:t>
      </w:r>
      <w:proofErr w:type="spellEnd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>Varga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542" w:rsidRPr="00D228B2" w:rsidRDefault="005D0542" w:rsidP="00D228B2">
      <w:pPr>
        <w:rPr>
          <w:b/>
          <w:lang w:val="en-US"/>
        </w:rPr>
      </w:pPr>
      <w:proofErr w:type="spellStart"/>
      <w:r w:rsidRPr="006F37E2">
        <w:rPr>
          <w:b/>
        </w:rPr>
        <w:t>Name</w:t>
      </w:r>
      <w:proofErr w:type="spellEnd"/>
      <w:r w:rsidRPr="006F37E2">
        <w:rPr>
          <w:b/>
        </w:rPr>
        <w:t xml:space="preserve"> of </w:t>
      </w:r>
      <w:proofErr w:type="spellStart"/>
      <w:r w:rsidRPr="006F37E2">
        <w:rPr>
          <w:b/>
        </w:rPr>
        <w:t>the</w:t>
      </w:r>
      <w:proofErr w:type="spellEnd"/>
      <w:r w:rsidRPr="006F37E2">
        <w:rPr>
          <w:b/>
        </w:rPr>
        <w:t xml:space="preserve"> </w:t>
      </w:r>
      <w:proofErr w:type="spellStart"/>
      <w:r w:rsidRPr="006F37E2">
        <w:rPr>
          <w:b/>
        </w:rPr>
        <w:t>course</w:t>
      </w:r>
      <w:proofErr w:type="spellEnd"/>
      <w:r w:rsidRPr="006F37E2">
        <w:rPr>
          <w:b/>
        </w:rPr>
        <w:t>:</w:t>
      </w:r>
      <w:r w:rsidRPr="009C2D4E">
        <w:rPr>
          <w:lang w:val="en-US"/>
        </w:rPr>
        <w:t xml:space="preserve"> </w:t>
      </w:r>
      <w:r w:rsidR="008B393D" w:rsidRPr="00F4458D">
        <w:rPr>
          <w:b/>
        </w:rPr>
        <w:t>JDDO323XA0</w:t>
      </w:r>
      <w:r w:rsidR="00D228B2">
        <w:rPr>
          <w:b/>
        </w:rPr>
        <w:t xml:space="preserve"> </w:t>
      </w:r>
      <w:r w:rsidR="00D228B2" w:rsidRPr="00D228B2">
        <w:rPr>
          <w:b/>
          <w:lang w:val="en-GB"/>
        </w:rPr>
        <w:t>The rule of law and the control of exercising public authority</w:t>
      </w:r>
    </w:p>
    <w:p w:rsidR="008B393D" w:rsidRDefault="008B393D" w:rsidP="005D0542">
      <w:pPr>
        <w:rPr>
          <w:b/>
          <w:u w:val="single"/>
          <w:lang w:val="en-US"/>
        </w:rPr>
      </w:pPr>
      <w:bookmarkStart w:id="0" w:name="_GoBack"/>
      <w:bookmarkEnd w:id="0"/>
    </w:p>
    <w:p w:rsidR="003051F1" w:rsidRPr="00A5640E" w:rsidRDefault="003051F1" w:rsidP="003051F1">
      <w:pPr>
        <w:pStyle w:val="Szvegtrzs"/>
        <w:jc w:val="both"/>
        <w:rPr>
          <w:b/>
          <w:lang w:val="en-US"/>
        </w:rPr>
      </w:pPr>
      <w:r w:rsidRPr="00A5640E">
        <w:rPr>
          <w:b/>
          <w:lang w:val="en-US"/>
        </w:rPr>
        <w:t xml:space="preserve">Purpose of education: </w:t>
      </w:r>
    </w:p>
    <w:p w:rsidR="008B393D" w:rsidRDefault="003051F1" w:rsidP="003051F1">
      <w:pPr>
        <w:jc w:val="both"/>
        <w:rPr>
          <w:b/>
          <w:u w:val="single"/>
          <w:lang w:val="en-US"/>
        </w:rPr>
      </w:pPr>
      <w:r>
        <w:rPr>
          <w:b/>
          <w:lang w:val="en-US"/>
        </w:rPr>
        <w:t xml:space="preserve">This course </w:t>
      </w:r>
      <w:r>
        <w:rPr>
          <w:lang w:val="en-US"/>
        </w:rPr>
        <w:t xml:space="preserve">following the path began by the compulsory course: Good Governance. Its </w:t>
      </w:r>
      <w:r>
        <w:rPr>
          <w:b/>
          <w:bCs/>
          <w:lang w:val="en-US"/>
        </w:rPr>
        <w:t xml:space="preserve">aim </w:t>
      </w:r>
      <w:r>
        <w:rPr>
          <w:lang w:val="en-US"/>
        </w:rPr>
        <w:t xml:space="preserve">is on one hand presentation of a deeper approach of rule of law as value of the common European heritage and of the Hungarian constitutional identity.  On the other </w:t>
      </w:r>
      <w:proofErr w:type="gramStart"/>
      <w:r>
        <w:rPr>
          <w:lang w:val="en-US"/>
        </w:rPr>
        <w:t>hand</w:t>
      </w:r>
      <w:proofErr w:type="gramEnd"/>
      <w:r>
        <w:rPr>
          <w:lang w:val="en-US"/>
        </w:rPr>
        <w:t xml:space="preserve"> the course presents in details the instruments of control of public power (judicial review, protection of fundamental rights by the ombudsmen, protection of public interests by the prosecution service).</w:t>
      </w:r>
    </w:p>
    <w:p w:rsidR="008B393D" w:rsidRPr="00A01630" w:rsidRDefault="008B393D" w:rsidP="005D0542">
      <w:pPr>
        <w:rPr>
          <w:b/>
          <w:u w:val="single"/>
          <w:lang w:val="en-US"/>
        </w:rPr>
      </w:pPr>
    </w:p>
    <w:p w:rsidR="005D0542" w:rsidRDefault="008B393D" w:rsidP="005D0542">
      <w:pPr>
        <w:rPr>
          <w:b/>
          <w:lang w:val="en-US"/>
        </w:rPr>
      </w:pPr>
      <w:r>
        <w:rPr>
          <w:b/>
          <w:lang w:val="en-US"/>
        </w:rPr>
        <w:t>Topics</w:t>
      </w:r>
      <w:r w:rsidR="005D0542">
        <w:rPr>
          <w:b/>
          <w:lang w:val="en-US"/>
        </w:rPr>
        <w:t>: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1. Role of law in the history of Europe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2. Roots of primacy of law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3. Concepts of rule of law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4. Constitutionalism and rule of law in Hungary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5. The normative concept of the rule of law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6. Rule of law and the Executive branch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7. Rule of law and judicial control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8. Rule of law and protection of rights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9. Rule of law and public interest</w:t>
      </w:r>
    </w:p>
    <w:p w:rsidR="008B393D" w:rsidRPr="008B393D" w:rsidRDefault="008B393D" w:rsidP="008B39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393D">
        <w:rPr>
          <w:rFonts w:ascii="Times New Roman" w:hAnsi="Times New Roman" w:cs="Times New Roman"/>
          <w:sz w:val="24"/>
          <w:szCs w:val="24"/>
          <w:lang w:val="en-US"/>
        </w:rPr>
        <w:tab/>
        <w:t>10. Counterbalances</w:t>
      </w:r>
    </w:p>
    <w:p w:rsidR="005D0542" w:rsidRPr="00A01630" w:rsidRDefault="005D0542" w:rsidP="008B393D">
      <w:pPr>
        <w:rPr>
          <w:lang w:val="en-US"/>
        </w:rPr>
      </w:pPr>
    </w:p>
    <w:p w:rsidR="005D0542" w:rsidRDefault="005D0542" w:rsidP="005D0542"/>
    <w:p w:rsidR="005D0542" w:rsidRDefault="005D0542" w:rsidP="005D0542">
      <w:pPr>
        <w:rPr>
          <w:b/>
        </w:rPr>
      </w:pPr>
      <w:proofErr w:type="spellStart"/>
      <w:r w:rsidRPr="009C2D4E">
        <w:rPr>
          <w:b/>
        </w:rPr>
        <w:t>Bibliography</w:t>
      </w:r>
      <w:proofErr w:type="spellEnd"/>
      <w:r w:rsidRPr="009C2D4E">
        <w:rPr>
          <w:b/>
        </w:rPr>
        <w:t xml:space="preserve">: </w:t>
      </w:r>
    </w:p>
    <w:p w:rsidR="008B393D" w:rsidRPr="008B393D" w:rsidRDefault="008B393D" w:rsidP="008B393D">
      <w:pPr>
        <w:suppressAutoHyphens w:val="0"/>
        <w:spacing w:before="100" w:beforeAutospacing="1" w:after="100" w:afterAutospacing="1"/>
        <w:rPr>
          <w:lang w:eastAsia="hu-HU"/>
        </w:rPr>
      </w:pPr>
      <w:r w:rsidRPr="008B393D">
        <w:rPr>
          <w:lang w:eastAsia="hu-HU"/>
        </w:rPr>
        <w:t xml:space="preserve">LIPTÁK Laura Martina: Ügyészség és közérdek. In: </w:t>
      </w:r>
      <w:proofErr w:type="spellStart"/>
      <w:r w:rsidRPr="008B393D">
        <w:rPr>
          <w:lang w:eastAsia="hu-HU"/>
        </w:rPr>
        <w:t>Lapsánszky</w:t>
      </w:r>
      <w:proofErr w:type="spellEnd"/>
      <w:r w:rsidRPr="008B393D">
        <w:rPr>
          <w:lang w:eastAsia="hu-HU"/>
        </w:rPr>
        <w:t xml:space="preserve"> András, </w:t>
      </w:r>
      <w:proofErr w:type="spellStart"/>
      <w:r w:rsidRPr="008B393D">
        <w:rPr>
          <w:lang w:eastAsia="hu-HU"/>
        </w:rPr>
        <w:t>Smuk</w:t>
      </w:r>
      <w:proofErr w:type="spellEnd"/>
      <w:r w:rsidRPr="008B393D">
        <w:rPr>
          <w:lang w:eastAsia="hu-HU"/>
        </w:rPr>
        <w:t xml:space="preserve"> Péter, Szigeti Péter (</w:t>
      </w:r>
      <w:proofErr w:type="spellStart"/>
      <w:r w:rsidRPr="008B393D">
        <w:rPr>
          <w:lang w:eastAsia="hu-HU"/>
        </w:rPr>
        <w:t>szerk</w:t>
      </w:r>
      <w:proofErr w:type="spellEnd"/>
      <w:r w:rsidRPr="008B393D">
        <w:rPr>
          <w:lang w:eastAsia="hu-HU"/>
        </w:rPr>
        <w:t xml:space="preserve">.): Köz/érdek. Elméleti és szakmai megoldások egy </w:t>
      </w:r>
      <w:proofErr w:type="gramStart"/>
      <w:r w:rsidRPr="008B393D">
        <w:rPr>
          <w:lang w:eastAsia="hu-HU"/>
        </w:rPr>
        <w:t>klasszikus</w:t>
      </w:r>
      <w:proofErr w:type="gramEnd"/>
      <w:r w:rsidRPr="008B393D">
        <w:rPr>
          <w:lang w:eastAsia="hu-HU"/>
        </w:rPr>
        <w:t xml:space="preserve"> problémára. Budapest: Gondolat, 2017., 123-142.</w:t>
      </w:r>
    </w:p>
    <w:p w:rsidR="008B393D" w:rsidRPr="008B393D" w:rsidRDefault="008B393D" w:rsidP="008B393D">
      <w:pPr>
        <w:suppressAutoHyphens w:val="0"/>
        <w:spacing w:before="100" w:beforeAutospacing="1"/>
        <w:rPr>
          <w:lang w:eastAsia="hu-HU"/>
        </w:rPr>
      </w:pPr>
      <w:r w:rsidRPr="008B393D">
        <w:rPr>
          <w:lang w:eastAsia="hu-HU"/>
        </w:rPr>
        <w:t>CSINK Lóránt, SCHANDA Balázs (</w:t>
      </w:r>
      <w:proofErr w:type="spellStart"/>
      <w:r w:rsidRPr="008B393D">
        <w:rPr>
          <w:lang w:eastAsia="hu-HU"/>
        </w:rPr>
        <w:t>szerk</w:t>
      </w:r>
      <w:proofErr w:type="spellEnd"/>
      <w:r w:rsidRPr="008B393D">
        <w:rPr>
          <w:lang w:eastAsia="hu-HU"/>
        </w:rPr>
        <w:t>.): Összehasonlító módszer az alkotmányjogban. Budapest: Pázmány Press, 2017., 85-109.</w:t>
      </w:r>
    </w:p>
    <w:p w:rsidR="008B393D" w:rsidRPr="008B393D" w:rsidRDefault="008B393D" w:rsidP="008B393D">
      <w:pPr>
        <w:suppressAutoHyphens w:val="0"/>
        <w:spacing w:before="100" w:beforeAutospacing="1" w:after="100" w:afterAutospacing="1"/>
        <w:rPr>
          <w:lang w:eastAsia="hu-HU"/>
        </w:rPr>
      </w:pPr>
      <w:r w:rsidRPr="008B393D">
        <w:rPr>
          <w:lang w:eastAsia="hu-HU"/>
        </w:rPr>
        <w:t xml:space="preserve">VARGA </w:t>
      </w:r>
      <w:proofErr w:type="spellStart"/>
      <w:r w:rsidRPr="008B393D">
        <w:rPr>
          <w:lang w:eastAsia="hu-HU"/>
        </w:rPr>
        <w:t>Zs</w:t>
      </w:r>
      <w:proofErr w:type="spellEnd"/>
      <w:r w:rsidRPr="008B393D">
        <w:rPr>
          <w:lang w:eastAsia="hu-HU"/>
        </w:rPr>
        <w:t xml:space="preserve">. András: </w:t>
      </w:r>
      <w:r w:rsidRPr="008B393D">
        <w:rPr>
          <w:i/>
          <w:iCs/>
          <w:lang w:eastAsia="hu-HU"/>
        </w:rPr>
        <w:t xml:space="preserve">Ombudsman, ügyész, magánjogi felelősség. Alternatív közigazgatási </w:t>
      </w:r>
      <w:proofErr w:type="gramStart"/>
      <w:r w:rsidRPr="008B393D">
        <w:rPr>
          <w:i/>
          <w:iCs/>
          <w:lang w:eastAsia="hu-HU"/>
        </w:rPr>
        <w:t>kontroll</w:t>
      </w:r>
      <w:proofErr w:type="gramEnd"/>
      <w:r w:rsidRPr="008B393D">
        <w:rPr>
          <w:i/>
          <w:iCs/>
          <w:lang w:eastAsia="hu-HU"/>
        </w:rPr>
        <w:t xml:space="preserve"> Magyarországon</w:t>
      </w:r>
      <w:r w:rsidRPr="008B393D">
        <w:rPr>
          <w:lang w:eastAsia="hu-HU"/>
        </w:rPr>
        <w:t>, Budapest: PPKE JÁK, 2012.</w:t>
      </w:r>
    </w:p>
    <w:p w:rsidR="008B393D" w:rsidRPr="008B393D" w:rsidRDefault="008B393D" w:rsidP="008B393D">
      <w:pPr>
        <w:suppressAutoHyphens w:val="0"/>
        <w:spacing w:before="100" w:beforeAutospacing="1" w:after="100" w:afterAutospacing="1"/>
        <w:rPr>
          <w:lang w:eastAsia="hu-HU"/>
        </w:rPr>
      </w:pPr>
      <w:r w:rsidRPr="008B393D">
        <w:rPr>
          <w:lang w:eastAsia="hu-HU"/>
        </w:rPr>
        <w:t xml:space="preserve">VARGA </w:t>
      </w:r>
      <w:proofErr w:type="spellStart"/>
      <w:r w:rsidRPr="008B393D">
        <w:rPr>
          <w:lang w:eastAsia="hu-HU"/>
        </w:rPr>
        <w:t>Zs</w:t>
      </w:r>
      <w:proofErr w:type="spellEnd"/>
      <w:r w:rsidRPr="008B393D">
        <w:rPr>
          <w:lang w:eastAsia="hu-HU"/>
        </w:rPr>
        <w:t xml:space="preserve">. András: </w:t>
      </w:r>
      <w:r w:rsidRPr="008B393D">
        <w:rPr>
          <w:i/>
          <w:iCs/>
          <w:lang w:eastAsia="hu-HU"/>
        </w:rPr>
        <w:t xml:space="preserve">Eszményből bálvány? A joguralom dogmatikája. </w:t>
      </w:r>
      <w:r w:rsidRPr="008B393D">
        <w:rPr>
          <w:lang w:eastAsia="hu-HU"/>
        </w:rPr>
        <w:t>Budapest: Századvég, 2015.</w:t>
      </w:r>
    </w:p>
    <w:p w:rsidR="008B393D" w:rsidRPr="009C2D4E" w:rsidRDefault="008B393D" w:rsidP="005D0542">
      <w:pPr>
        <w:rPr>
          <w:b/>
        </w:rPr>
      </w:pPr>
    </w:p>
    <w:sectPr w:rsidR="008B393D" w:rsidRPr="009C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42"/>
    <w:rsid w:val="003051F1"/>
    <w:rsid w:val="005D0542"/>
    <w:rsid w:val="008B393D"/>
    <w:rsid w:val="009C4DC6"/>
    <w:rsid w:val="00D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34F9"/>
  <w15:chartTrackingRefBased/>
  <w15:docId w15:val="{ABDA45B8-5736-4CF5-AE89-08752BE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0542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8B393D"/>
    <w:pPr>
      <w:suppressAutoHyphens w:val="0"/>
      <w:spacing w:before="100" w:beforeAutospacing="1" w:after="100" w:afterAutospacing="1"/>
    </w:pPr>
    <w:rPr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B393D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39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4</cp:revision>
  <dcterms:created xsi:type="dcterms:W3CDTF">2021-03-01T10:36:00Z</dcterms:created>
  <dcterms:modified xsi:type="dcterms:W3CDTF">2021-03-01T10:39:00Z</dcterms:modified>
</cp:coreProperties>
</file>