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CC" w:rsidRPr="00C679F0" w:rsidRDefault="001406CC" w:rsidP="001406C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67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Oktató: Dr. Békés Ádám</w:t>
      </w:r>
    </w:p>
    <w:p w:rsidR="001406CC" w:rsidRPr="00C679F0" w:rsidRDefault="001406CC" w:rsidP="001406CC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67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 JDDO313XA0 Az Európai Uniónak a büntetőjog egységesítésére való törekvése</w:t>
      </w: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6CC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</w:rPr>
        <w:t>Oktatás célja:</w:t>
      </w: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>Az egyre fejlődő és összetettebb nemzetközi bűnözés elleni hatékony fellépés igénye egy egységes alapokon nyugvó ún. európai büntetőjog kialakítása iránti igényhez vezetett. Ezt a folyamatot jelentősen felgyorsította egyrészt az Unió büntetőjogi tárgyú normaalkotási hatásköreit kibővítő Lisszaboni Szerződés hatályba lépése – megteremtve a lehetőséget a kibővülő büntetőjogi tárgyú irányelvek megalkotására –, másrészt az egyre szélesebb hatáskörrel rendelkező uniós intézmények (EUROJUST, EPPO, OLAF) által megszervezett, közös uniós fellépés iránti elvárás a bűncselekmények elkövetőivel szemben. A tárgy célja, hogy a hallgatók megismerjék a hatályban levő uniós büntetőjogi tárgyú szabályozást, különös tekintettel a büntetőjogi tárgyú irányelvekre, valamint az Európai Unió büntetőjogi szempontú egységesítési törekvéseiben szerepet játszó uniós intézményeket.</w:t>
      </w: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6CC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</w:rPr>
        <w:t>Tartalma:</w:t>
      </w: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 xml:space="preserve">Az Európai Unió sajátos felépítéséből és működési rendszeréből eredő, büntetőjog specifikus jellegzetességek, különös tekintettel az uniós intézményeknek (OLAF, EPPO, EUROJUST) és a közösségi jog fejlődésének bemutatása, ismertetve a legújabb uniós normákat, szabályozási </w:t>
      </w:r>
      <w:proofErr w:type="gramStart"/>
      <w:r w:rsidRPr="00C679F0">
        <w:rPr>
          <w:rFonts w:ascii="Times New Roman" w:hAnsi="Times New Roman" w:cs="Times New Roman"/>
          <w:sz w:val="24"/>
          <w:szCs w:val="24"/>
        </w:rPr>
        <w:t>struktúrát</w:t>
      </w:r>
      <w:proofErr w:type="gramEnd"/>
      <w:r w:rsidRPr="00C679F0">
        <w:rPr>
          <w:rFonts w:ascii="Times New Roman" w:hAnsi="Times New Roman" w:cs="Times New Roman"/>
          <w:sz w:val="24"/>
          <w:szCs w:val="24"/>
        </w:rPr>
        <w:t>, az Unió büntetőjogi tárgyú irányelveit.</w:t>
      </w: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6CC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</w:rPr>
        <w:t>Tananyag, irodalomjegyzék:</w:t>
      </w: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 xml:space="preserve">BÉKÉS Ádám: Nemzetek feletti büntetőjog az Európai Unióban. Budapest, HVG-ORAC, 2015. </w:t>
      </w:r>
    </w:p>
    <w:p w:rsidR="001406CC" w:rsidRPr="00C679F0" w:rsidRDefault="001406CC" w:rsidP="0014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>Az előadások anyaga.</w:t>
      </w:r>
    </w:p>
    <w:p w:rsidR="003B5199" w:rsidRDefault="001406CC">
      <w:bookmarkStart w:id="0" w:name="_GoBack"/>
      <w:bookmarkEnd w:id="0"/>
    </w:p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CC"/>
    <w:rsid w:val="001406CC"/>
    <w:rsid w:val="002A47A1"/>
    <w:rsid w:val="00310CE4"/>
    <w:rsid w:val="003918AF"/>
    <w:rsid w:val="00772213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6FDC-EDFE-44FB-B62A-2C50C17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6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2021-02-16T10:30:00Z</dcterms:created>
  <dcterms:modified xsi:type="dcterms:W3CDTF">2021-02-16T10:31:00Z</dcterms:modified>
</cp:coreProperties>
</file>