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F9" w:rsidRPr="00407056" w:rsidRDefault="00A723F9" w:rsidP="00407056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Oktató: Dr. </w:t>
      </w:r>
      <w:proofErr w:type="spellStart"/>
      <w:r w:rsidRPr="00407056">
        <w:rPr>
          <w:rFonts w:ascii="Times New Roman" w:hAnsi="Times New Roman" w:cs="Times New Roman"/>
          <w:b/>
          <w:sz w:val="24"/>
          <w:szCs w:val="24"/>
          <w:lang w:eastAsia="hu-HU"/>
        </w:rPr>
        <w:t>Frivaldszky</w:t>
      </w:r>
      <w:proofErr w:type="spellEnd"/>
      <w:r w:rsidRPr="004070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János</w:t>
      </w:r>
    </w:p>
    <w:p w:rsidR="00A723F9" w:rsidRPr="00407056" w:rsidRDefault="00A723F9" w:rsidP="00407056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b/>
          <w:sz w:val="24"/>
          <w:szCs w:val="24"/>
          <w:lang w:eastAsia="hu-HU"/>
        </w:rPr>
        <w:t>Tárgy kódja, neve: JDDO227XA0 Jogfilozófia</w:t>
      </w:r>
    </w:p>
    <w:p w:rsidR="00407056" w:rsidRDefault="00407056" w:rsidP="00A723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23F9" w:rsidRPr="00407056" w:rsidRDefault="00A723F9" w:rsidP="0040705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sz w:val="24"/>
          <w:szCs w:val="24"/>
          <w:lang w:eastAsia="hu-HU"/>
        </w:rPr>
        <w:t>Tartalma:</w:t>
      </w:r>
    </w:p>
    <w:p w:rsidR="00A723F9" w:rsidRPr="00407056" w:rsidRDefault="00A723F9" w:rsidP="0040705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ötelező tárgy keretében a </w:t>
      </w:r>
      <w:proofErr w:type="gram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doktorandusz hallgató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proofErr w:type="gram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a jog természetjogi megalapozásának, illetve a jog és az erkölcs kapcsolatának kortárs tudományos megközelítésmódjait tekintik át, egyúttal értékelve is azokat. Ez egyrészről jogfilozófiai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érdések tárgyalását jelenti, másrészt olyan jogintézmények és jogi jelenségek vizsgálatát, amelyekre történő kortárs jogi </w:t>
      </w:r>
      <w:proofErr w:type="gram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reflexió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proofErr w:type="gram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jól szemléltetik a jog és az erkölcs kapcsolatát érintő szemléleti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ülönbségeket az egyes irányzatokban. Ezen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ívül megvizsgáljuk és helyes jogfilozófiai szemléletből </w:t>
      </w:r>
      <w:proofErr w:type="spell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kritikailag</w:t>
      </w:r>
      <w:proofErr w:type="spell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értékeljü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egyes kiemelt jogi területek jellemző jogelveinek, általában jogi szemléletmódjának filozófiai antropológiai, társadalomfilozófiai és erkölcsi alapjait. Egyúttal a helyes (természet)jogi megközelítésből fakadó elméleti </w:t>
      </w:r>
      <w:proofErr w:type="gram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korrekció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proofErr w:type="gram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szükségességét s indokait, valamint azok adott esetben levonható gyakorlati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övetkezményeit is igyekszik e kurzus </w:t>
      </w:r>
      <w:proofErr w:type="spellStart"/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>örüljárni</w:t>
      </w:r>
      <w:proofErr w:type="spell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. Továbbá a jogi érvelésben </w:t>
      </w:r>
      <w:r w:rsidRPr="00407056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ívánjuk a </w:t>
      </w:r>
      <w:proofErr w:type="gram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klasszikus</w:t>
      </w:r>
      <w:proofErr w:type="gram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dialektika és retorika eszközeinek helyét és szerepét megtalálni az egyes jogterületeken. </w:t>
      </w:r>
    </w:p>
    <w:p w:rsidR="00407056" w:rsidRDefault="00407056" w:rsidP="0040705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23F9" w:rsidRPr="00407056" w:rsidRDefault="00A723F9" w:rsidP="00407056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7056">
        <w:rPr>
          <w:rFonts w:ascii="Times New Roman" w:hAnsi="Times New Roman" w:cs="Times New Roman"/>
          <w:sz w:val="24"/>
          <w:szCs w:val="24"/>
          <w:lang w:eastAsia="hu-HU"/>
        </w:rPr>
        <w:t>A doktoranduszoknak egy szerzői íves terjedelmű dolgozatban kell alkalmazniuk a saját kutatási területeiken a tanultakat.</w:t>
      </w:r>
    </w:p>
    <w:p w:rsidR="00407056" w:rsidRDefault="00407056" w:rsidP="004070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723F9" w:rsidRPr="00407056" w:rsidRDefault="00A723F9" w:rsidP="00407056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056">
        <w:rPr>
          <w:rFonts w:ascii="Times New Roman" w:hAnsi="Times New Roman" w:cs="Times New Roman"/>
          <w:sz w:val="24"/>
          <w:szCs w:val="24"/>
        </w:rPr>
        <w:t>Irodalom:</w:t>
      </w:r>
    </w:p>
    <w:p w:rsidR="00A723F9" w:rsidRPr="00FD6512" w:rsidRDefault="00A723F9" w:rsidP="0040705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07056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407056">
        <w:rPr>
          <w:rFonts w:ascii="Times New Roman" w:hAnsi="Times New Roman" w:cs="Times New Roman"/>
          <w:sz w:val="24"/>
          <w:szCs w:val="24"/>
          <w:lang w:eastAsia="hu-HU"/>
        </w:rPr>
        <w:t xml:space="preserve"> János </w:t>
      </w:r>
      <w:proofErr w:type="gramStart"/>
      <w:r w:rsidRPr="0040705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40705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jog- és a politikai filozófia erkölcsi alapjai</w:t>
      </w:r>
      <w:r w:rsidRPr="00407056">
        <w:rPr>
          <w:rFonts w:ascii="Times New Roman" w:hAnsi="Times New Roman" w:cs="Times New Roman"/>
          <w:sz w:val="24"/>
          <w:szCs w:val="24"/>
          <w:lang w:eastAsia="hu-HU"/>
        </w:rPr>
        <w:t>. Budapest, Pázmány Press,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2014.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Természetjog és emberi jogok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PPKE JÁ</w:t>
      </w:r>
      <w:r w:rsidRPr="00FD6512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, 2010.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Jog a személyközi viszonyokban – az olasz jogfilozófia nyomdokain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Pázmány Press, 2012.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 (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Természetjog – szöveggyűjtemény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Budapest, Szent István Társulat, 2006.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 jog- és a politikai filozófia erkölcsi alapjai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 Budapest, Pázmány Press, 2014.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Tanulmányok a jog erkölcsi alapjairól – emberi méltóság, szabad </w:t>
      </w:r>
      <w:r w:rsidRPr="00FD6512">
        <w:rPr>
          <w:rFonts w:ascii="Times New Roman" w:hAnsi="Times New Roman" w:cs="Times New Roman"/>
          <w:i/>
          <w:iCs/>
          <w:color w:val="003D79"/>
          <w:sz w:val="24"/>
          <w:szCs w:val="24"/>
          <w:lang w:eastAsia="hu-HU"/>
        </w:rPr>
        <w:t>vas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árnap, uzsora, pénzügyi világválság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Pázmány Press, 2015.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János, </w:t>
      </w:r>
      <w:r w:rsidRPr="00FD6512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önczöl Miklóssal: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Dialektika, retorika és jogászi érvelés a klasszikusok nyomán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Pázmány Press, 2015, 157-188.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Jó kormányzás és a </w:t>
      </w:r>
      <w:r w:rsidRPr="00FD6512">
        <w:rPr>
          <w:rFonts w:ascii="Times New Roman" w:hAnsi="Times New Roman" w:cs="Times New Roman"/>
          <w:i/>
          <w:iCs/>
          <w:color w:val="003D79"/>
          <w:sz w:val="24"/>
          <w:szCs w:val="24"/>
          <w:lang w:eastAsia="hu-HU"/>
        </w:rPr>
        <w:t>k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özjó, politikai és jogfilozófiai szemszögből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Pázmány Press, 2016.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 Jog és igazságosság a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Caritas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veritate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enciklikában</w:t>
      </w:r>
      <w:proofErr w:type="gram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 In Orosz András Lóránt –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Ujházi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Lóránd (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.):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Egyházi intézmények jogi szabályozása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L’Harmattan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Kiadó, Sapientia Szerzetesi Hittudományi Főiskola, 2012. 157-202.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 A politikai véleménynyilvánítás szükségessége, joga és felelőssége a </w:t>
      </w:r>
      <w:r w:rsidRPr="00FD6512">
        <w:rPr>
          <w:rFonts w:ascii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özjó és a jó kormányzás szemszögéből Eszmetörténeti elemzések tükrében.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In Medias Res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, 2016/2, 297–314.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János: A modern politikafelfogás háborús logikája és annak válsága az első világháborúban. In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Frivaldszky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János – 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Tussay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 Ákos (</w:t>
      </w:r>
      <w:proofErr w:type="spellStart"/>
      <w:r w:rsidRPr="00FD6512">
        <w:rPr>
          <w:rFonts w:ascii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FD6512">
        <w:rPr>
          <w:rFonts w:ascii="Times New Roman" w:hAnsi="Times New Roman" w:cs="Times New Roman"/>
          <w:sz w:val="24"/>
          <w:szCs w:val="24"/>
          <w:lang w:eastAsia="hu-HU"/>
        </w:rPr>
        <w:t xml:space="preserve">.): </w:t>
      </w:r>
      <w:r w:rsidRPr="00FD6512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 Természetjog napja II. – konferenciatanulmányok</w:t>
      </w:r>
      <w:r w:rsidRPr="00FD6512">
        <w:rPr>
          <w:rFonts w:ascii="Times New Roman" w:hAnsi="Times New Roman" w:cs="Times New Roman"/>
          <w:sz w:val="24"/>
          <w:szCs w:val="24"/>
          <w:lang w:eastAsia="hu-HU"/>
        </w:rPr>
        <w:t>. Budapest, Pázmány Press, 2019. 81-119.</w:t>
      </w:r>
    </w:p>
    <w:p w:rsidR="00A723F9" w:rsidRPr="00FD6512" w:rsidRDefault="00A723F9" w:rsidP="00FD651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723F9" w:rsidRDefault="00A723F9"/>
    <w:sectPr w:rsidR="00A7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9"/>
    <w:rsid w:val="002A47A1"/>
    <w:rsid w:val="00407056"/>
    <w:rsid w:val="00772213"/>
    <w:rsid w:val="00A723F9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70A"/>
  <w15:chartTrackingRefBased/>
  <w15:docId w15:val="{FAFA887E-5F52-43EE-A3F6-47AF427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D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3</cp:revision>
  <dcterms:created xsi:type="dcterms:W3CDTF">2021-02-03T12:01:00Z</dcterms:created>
  <dcterms:modified xsi:type="dcterms:W3CDTF">2021-02-03T14:49:00Z</dcterms:modified>
</cp:coreProperties>
</file>