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EAB" w:rsidRDefault="00E93EAB" w:rsidP="00E93EAB">
      <w:pPr>
        <w:spacing w:after="200" w:line="276" w:lineRule="auto"/>
        <w:rPr>
          <w:rFonts w:ascii="Times New Roman Bold"/>
          <w:b/>
          <w:sz w:val="24"/>
          <w:szCs w:val="24"/>
          <w:u w:val="single"/>
          <w:lang w:val="en-US"/>
        </w:rPr>
      </w:pPr>
      <w:bookmarkStart w:id="0" w:name="_GoBack"/>
      <w:bookmarkEnd w:id="0"/>
    </w:p>
    <w:p w:rsidR="00E93EAB" w:rsidRPr="00E93EAB" w:rsidRDefault="00E93EAB" w:rsidP="00E93EAB">
      <w:pPr>
        <w:pStyle w:val="Cm"/>
        <w:rPr>
          <w:sz w:val="32"/>
          <w:szCs w:val="32"/>
          <w:shd w:val="clear" w:color="auto" w:fill="FFFFFF"/>
        </w:rPr>
      </w:pPr>
      <w:r w:rsidRPr="00E93EAB">
        <w:rPr>
          <w:sz w:val="32"/>
          <w:szCs w:val="32"/>
          <w:shd w:val="clear" w:color="auto" w:fill="FFFFFF"/>
        </w:rPr>
        <w:t>JDSI-EUA 2120</w:t>
      </w:r>
    </w:p>
    <w:p w:rsidR="00E93EAB" w:rsidRPr="000164D3" w:rsidRDefault="00E93EAB" w:rsidP="00E93EAB">
      <w:pPr>
        <w:spacing w:after="200" w:line="276" w:lineRule="auto"/>
        <w:rPr>
          <w:rFonts w:ascii="Times New Roman Bold" w:eastAsia="Times New Roman Bold" w:hAnsi="Times New Roman Bold" w:cs="Times New Roman Bold"/>
          <w:sz w:val="24"/>
          <w:szCs w:val="24"/>
          <w:u w:val="single"/>
        </w:rPr>
      </w:pPr>
      <w:r w:rsidRPr="00735DF6">
        <w:rPr>
          <w:rFonts w:ascii="Times New Roman Bold"/>
          <w:b/>
          <w:sz w:val="24"/>
          <w:szCs w:val="24"/>
          <w:u w:val="single"/>
          <w:lang w:val="en-US"/>
        </w:rPr>
        <w:t>Relationship between EU and National Law</w:t>
      </w:r>
      <w:r w:rsidRPr="000164D3">
        <w:rPr>
          <w:rFonts w:ascii="Times New Roman Bold"/>
          <w:sz w:val="24"/>
          <w:szCs w:val="24"/>
          <w:u w:val="single"/>
          <w:lang w:val="en-US"/>
        </w:rPr>
        <w:t xml:space="preserve">   </w:t>
      </w:r>
    </w:p>
    <w:p w:rsidR="00E93EAB" w:rsidRPr="00735DF6" w:rsidRDefault="00E93EAB" w:rsidP="00E93EAB">
      <w:pPr>
        <w:rPr>
          <w:rFonts w:ascii="Times New Roman Bold" w:eastAsia="Times New Roman Bold" w:hAnsi="Times New Roman Bold" w:cs="Times New Roman Bold"/>
          <w:b/>
          <w:sz w:val="24"/>
          <w:szCs w:val="24"/>
        </w:rPr>
      </w:pPr>
      <w:r w:rsidRPr="00735DF6">
        <w:rPr>
          <w:rFonts w:ascii="Times New Roman Bold"/>
          <w:b/>
          <w:sz w:val="24"/>
          <w:szCs w:val="24"/>
          <w:lang w:val="en-US"/>
        </w:rPr>
        <w:t>Total number of lectures: 12 hours</w:t>
      </w:r>
    </w:p>
    <w:p w:rsidR="00E93EAB" w:rsidRPr="00735DF6" w:rsidRDefault="00E93EAB" w:rsidP="00E93EAB">
      <w:pPr>
        <w:rPr>
          <w:rFonts w:ascii="Times New Roman Bold" w:eastAsia="Times New Roman Bold" w:hAnsi="Times New Roman Bold" w:cs="Times New Roman Bold"/>
          <w:b/>
          <w:sz w:val="24"/>
          <w:szCs w:val="24"/>
        </w:rPr>
      </w:pPr>
      <w:proofErr w:type="spellStart"/>
      <w:r w:rsidRPr="00735DF6">
        <w:rPr>
          <w:rFonts w:ascii="Times New Roman Bold"/>
          <w:b/>
          <w:sz w:val="24"/>
          <w:szCs w:val="24"/>
        </w:rPr>
        <w:t>Credits</w:t>
      </w:r>
      <w:proofErr w:type="spellEnd"/>
      <w:r w:rsidRPr="00735DF6">
        <w:rPr>
          <w:rFonts w:ascii="Times New Roman Bold"/>
          <w:b/>
          <w:sz w:val="24"/>
          <w:szCs w:val="24"/>
        </w:rPr>
        <w:t xml:space="preserve">: 6 </w:t>
      </w:r>
      <w:proofErr w:type="spellStart"/>
      <w:r w:rsidRPr="00735DF6">
        <w:rPr>
          <w:rFonts w:ascii="Times New Roman Bold"/>
          <w:b/>
          <w:sz w:val="24"/>
          <w:szCs w:val="24"/>
        </w:rPr>
        <w:t>credits</w:t>
      </w:r>
      <w:proofErr w:type="spellEnd"/>
    </w:p>
    <w:p w:rsidR="00E93EAB" w:rsidRPr="00735DF6" w:rsidRDefault="00E93EAB" w:rsidP="00E93EAB">
      <w:pPr>
        <w:rPr>
          <w:rFonts w:ascii="Times New Roman Bold" w:eastAsia="Times New Roman Bold" w:hAnsi="Times New Roman Bold" w:cs="Times New Roman Bold"/>
          <w:b/>
          <w:sz w:val="24"/>
          <w:szCs w:val="24"/>
        </w:rPr>
      </w:pPr>
      <w:r w:rsidRPr="00735DF6">
        <w:rPr>
          <w:rFonts w:ascii="Times New Roman Bold"/>
          <w:b/>
          <w:sz w:val="24"/>
          <w:szCs w:val="24"/>
          <w:lang w:val="en-US"/>
        </w:rPr>
        <w:t>Examining:</w:t>
      </w:r>
      <w:r w:rsidRPr="00735DF6">
        <w:rPr>
          <w:rFonts w:ascii="Times New Roman Bold"/>
          <w:b/>
          <w:strike/>
          <w:sz w:val="24"/>
          <w:szCs w:val="24"/>
        </w:rPr>
        <w:t xml:space="preserve"> </w:t>
      </w:r>
      <w:r w:rsidRPr="00735DF6">
        <w:rPr>
          <w:rFonts w:ascii="Times New Roman Bold"/>
          <w:b/>
          <w:sz w:val="24"/>
          <w:szCs w:val="24"/>
          <w:lang w:val="en-US"/>
        </w:rPr>
        <w:t>exam, final examination</w:t>
      </w:r>
    </w:p>
    <w:p w:rsidR="00E93EAB" w:rsidRPr="00735DF6" w:rsidRDefault="00E93EAB" w:rsidP="00E93EAB">
      <w:pPr>
        <w:rPr>
          <w:rFonts w:ascii="Times New Roman Bold" w:eastAsia="Times New Roman Bold" w:hAnsi="Times New Roman Bold" w:cs="Times New Roman Bold"/>
          <w:b/>
          <w:sz w:val="24"/>
          <w:szCs w:val="24"/>
        </w:rPr>
      </w:pPr>
      <w:r w:rsidRPr="00735DF6">
        <w:rPr>
          <w:rFonts w:ascii="Times New Roman Bold"/>
          <w:b/>
          <w:sz w:val="24"/>
          <w:szCs w:val="24"/>
          <w:lang w:val="en-US"/>
        </w:rPr>
        <w:t xml:space="preserve">Lecturer: </w:t>
      </w:r>
      <w:proofErr w:type="gramStart"/>
      <w:r w:rsidRPr="00735DF6">
        <w:rPr>
          <w:rFonts w:ascii="Times New Roman Bold"/>
          <w:b/>
          <w:sz w:val="24"/>
          <w:szCs w:val="24"/>
          <w:lang w:val="en-US"/>
        </w:rPr>
        <w:t>dr</w:t>
      </w:r>
      <w:proofErr w:type="gramEnd"/>
      <w:r w:rsidRPr="00735DF6">
        <w:rPr>
          <w:rFonts w:ascii="Times New Roman Bold"/>
          <w:b/>
          <w:sz w:val="24"/>
          <w:szCs w:val="24"/>
          <w:lang w:val="en-US"/>
        </w:rPr>
        <w:t xml:space="preserve">. Allan F. Tatham / dr. </w:t>
      </w:r>
      <w:proofErr w:type="spellStart"/>
      <w:r w:rsidRPr="00735DF6">
        <w:rPr>
          <w:rFonts w:ascii="Times New Roman Bold"/>
          <w:b/>
          <w:sz w:val="24"/>
          <w:szCs w:val="24"/>
          <w:lang w:val="en-US"/>
        </w:rPr>
        <w:t>Kov</w:t>
      </w:r>
      <w:proofErr w:type="spellEnd"/>
      <w:r w:rsidRPr="00735DF6">
        <w:rPr>
          <w:b/>
          <w:sz w:val="24"/>
          <w:szCs w:val="24"/>
        </w:rPr>
        <w:t>á</w:t>
      </w:r>
      <w:r w:rsidRPr="00735DF6">
        <w:rPr>
          <w:rFonts w:ascii="Times New Roman Bold"/>
          <w:b/>
          <w:sz w:val="24"/>
          <w:szCs w:val="24"/>
        </w:rPr>
        <w:t>cs, Gy</w:t>
      </w:r>
      <w:r w:rsidRPr="00735DF6">
        <w:rPr>
          <w:b/>
          <w:sz w:val="24"/>
          <w:szCs w:val="24"/>
        </w:rPr>
        <w:t>ö</w:t>
      </w:r>
      <w:r w:rsidRPr="00735DF6">
        <w:rPr>
          <w:rFonts w:ascii="Times New Roman Bold"/>
          <w:b/>
          <w:sz w:val="24"/>
          <w:szCs w:val="24"/>
        </w:rPr>
        <w:t>rgy</w:t>
      </w:r>
    </w:p>
    <w:p w:rsidR="00E93EAB" w:rsidRPr="00735DF6" w:rsidRDefault="00E93EAB" w:rsidP="00E93EAB">
      <w:pPr>
        <w:rPr>
          <w:b/>
          <w:sz w:val="24"/>
          <w:szCs w:val="24"/>
        </w:rPr>
      </w:pPr>
    </w:p>
    <w:p w:rsidR="00E93EAB" w:rsidRPr="00735DF6" w:rsidRDefault="00E93EAB" w:rsidP="00E93EAB">
      <w:pPr>
        <w:rPr>
          <w:rFonts w:ascii="Times New Roman Bold" w:eastAsia="Times New Roman Bold" w:hAnsi="Times New Roman Bold" w:cs="Times New Roman Bold"/>
          <w:b/>
          <w:sz w:val="24"/>
          <w:szCs w:val="24"/>
        </w:rPr>
      </w:pPr>
      <w:r w:rsidRPr="00735DF6">
        <w:rPr>
          <w:rFonts w:ascii="Times New Roman Bold"/>
          <w:b/>
          <w:sz w:val="24"/>
          <w:szCs w:val="24"/>
          <w:lang w:val="en-US"/>
        </w:rPr>
        <w:t>Themes:</w:t>
      </w:r>
    </w:p>
    <w:p w:rsidR="00E93EAB" w:rsidRPr="000164D3" w:rsidRDefault="00E93EAB" w:rsidP="00E93EAB">
      <w:pPr>
        <w:spacing w:after="200" w:line="276" w:lineRule="auto"/>
        <w:rPr>
          <w:sz w:val="24"/>
          <w:szCs w:val="24"/>
        </w:rPr>
      </w:pPr>
    </w:p>
    <w:p w:rsidR="00E93EAB" w:rsidRPr="000164D3" w:rsidRDefault="00E93EAB" w:rsidP="00E93EAB">
      <w:pPr>
        <w:spacing w:line="360" w:lineRule="auto"/>
        <w:jc w:val="both"/>
        <w:rPr>
          <w:sz w:val="24"/>
          <w:szCs w:val="24"/>
        </w:rPr>
      </w:pPr>
      <w:r w:rsidRPr="000164D3">
        <w:rPr>
          <w:sz w:val="24"/>
          <w:szCs w:val="24"/>
          <w:lang w:val="en-US"/>
        </w:rPr>
        <w:t>The Court</w:t>
      </w:r>
      <w:r w:rsidRPr="000164D3">
        <w:rPr>
          <w:sz w:val="24"/>
          <w:szCs w:val="24"/>
        </w:rPr>
        <w:t xml:space="preserve"> of </w:t>
      </w:r>
      <w:proofErr w:type="spellStart"/>
      <w:r w:rsidRPr="000164D3">
        <w:rPr>
          <w:sz w:val="24"/>
          <w:szCs w:val="24"/>
        </w:rPr>
        <w:t>Justice</w:t>
      </w:r>
      <w:proofErr w:type="spellEnd"/>
      <w:r w:rsidRPr="000164D3">
        <w:rPr>
          <w:sz w:val="24"/>
          <w:szCs w:val="24"/>
        </w:rPr>
        <w:t xml:space="preserve"> of </w:t>
      </w:r>
      <w:proofErr w:type="spellStart"/>
      <w:r w:rsidRPr="000164D3">
        <w:rPr>
          <w:sz w:val="24"/>
          <w:szCs w:val="24"/>
        </w:rPr>
        <w:t>the</w:t>
      </w:r>
      <w:proofErr w:type="spellEnd"/>
      <w:r w:rsidRPr="000164D3">
        <w:rPr>
          <w:sz w:val="24"/>
          <w:szCs w:val="24"/>
        </w:rPr>
        <w:t xml:space="preserve"> European Union</w:t>
      </w:r>
      <w:r w:rsidRPr="000164D3">
        <w:rPr>
          <w:sz w:val="24"/>
          <w:szCs w:val="24"/>
          <w:lang w:val="en-US"/>
        </w:rPr>
        <w:t xml:space="preserve"> requires that member states obey before EU law and before the practice of the </w:t>
      </w:r>
      <w:r w:rsidRPr="000164D3">
        <w:rPr>
          <w:sz w:val="24"/>
          <w:szCs w:val="24"/>
        </w:rPr>
        <w:t>CJEU</w:t>
      </w:r>
      <w:r w:rsidRPr="000164D3">
        <w:rPr>
          <w:sz w:val="24"/>
          <w:szCs w:val="24"/>
          <w:lang w:val="en-US"/>
        </w:rPr>
        <w:t xml:space="preserve">. This </w:t>
      </w:r>
      <w:proofErr w:type="spellStart"/>
      <w:r w:rsidRPr="000164D3">
        <w:rPr>
          <w:sz w:val="24"/>
          <w:szCs w:val="24"/>
        </w:rPr>
        <w:t>principle</w:t>
      </w:r>
      <w:proofErr w:type="spellEnd"/>
      <w:r w:rsidRPr="000164D3">
        <w:rPr>
          <w:sz w:val="24"/>
          <w:szCs w:val="24"/>
          <w:lang w:val="en-US"/>
        </w:rPr>
        <w:t xml:space="preserve"> of supremacy of EU law over national law has not been accepted by all the member states. The most sensitive question is whether EU law is supreme towards national constitutions as well. The aim of this course is to present the different answers of the EU member states to the constitutional challenge of the European integration.</w:t>
      </w:r>
    </w:p>
    <w:p w:rsidR="00E93EAB" w:rsidRPr="000164D3" w:rsidRDefault="00E93EAB" w:rsidP="00E93EAB">
      <w:pPr>
        <w:spacing w:line="360" w:lineRule="auto"/>
        <w:jc w:val="both"/>
        <w:rPr>
          <w:sz w:val="24"/>
          <w:szCs w:val="24"/>
        </w:rPr>
      </w:pPr>
    </w:p>
    <w:p w:rsidR="00E93EAB" w:rsidRPr="000164D3" w:rsidRDefault="00E93EAB" w:rsidP="00E93EAB">
      <w:pPr>
        <w:widowControl w:val="0"/>
        <w:numPr>
          <w:ilvl w:val="0"/>
          <w:numId w:val="1"/>
        </w:numPr>
        <w:tabs>
          <w:tab w:val="left" w:pos="360"/>
          <w:tab w:val="left" w:pos="1440"/>
        </w:tabs>
        <w:suppressAutoHyphens/>
        <w:ind w:left="600" w:firstLine="120"/>
        <w:jc w:val="both"/>
        <w:rPr>
          <w:sz w:val="24"/>
          <w:szCs w:val="24"/>
        </w:rPr>
      </w:pPr>
      <w:r w:rsidRPr="000164D3">
        <w:rPr>
          <w:sz w:val="24"/>
          <w:szCs w:val="24"/>
          <w:lang w:val="en-US"/>
        </w:rPr>
        <w:t>(a) Relationship between EU and national law</w:t>
      </w:r>
    </w:p>
    <w:p w:rsidR="00E93EAB" w:rsidRPr="000164D3" w:rsidRDefault="00E93EAB" w:rsidP="00E93EAB">
      <w:pPr>
        <w:jc w:val="both"/>
        <w:rPr>
          <w:sz w:val="22"/>
          <w:szCs w:val="22"/>
        </w:rPr>
      </w:pPr>
    </w:p>
    <w:p w:rsidR="00E93EAB" w:rsidRPr="000164D3" w:rsidRDefault="00E93EAB" w:rsidP="00E93EAB">
      <w:pPr>
        <w:spacing w:line="360" w:lineRule="auto"/>
        <w:jc w:val="both"/>
        <w:rPr>
          <w:sz w:val="24"/>
          <w:szCs w:val="24"/>
        </w:rPr>
      </w:pPr>
      <w:r w:rsidRPr="000164D3">
        <w:rPr>
          <w:sz w:val="24"/>
          <w:szCs w:val="24"/>
          <w:lang w:val="en-US"/>
        </w:rPr>
        <w:t xml:space="preserve">1. Major principles determining the relationship of national law </w:t>
      </w:r>
      <w:proofErr w:type="spellStart"/>
      <w:r w:rsidRPr="000164D3">
        <w:rPr>
          <w:sz w:val="24"/>
          <w:szCs w:val="24"/>
        </w:rPr>
        <w:t>with</w:t>
      </w:r>
      <w:proofErr w:type="spellEnd"/>
      <w:r w:rsidRPr="000164D3">
        <w:rPr>
          <w:sz w:val="24"/>
          <w:szCs w:val="24"/>
          <w:lang w:val="en-US"/>
        </w:rPr>
        <w:t xml:space="preserve"> international law</w:t>
      </w:r>
      <w:r w:rsidRPr="000164D3">
        <w:rPr>
          <w:sz w:val="24"/>
          <w:szCs w:val="24"/>
        </w:rPr>
        <w:t xml:space="preserve"> and </w:t>
      </w:r>
      <w:proofErr w:type="spellStart"/>
      <w:r w:rsidRPr="000164D3">
        <w:rPr>
          <w:sz w:val="24"/>
          <w:szCs w:val="24"/>
        </w:rPr>
        <w:t>with</w:t>
      </w:r>
      <w:proofErr w:type="spellEnd"/>
      <w:r w:rsidRPr="000164D3">
        <w:rPr>
          <w:sz w:val="24"/>
          <w:szCs w:val="24"/>
        </w:rPr>
        <w:t xml:space="preserve"> EU </w:t>
      </w:r>
      <w:proofErr w:type="spellStart"/>
      <w:r w:rsidRPr="000164D3">
        <w:rPr>
          <w:sz w:val="24"/>
          <w:szCs w:val="24"/>
        </w:rPr>
        <w:t>law</w:t>
      </w:r>
      <w:proofErr w:type="spellEnd"/>
    </w:p>
    <w:p w:rsidR="00E93EAB" w:rsidRPr="000164D3" w:rsidRDefault="00E93EAB" w:rsidP="00E93EAB">
      <w:pPr>
        <w:spacing w:line="360" w:lineRule="auto"/>
        <w:jc w:val="both"/>
        <w:rPr>
          <w:sz w:val="24"/>
          <w:szCs w:val="24"/>
        </w:rPr>
      </w:pPr>
      <w:r w:rsidRPr="000164D3">
        <w:rPr>
          <w:sz w:val="24"/>
          <w:szCs w:val="24"/>
          <w:lang w:val="en-US"/>
        </w:rPr>
        <w:t>2. Theory of constitutional tolerance (</w:t>
      </w:r>
      <w:r w:rsidRPr="000164D3">
        <w:rPr>
          <w:i/>
          <w:iCs/>
          <w:sz w:val="24"/>
          <w:szCs w:val="24"/>
          <w:lang w:val="de-DE"/>
        </w:rPr>
        <w:t>J. H. H. Weiler</w:t>
      </w:r>
      <w:r w:rsidRPr="000164D3">
        <w:rPr>
          <w:sz w:val="24"/>
          <w:szCs w:val="24"/>
        </w:rPr>
        <w:t xml:space="preserve">) – </w:t>
      </w:r>
      <w:r w:rsidRPr="000164D3">
        <w:rPr>
          <w:sz w:val="24"/>
          <w:szCs w:val="24"/>
          <w:lang w:val="en-US"/>
        </w:rPr>
        <w:t>Theory of cooperative constitutionalism (</w:t>
      </w:r>
      <w:r w:rsidRPr="000164D3">
        <w:rPr>
          <w:i/>
          <w:iCs/>
          <w:sz w:val="24"/>
          <w:szCs w:val="24"/>
          <w:lang w:val="de-DE"/>
        </w:rPr>
        <w:t>Peter H</w:t>
      </w:r>
      <w:proofErr w:type="spellStart"/>
      <w:r w:rsidRPr="000164D3">
        <w:rPr>
          <w:i/>
          <w:iCs/>
          <w:sz w:val="24"/>
          <w:szCs w:val="24"/>
        </w:rPr>
        <w:t>äberle</w:t>
      </w:r>
      <w:proofErr w:type="spellEnd"/>
      <w:r w:rsidRPr="000164D3">
        <w:rPr>
          <w:sz w:val="24"/>
          <w:szCs w:val="24"/>
        </w:rPr>
        <w:t xml:space="preserve">) – </w:t>
      </w:r>
      <w:r w:rsidRPr="000164D3">
        <w:rPr>
          <w:sz w:val="24"/>
          <w:szCs w:val="24"/>
          <w:lang w:val="en-US"/>
        </w:rPr>
        <w:t>practical implications</w:t>
      </w:r>
    </w:p>
    <w:p w:rsidR="00E93EAB" w:rsidRPr="000164D3" w:rsidRDefault="00E93EAB" w:rsidP="00E93EAB">
      <w:pPr>
        <w:spacing w:line="360" w:lineRule="auto"/>
        <w:jc w:val="both"/>
        <w:rPr>
          <w:sz w:val="24"/>
          <w:szCs w:val="24"/>
        </w:rPr>
      </w:pPr>
      <w:r w:rsidRPr="000164D3">
        <w:rPr>
          <w:sz w:val="24"/>
          <w:szCs w:val="24"/>
          <w:lang w:val="en-US"/>
        </w:rPr>
        <w:t xml:space="preserve">3. Share of competences between the EU and member states (exclusive and shared competences) </w:t>
      </w:r>
      <w:r w:rsidRPr="000164D3">
        <w:rPr>
          <w:sz w:val="24"/>
          <w:szCs w:val="24"/>
        </w:rPr>
        <w:t xml:space="preserve">– </w:t>
      </w:r>
      <w:r w:rsidRPr="000164D3">
        <w:rPr>
          <w:sz w:val="24"/>
          <w:szCs w:val="24"/>
          <w:lang w:val="en-US"/>
        </w:rPr>
        <w:t xml:space="preserve">changes </w:t>
      </w:r>
      <w:r w:rsidRPr="000164D3">
        <w:rPr>
          <w:sz w:val="24"/>
          <w:szCs w:val="24"/>
        </w:rPr>
        <w:t xml:space="preserve">made </w:t>
      </w:r>
      <w:proofErr w:type="spellStart"/>
      <w:r w:rsidRPr="000164D3">
        <w:rPr>
          <w:sz w:val="24"/>
          <w:szCs w:val="24"/>
        </w:rPr>
        <w:t>by</w:t>
      </w:r>
      <w:proofErr w:type="spellEnd"/>
      <w:r w:rsidRPr="000164D3">
        <w:rPr>
          <w:sz w:val="24"/>
          <w:szCs w:val="24"/>
        </w:rPr>
        <w:t xml:space="preserve"> </w:t>
      </w:r>
      <w:proofErr w:type="spellStart"/>
      <w:r w:rsidRPr="000164D3">
        <w:rPr>
          <w:sz w:val="24"/>
          <w:szCs w:val="24"/>
        </w:rPr>
        <w:t>the</w:t>
      </w:r>
      <w:proofErr w:type="spellEnd"/>
      <w:r w:rsidRPr="000164D3">
        <w:rPr>
          <w:sz w:val="24"/>
          <w:szCs w:val="24"/>
        </w:rPr>
        <w:t xml:space="preserve"> </w:t>
      </w:r>
      <w:proofErr w:type="spellStart"/>
      <w:r w:rsidRPr="000164D3">
        <w:rPr>
          <w:sz w:val="24"/>
          <w:szCs w:val="24"/>
        </w:rPr>
        <w:t>Lisbon</w:t>
      </w:r>
      <w:proofErr w:type="spellEnd"/>
      <w:r w:rsidRPr="000164D3">
        <w:rPr>
          <w:sz w:val="24"/>
          <w:szCs w:val="24"/>
        </w:rPr>
        <w:t xml:space="preserve"> </w:t>
      </w:r>
      <w:proofErr w:type="spellStart"/>
      <w:r w:rsidRPr="000164D3">
        <w:rPr>
          <w:sz w:val="24"/>
          <w:szCs w:val="24"/>
        </w:rPr>
        <w:t>Treaty</w:t>
      </w:r>
      <w:proofErr w:type="spellEnd"/>
    </w:p>
    <w:p w:rsidR="00E93EAB" w:rsidRPr="000164D3" w:rsidRDefault="00E93EAB" w:rsidP="00E93EAB">
      <w:pPr>
        <w:spacing w:line="360" w:lineRule="auto"/>
        <w:jc w:val="both"/>
        <w:rPr>
          <w:sz w:val="24"/>
          <w:szCs w:val="24"/>
        </w:rPr>
      </w:pPr>
      <w:r w:rsidRPr="000164D3">
        <w:rPr>
          <w:sz w:val="24"/>
          <w:szCs w:val="24"/>
          <w:lang w:val="en-US"/>
        </w:rPr>
        <w:t>4. Acceptance of precedence of EU law by member states</w:t>
      </w:r>
      <w:r w:rsidRPr="000164D3">
        <w:rPr>
          <w:sz w:val="24"/>
          <w:szCs w:val="24"/>
          <w:lang w:val="fr-FR"/>
        </w:rPr>
        <w:t xml:space="preserve">’ </w:t>
      </w:r>
      <w:r w:rsidRPr="000164D3">
        <w:rPr>
          <w:sz w:val="24"/>
          <w:szCs w:val="24"/>
          <w:lang w:val="en-US"/>
        </w:rPr>
        <w:t xml:space="preserve">courts in human rights cases and in the field of share of powers </w:t>
      </w:r>
    </w:p>
    <w:p w:rsidR="00E93EAB" w:rsidRPr="000164D3" w:rsidRDefault="00E93EAB" w:rsidP="00E93EAB">
      <w:pPr>
        <w:spacing w:line="360" w:lineRule="auto"/>
        <w:jc w:val="both"/>
        <w:rPr>
          <w:sz w:val="24"/>
          <w:szCs w:val="24"/>
        </w:rPr>
      </w:pPr>
      <w:r w:rsidRPr="000164D3">
        <w:rPr>
          <w:sz w:val="24"/>
          <w:szCs w:val="24"/>
          <w:lang w:val="en-US"/>
        </w:rPr>
        <w:t>5. Relevant practice of the German Constitutional Court</w:t>
      </w:r>
    </w:p>
    <w:p w:rsidR="00E93EAB" w:rsidRPr="000164D3" w:rsidRDefault="00E93EAB" w:rsidP="00E93EAB">
      <w:pPr>
        <w:spacing w:line="360" w:lineRule="auto"/>
        <w:jc w:val="both"/>
        <w:rPr>
          <w:sz w:val="24"/>
          <w:szCs w:val="24"/>
        </w:rPr>
      </w:pPr>
      <w:r w:rsidRPr="000164D3">
        <w:rPr>
          <w:sz w:val="24"/>
          <w:szCs w:val="24"/>
          <w:lang w:val="en-US"/>
        </w:rPr>
        <w:t>6. Relevant practice of the French Constitutional Council</w:t>
      </w:r>
    </w:p>
    <w:p w:rsidR="00E93EAB" w:rsidRPr="000164D3" w:rsidRDefault="00E93EAB" w:rsidP="00E93EAB">
      <w:pPr>
        <w:spacing w:line="360" w:lineRule="auto"/>
        <w:jc w:val="both"/>
        <w:rPr>
          <w:sz w:val="24"/>
          <w:szCs w:val="24"/>
        </w:rPr>
      </w:pPr>
      <w:r w:rsidRPr="000164D3">
        <w:rPr>
          <w:sz w:val="24"/>
          <w:szCs w:val="24"/>
          <w:lang w:val="en-US"/>
        </w:rPr>
        <w:t>7. Relevant Practice in the United Kingdom</w:t>
      </w:r>
    </w:p>
    <w:p w:rsidR="00E93EAB" w:rsidRPr="000164D3" w:rsidRDefault="00E93EAB" w:rsidP="00E93EAB">
      <w:pPr>
        <w:spacing w:line="360" w:lineRule="auto"/>
        <w:jc w:val="both"/>
        <w:rPr>
          <w:sz w:val="24"/>
          <w:szCs w:val="24"/>
        </w:rPr>
      </w:pPr>
      <w:r w:rsidRPr="000164D3">
        <w:rPr>
          <w:sz w:val="24"/>
          <w:szCs w:val="24"/>
          <w:lang w:val="en-US"/>
        </w:rPr>
        <w:t>8. Relevant practice of the Italian Constitutional Court</w:t>
      </w:r>
    </w:p>
    <w:p w:rsidR="00E93EAB" w:rsidRPr="000164D3" w:rsidRDefault="00E93EAB" w:rsidP="00E93EAB">
      <w:pPr>
        <w:spacing w:line="360" w:lineRule="auto"/>
        <w:jc w:val="both"/>
        <w:rPr>
          <w:sz w:val="24"/>
          <w:szCs w:val="24"/>
        </w:rPr>
      </w:pPr>
      <w:r w:rsidRPr="000164D3">
        <w:rPr>
          <w:sz w:val="24"/>
          <w:szCs w:val="24"/>
          <w:lang w:val="en-US"/>
        </w:rPr>
        <w:t>9. Relevant practices in Austria, Spain, Portugal and in Belgium</w:t>
      </w:r>
    </w:p>
    <w:p w:rsidR="00E93EAB" w:rsidRPr="000164D3" w:rsidRDefault="00E93EAB" w:rsidP="00E93EAB">
      <w:pPr>
        <w:spacing w:line="360" w:lineRule="auto"/>
        <w:jc w:val="both"/>
        <w:rPr>
          <w:sz w:val="24"/>
          <w:szCs w:val="24"/>
        </w:rPr>
      </w:pPr>
      <w:r w:rsidRPr="000164D3">
        <w:rPr>
          <w:sz w:val="24"/>
          <w:szCs w:val="24"/>
          <w:lang w:val="en-US"/>
        </w:rPr>
        <w:t xml:space="preserve">10. Comparative analysis of the accession clauses in the constitutions of the EU member states </w:t>
      </w:r>
    </w:p>
    <w:p w:rsidR="00E93EAB" w:rsidRPr="000164D3" w:rsidRDefault="00E93EAB" w:rsidP="00E93EAB">
      <w:pPr>
        <w:spacing w:line="360" w:lineRule="auto"/>
        <w:jc w:val="both"/>
        <w:rPr>
          <w:sz w:val="24"/>
          <w:szCs w:val="24"/>
        </w:rPr>
      </w:pPr>
      <w:r w:rsidRPr="000164D3">
        <w:rPr>
          <w:sz w:val="24"/>
          <w:szCs w:val="24"/>
          <w:lang w:val="en-US"/>
        </w:rPr>
        <w:t xml:space="preserve">11. Preliminary ruling before the </w:t>
      </w:r>
      <w:r w:rsidRPr="000164D3">
        <w:rPr>
          <w:sz w:val="24"/>
          <w:szCs w:val="24"/>
        </w:rPr>
        <w:t xml:space="preserve">CJEU – </w:t>
      </w:r>
      <w:r w:rsidRPr="000164D3">
        <w:rPr>
          <w:sz w:val="24"/>
          <w:szCs w:val="24"/>
          <w:lang w:val="en-US"/>
        </w:rPr>
        <w:t xml:space="preserve">rules and importance (art 251. etc. TFEU) </w:t>
      </w:r>
      <w:r w:rsidRPr="000164D3">
        <w:rPr>
          <w:sz w:val="24"/>
          <w:szCs w:val="24"/>
        </w:rPr>
        <w:t xml:space="preserve">– </w:t>
      </w:r>
      <w:r w:rsidRPr="000164D3">
        <w:rPr>
          <w:sz w:val="24"/>
          <w:szCs w:val="24"/>
          <w:lang w:val="en-US"/>
        </w:rPr>
        <w:t>Shall Constitutional Courts go to Luxemburg?</w:t>
      </w:r>
    </w:p>
    <w:p w:rsidR="00E93EAB" w:rsidRPr="000164D3" w:rsidRDefault="00E93EAB" w:rsidP="00E93EAB">
      <w:pPr>
        <w:jc w:val="both"/>
        <w:rPr>
          <w:sz w:val="24"/>
          <w:szCs w:val="24"/>
        </w:rPr>
      </w:pPr>
    </w:p>
    <w:p w:rsidR="00E93EAB" w:rsidRPr="000164D3" w:rsidRDefault="00E93EAB" w:rsidP="00E93EAB">
      <w:pPr>
        <w:widowControl w:val="0"/>
        <w:numPr>
          <w:ilvl w:val="0"/>
          <w:numId w:val="2"/>
        </w:numPr>
        <w:tabs>
          <w:tab w:val="left" w:pos="1440"/>
        </w:tabs>
        <w:suppressAutoHyphens/>
        <w:ind w:left="600" w:firstLine="120"/>
        <w:jc w:val="both"/>
        <w:rPr>
          <w:sz w:val="24"/>
          <w:szCs w:val="24"/>
        </w:rPr>
      </w:pPr>
      <w:r w:rsidRPr="000164D3">
        <w:rPr>
          <w:sz w:val="24"/>
          <w:szCs w:val="24"/>
          <w:lang w:val="en-US"/>
        </w:rPr>
        <w:lastRenderedPageBreak/>
        <w:t>(b) Remedies for breach of E</w:t>
      </w:r>
      <w:r w:rsidRPr="000164D3">
        <w:rPr>
          <w:sz w:val="24"/>
          <w:szCs w:val="24"/>
        </w:rPr>
        <w:t>U</w:t>
      </w:r>
      <w:r w:rsidRPr="000164D3">
        <w:rPr>
          <w:sz w:val="24"/>
          <w:szCs w:val="24"/>
          <w:lang w:val="en-US"/>
        </w:rPr>
        <w:t xml:space="preserve"> law (Craig &amp; de B</w:t>
      </w:r>
      <w:r w:rsidRPr="000164D3">
        <w:rPr>
          <w:sz w:val="24"/>
          <w:szCs w:val="24"/>
        </w:rPr>
        <w:t>ú</w:t>
      </w:r>
      <w:r w:rsidRPr="000164D3">
        <w:rPr>
          <w:sz w:val="24"/>
          <w:szCs w:val="24"/>
          <w:lang w:val="nl-NL"/>
        </w:rPr>
        <w:t>rca, chapter: 5)</w:t>
      </w:r>
    </w:p>
    <w:p w:rsidR="00E93EAB" w:rsidRPr="000164D3" w:rsidRDefault="00E93EAB" w:rsidP="00E93EAB">
      <w:pPr>
        <w:jc w:val="both"/>
        <w:rPr>
          <w:sz w:val="24"/>
          <w:szCs w:val="24"/>
        </w:rPr>
      </w:pPr>
    </w:p>
    <w:p w:rsidR="00E93EAB" w:rsidRPr="000164D3" w:rsidRDefault="00E93EAB" w:rsidP="00E93EAB">
      <w:pPr>
        <w:widowControl w:val="0"/>
        <w:numPr>
          <w:ilvl w:val="0"/>
          <w:numId w:val="3"/>
        </w:numPr>
        <w:tabs>
          <w:tab w:val="left" w:pos="1068"/>
        </w:tabs>
        <w:suppressAutoHyphens/>
        <w:ind w:left="1008" w:hanging="300"/>
        <w:jc w:val="both"/>
        <w:rPr>
          <w:sz w:val="24"/>
          <w:szCs w:val="24"/>
        </w:rPr>
      </w:pPr>
      <w:r w:rsidRPr="000164D3">
        <w:rPr>
          <w:sz w:val="24"/>
          <w:szCs w:val="24"/>
        </w:rPr>
        <w:t xml:space="preserve">1. </w:t>
      </w:r>
      <w:proofErr w:type="spellStart"/>
      <w:r w:rsidRPr="000164D3">
        <w:rPr>
          <w:sz w:val="24"/>
          <w:szCs w:val="24"/>
        </w:rPr>
        <w:t>Requirements</w:t>
      </w:r>
      <w:proofErr w:type="spellEnd"/>
      <w:r w:rsidRPr="000164D3">
        <w:rPr>
          <w:sz w:val="24"/>
          <w:szCs w:val="24"/>
        </w:rPr>
        <w:t xml:space="preserve"> </w:t>
      </w:r>
      <w:proofErr w:type="spellStart"/>
      <w:r w:rsidRPr="000164D3">
        <w:rPr>
          <w:sz w:val="24"/>
          <w:szCs w:val="24"/>
        </w:rPr>
        <w:t>established</w:t>
      </w:r>
      <w:proofErr w:type="spellEnd"/>
      <w:r w:rsidRPr="000164D3">
        <w:rPr>
          <w:sz w:val="24"/>
          <w:szCs w:val="24"/>
        </w:rPr>
        <w:t xml:space="preserve"> </w:t>
      </w:r>
      <w:proofErr w:type="spellStart"/>
      <w:r w:rsidRPr="000164D3">
        <w:rPr>
          <w:sz w:val="24"/>
          <w:szCs w:val="24"/>
        </w:rPr>
        <w:t>by</w:t>
      </w:r>
      <w:proofErr w:type="spellEnd"/>
      <w:r w:rsidRPr="000164D3">
        <w:rPr>
          <w:sz w:val="24"/>
          <w:szCs w:val="24"/>
        </w:rPr>
        <w:t xml:space="preserve"> </w:t>
      </w:r>
      <w:proofErr w:type="spellStart"/>
      <w:r w:rsidRPr="000164D3">
        <w:rPr>
          <w:sz w:val="24"/>
          <w:szCs w:val="24"/>
        </w:rPr>
        <w:t>the</w:t>
      </w:r>
      <w:proofErr w:type="spellEnd"/>
      <w:r w:rsidRPr="000164D3">
        <w:rPr>
          <w:sz w:val="24"/>
          <w:szCs w:val="24"/>
        </w:rPr>
        <w:t xml:space="preserve"> </w:t>
      </w:r>
      <w:r w:rsidRPr="000164D3">
        <w:rPr>
          <w:sz w:val="24"/>
          <w:szCs w:val="24"/>
          <w:lang w:val="en-US"/>
        </w:rPr>
        <w:t>Court of Justice</w:t>
      </w:r>
      <w:r w:rsidRPr="000164D3">
        <w:rPr>
          <w:sz w:val="24"/>
          <w:szCs w:val="24"/>
        </w:rPr>
        <w:t xml:space="preserve"> of </w:t>
      </w:r>
      <w:proofErr w:type="spellStart"/>
      <w:r w:rsidRPr="000164D3">
        <w:rPr>
          <w:sz w:val="24"/>
          <w:szCs w:val="24"/>
        </w:rPr>
        <w:t>the</w:t>
      </w:r>
      <w:proofErr w:type="spellEnd"/>
      <w:r w:rsidRPr="000164D3">
        <w:rPr>
          <w:sz w:val="24"/>
          <w:szCs w:val="24"/>
        </w:rPr>
        <w:t xml:space="preserve"> European Union</w:t>
      </w:r>
      <w:r w:rsidRPr="000164D3">
        <w:rPr>
          <w:sz w:val="24"/>
          <w:szCs w:val="24"/>
          <w:lang w:val="en-US"/>
        </w:rPr>
        <w:t>: equivalence, effectiveness, national procedural rules</w:t>
      </w:r>
    </w:p>
    <w:p w:rsidR="00E93EAB" w:rsidRPr="000164D3" w:rsidRDefault="00E93EAB" w:rsidP="00E93EAB">
      <w:pPr>
        <w:widowControl w:val="0"/>
        <w:numPr>
          <w:ilvl w:val="0"/>
          <w:numId w:val="3"/>
        </w:numPr>
        <w:tabs>
          <w:tab w:val="left" w:pos="1068"/>
        </w:tabs>
        <w:suppressAutoHyphens/>
        <w:ind w:left="1008" w:hanging="300"/>
        <w:jc w:val="both"/>
        <w:rPr>
          <w:sz w:val="24"/>
          <w:szCs w:val="24"/>
        </w:rPr>
      </w:pPr>
      <w:r w:rsidRPr="000164D3">
        <w:rPr>
          <w:sz w:val="24"/>
          <w:szCs w:val="24"/>
          <w:lang w:val="de-DE"/>
        </w:rPr>
        <w:t xml:space="preserve">2. </w:t>
      </w:r>
      <w:proofErr w:type="spellStart"/>
      <w:r w:rsidRPr="000164D3">
        <w:rPr>
          <w:sz w:val="24"/>
          <w:szCs w:val="24"/>
          <w:lang w:val="de-DE"/>
        </w:rPr>
        <w:t>Remedies</w:t>
      </w:r>
      <w:proofErr w:type="spellEnd"/>
      <w:r w:rsidRPr="000164D3">
        <w:rPr>
          <w:sz w:val="24"/>
          <w:szCs w:val="24"/>
          <w:lang w:val="de-DE"/>
        </w:rPr>
        <w:t xml:space="preserve"> </w:t>
      </w:r>
      <w:r w:rsidRPr="000164D3">
        <w:rPr>
          <w:sz w:val="24"/>
          <w:szCs w:val="24"/>
        </w:rPr>
        <w:t xml:space="preserve">– </w:t>
      </w:r>
      <w:r w:rsidRPr="000164D3">
        <w:rPr>
          <w:sz w:val="24"/>
          <w:szCs w:val="24"/>
          <w:lang w:val="en-US"/>
        </w:rPr>
        <w:t>restitution, damages, judicial review, interim relief</w:t>
      </w:r>
    </w:p>
    <w:p w:rsidR="00E93EAB" w:rsidRPr="000164D3" w:rsidRDefault="00E93EAB" w:rsidP="00E93EAB">
      <w:pPr>
        <w:jc w:val="both"/>
        <w:rPr>
          <w:sz w:val="24"/>
          <w:szCs w:val="24"/>
        </w:rPr>
      </w:pPr>
    </w:p>
    <w:p w:rsidR="00E93EAB" w:rsidRPr="000164D3" w:rsidRDefault="00E93EAB" w:rsidP="00E93EAB">
      <w:pPr>
        <w:jc w:val="both"/>
        <w:rPr>
          <w:sz w:val="24"/>
          <w:szCs w:val="24"/>
        </w:rPr>
      </w:pPr>
    </w:p>
    <w:p w:rsidR="00E93EAB" w:rsidRPr="000164D3" w:rsidRDefault="00E93EAB" w:rsidP="00E93EAB">
      <w:pPr>
        <w:rPr>
          <w:sz w:val="24"/>
          <w:szCs w:val="24"/>
        </w:rPr>
      </w:pPr>
    </w:p>
    <w:p w:rsidR="00E93EAB" w:rsidRPr="000164D3" w:rsidRDefault="00E93EAB" w:rsidP="00E93EAB">
      <w:pPr>
        <w:rPr>
          <w:sz w:val="24"/>
          <w:szCs w:val="24"/>
        </w:rPr>
      </w:pPr>
    </w:p>
    <w:p w:rsidR="00E93EAB" w:rsidRPr="000164D3" w:rsidRDefault="00E93EAB" w:rsidP="00E93EAB">
      <w:pPr>
        <w:rPr>
          <w:sz w:val="24"/>
          <w:szCs w:val="24"/>
        </w:rPr>
      </w:pPr>
      <w:proofErr w:type="spellStart"/>
      <w:r w:rsidRPr="000164D3">
        <w:rPr>
          <w:rFonts w:eastAsia="Arial Unicode MS" w:hAnsi="Arial Unicode MS" w:cs="Arial Unicode MS"/>
          <w:sz w:val="24"/>
          <w:szCs w:val="24"/>
        </w:rPr>
        <w:t>Required</w:t>
      </w:r>
      <w:proofErr w:type="spellEnd"/>
      <w:r w:rsidRPr="000164D3">
        <w:rPr>
          <w:rFonts w:eastAsia="Arial Unicode MS" w:hAnsi="Arial Unicode MS" w:cs="Arial Unicode MS"/>
          <w:sz w:val="24"/>
          <w:szCs w:val="24"/>
          <w:lang w:val="en-US"/>
        </w:rPr>
        <w:t xml:space="preserve"> reading:</w:t>
      </w:r>
    </w:p>
    <w:p w:rsidR="00E93EAB" w:rsidRPr="000164D3" w:rsidRDefault="00E93EAB" w:rsidP="00E93EAB">
      <w:pPr>
        <w:rPr>
          <w:sz w:val="24"/>
          <w:szCs w:val="24"/>
        </w:rPr>
      </w:pPr>
    </w:p>
    <w:p w:rsidR="00E93EAB" w:rsidRPr="000164D3" w:rsidRDefault="00E93EAB" w:rsidP="00E93EAB">
      <w:pPr>
        <w:ind w:left="180"/>
        <w:jc w:val="both"/>
        <w:rPr>
          <w:sz w:val="24"/>
          <w:szCs w:val="24"/>
        </w:rPr>
      </w:pPr>
      <w:r w:rsidRPr="000164D3">
        <w:rPr>
          <w:sz w:val="24"/>
          <w:szCs w:val="24"/>
          <w:lang w:val="en-US"/>
        </w:rPr>
        <w:t>References: Craig &amp; de B</w:t>
      </w:r>
      <w:r w:rsidRPr="000164D3">
        <w:rPr>
          <w:sz w:val="24"/>
          <w:szCs w:val="24"/>
        </w:rPr>
        <w:t>ú</w:t>
      </w:r>
      <w:proofErr w:type="spellStart"/>
      <w:r w:rsidRPr="000164D3">
        <w:rPr>
          <w:sz w:val="24"/>
          <w:szCs w:val="24"/>
          <w:lang w:val="en-US"/>
        </w:rPr>
        <w:t>rca</w:t>
      </w:r>
      <w:proofErr w:type="spellEnd"/>
      <w:r w:rsidRPr="000164D3">
        <w:rPr>
          <w:sz w:val="24"/>
          <w:szCs w:val="24"/>
          <w:lang w:val="en-US"/>
        </w:rPr>
        <w:t xml:space="preserve">, EU Law: Text, Cases and Materials, Oxford University Press, Oxford (2011 </w:t>
      </w:r>
      <w:proofErr w:type="gramStart"/>
      <w:r w:rsidRPr="000164D3">
        <w:rPr>
          <w:sz w:val="24"/>
          <w:szCs w:val="24"/>
          <w:lang w:val="en-US"/>
        </w:rPr>
        <w:t>ed</w:t>
      </w:r>
      <w:proofErr w:type="gramEnd"/>
      <w:r w:rsidRPr="000164D3">
        <w:rPr>
          <w:sz w:val="24"/>
          <w:szCs w:val="24"/>
          <w:lang w:val="en-US"/>
        </w:rPr>
        <w:t xml:space="preserve">.) </w:t>
      </w:r>
      <w:proofErr w:type="spellStart"/>
      <w:r w:rsidRPr="000164D3">
        <w:rPr>
          <w:sz w:val="24"/>
          <w:szCs w:val="24"/>
          <w:lang w:val="en-US"/>
        </w:rPr>
        <w:t>Ch</w:t>
      </w:r>
      <w:proofErr w:type="spellEnd"/>
      <w:r w:rsidRPr="000164D3">
        <w:rPr>
          <w:sz w:val="24"/>
          <w:szCs w:val="24"/>
          <w:lang w:val="en-US"/>
        </w:rPr>
        <w:t xml:space="preserve"> 4-6.</w:t>
      </w:r>
    </w:p>
    <w:p w:rsidR="00E93EAB" w:rsidRPr="000164D3" w:rsidRDefault="00E93EAB" w:rsidP="00E93EAB">
      <w:pPr>
        <w:ind w:left="180"/>
        <w:rPr>
          <w:sz w:val="24"/>
          <w:szCs w:val="24"/>
        </w:rPr>
      </w:pPr>
    </w:p>
    <w:p w:rsidR="00E93EAB" w:rsidRPr="000164D3" w:rsidRDefault="00E93EAB" w:rsidP="00E93EAB">
      <w:pPr>
        <w:ind w:left="180"/>
        <w:jc w:val="both"/>
        <w:rPr>
          <w:sz w:val="24"/>
          <w:szCs w:val="24"/>
        </w:rPr>
      </w:pPr>
      <w:r w:rsidRPr="000164D3">
        <w:rPr>
          <w:sz w:val="24"/>
          <w:szCs w:val="24"/>
          <w:lang w:val="en-US"/>
        </w:rPr>
        <w:t>Additional materials to be provided: Steiner &amp; Woods, Textbook on EC Law, 8</w:t>
      </w:r>
      <w:r w:rsidRPr="000164D3">
        <w:rPr>
          <w:sz w:val="24"/>
          <w:szCs w:val="24"/>
          <w:vertAlign w:val="superscript"/>
          <w:lang w:val="en-US"/>
        </w:rPr>
        <w:t>th</w:t>
      </w:r>
      <w:r w:rsidRPr="000164D3">
        <w:rPr>
          <w:sz w:val="24"/>
          <w:szCs w:val="24"/>
          <w:lang w:val="en-US"/>
        </w:rPr>
        <w:t xml:space="preserve"> ed., Oxford University Press (2003); Hartley, Foundations of European Community Law, most recent edition, Oxford University Press.</w:t>
      </w:r>
    </w:p>
    <w:p w:rsidR="00E93EAB" w:rsidRPr="000164D3" w:rsidRDefault="00E93EAB" w:rsidP="00E93EAB">
      <w:pPr>
        <w:ind w:left="180"/>
        <w:jc w:val="both"/>
        <w:rPr>
          <w:sz w:val="24"/>
          <w:szCs w:val="24"/>
        </w:rPr>
      </w:pPr>
    </w:p>
    <w:p w:rsidR="00E93EAB" w:rsidRPr="000164D3" w:rsidRDefault="00E93EAB" w:rsidP="00E93EAB">
      <w:pPr>
        <w:ind w:left="180"/>
        <w:jc w:val="both"/>
        <w:rPr>
          <w:sz w:val="24"/>
          <w:szCs w:val="24"/>
        </w:rPr>
      </w:pPr>
      <w:r w:rsidRPr="000164D3">
        <w:rPr>
          <w:sz w:val="24"/>
          <w:szCs w:val="24"/>
          <w:lang w:val="en-US"/>
        </w:rPr>
        <w:t xml:space="preserve">J.H.H </w:t>
      </w:r>
      <w:proofErr w:type="spellStart"/>
      <w:r w:rsidRPr="000164D3">
        <w:rPr>
          <w:sz w:val="24"/>
          <w:szCs w:val="24"/>
          <w:lang w:val="en-US"/>
        </w:rPr>
        <w:t>Weiler</w:t>
      </w:r>
      <w:proofErr w:type="spellEnd"/>
      <w:r w:rsidRPr="000164D3">
        <w:rPr>
          <w:sz w:val="24"/>
          <w:szCs w:val="24"/>
          <w:lang w:val="en-US"/>
        </w:rPr>
        <w:t xml:space="preserve">: EU Law Teaching Materials (available: </w:t>
      </w:r>
      <w:hyperlink r:id="rId5" w:history="1">
        <w:r w:rsidRPr="000164D3">
          <w:rPr>
            <w:rStyle w:val="Hyperlink1"/>
            <w:lang w:val="fr-FR"/>
          </w:rPr>
          <w:t>http://centers.law.nyu.edu/jeanmonnet/courses/eu/materials.html</w:t>
        </w:r>
      </w:hyperlink>
      <w:r w:rsidRPr="000164D3">
        <w:rPr>
          <w:sz w:val="24"/>
          <w:szCs w:val="24"/>
        </w:rPr>
        <w:t xml:space="preserve">) </w:t>
      </w:r>
      <w:proofErr w:type="spellStart"/>
      <w:r w:rsidRPr="000164D3">
        <w:rPr>
          <w:sz w:val="24"/>
          <w:szCs w:val="24"/>
        </w:rPr>
        <w:t>Ch</w:t>
      </w:r>
      <w:proofErr w:type="spellEnd"/>
      <w:r w:rsidRPr="000164D3">
        <w:rPr>
          <w:sz w:val="24"/>
          <w:szCs w:val="24"/>
        </w:rPr>
        <w:t xml:space="preserve"> II-VI.</w:t>
      </w:r>
    </w:p>
    <w:p w:rsidR="00E93EAB" w:rsidRPr="000164D3" w:rsidRDefault="00E93EAB" w:rsidP="00E93EAB">
      <w:pPr>
        <w:ind w:left="180"/>
        <w:jc w:val="both"/>
        <w:rPr>
          <w:sz w:val="24"/>
          <w:szCs w:val="24"/>
        </w:rPr>
      </w:pPr>
    </w:p>
    <w:p w:rsidR="00E93EAB" w:rsidRPr="000164D3" w:rsidRDefault="00E93EAB" w:rsidP="00E93EAB">
      <w:pPr>
        <w:ind w:left="180"/>
        <w:jc w:val="both"/>
        <w:rPr>
          <w:rStyle w:val="Oldalszm1"/>
          <w:sz w:val="24"/>
          <w:szCs w:val="24"/>
        </w:rPr>
      </w:pPr>
      <w:r w:rsidRPr="000164D3">
        <w:rPr>
          <w:rStyle w:val="Oldalszm1"/>
          <w:sz w:val="24"/>
          <w:szCs w:val="24"/>
        </w:rPr>
        <w:t>Treaty on European Union – with amendments of the Croatian accession (relevant parts)</w:t>
      </w:r>
    </w:p>
    <w:p w:rsidR="00E93EAB" w:rsidRPr="000164D3" w:rsidRDefault="00E93EAB" w:rsidP="00E93EAB">
      <w:pPr>
        <w:ind w:left="180"/>
        <w:jc w:val="both"/>
        <w:rPr>
          <w:rStyle w:val="Oldalszm1"/>
          <w:sz w:val="24"/>
          <w:szCs w:val="24"/>
        </w:rPr>
      </w:pPr>
      <w:r w:rsidRPr="000164D3">
        <w:rPr>
          <w:rStyle w:val="Oldalszm1"/>
          <w:sz w:val="24"/>
          <w:szCs w:val="24"/>
        </w:rPr>
        <w:t>Treaty on the Functioning of the European Union – with amendments of the Croatian accession (relevant parts)</w:t>
      </w:r>
    </w:p>
    <w:p w:rsidR="00E93EAB" w:rsidRDefault="00E93EAB" w:rsidP="00E93EAB">
      <w:pPr>
        <w:pBdr>
          <w:bottom w:val="single" w:sz="4" w:space="1" w:color="auto"/>
        </w:pBdr>
        <w:ind w:left="180"/>
        <w:jc w:val="both"/>
        <w:rPr>
          <w:rStyle w:val="Oldalszm1"/>
          <w:sz w:val="24"/>
          <w:szCs w:val="24"/>
        </w:rPr>
      </w:pPr>
    </w:p>
    <w:p w:rsidR="00E93EAB" w:rsidRDefault="00E93EAB" w:rsidP="00E93EAB">
      <w:pPr>
        <w:pBdr>
          <w:bottom w:val="single" w:sz="4" w:space="1" w:color="auto"/>
        </w:pBdr>
        <w:ind w:left="180"/>
        <w:jc w:val="both"/>
        <w:rPr>
          <w:rStyle w:val="Oldalszm1"/>
          <w:sz w:val="24"/>
          <w:szCs w:val="24"/>
        </w:rPr>
      </w:pPr>
    </w:p>
    <w:p w:rsidR="00E93EAB" w:rsidRPr="00AB54EC" w:rsidRDefault="00E93EAB" w:rsidP="00E93EAB">
      <w:pPr>
        <w:pBdr>
          <w:bottom w:val="single" w:sz="4" w:space="1" w:color="auto"/>
        </w:pBdr>
        <w:ind w:left="180"/>
        <w:jc w:val="both"/>
        <w:rPr>
          <w:rStyle w:val="Oldalszm1"/>
          <w:sz w:val="24"/>
          <w:szCs w:val="24"/>
          <w:u w:val="single"/>
        </w:rPr>
      </w:pPr>
      <w:r w:rsidRPr="00AB54EC">
        <w:rPr>
          <w:rStyle w:val="Oldalszm1"/>
          <w:sz w:val="24"/>
          <w:szCs w:val="24"/>
          <w:u w:val="single"/>
        </w:rPr>
        <w:t>Questions:</w:t>
      </w:r>
    </w:p>
    <w:p w:rsidR="00E93EAB" w:rsidRDefault="00E93EAB" w:rsidP="00E93EAB">
      <w:pPr>
        <w:pBdr>
          <w:bottom w:val="single" w:sz="4" w:space="1" w:color="auto"/>
        </w:pBdr>
        <w:ind w:left="180"/>
        <w:jc w:val="both"/>
        <w:rPr>
          <w:rStyle w:val="Oldalszm1"/>
          <w:sz w:val="24"/>
          <w:szCs w:val="24"/>
        </w:rPr>
      </w:pPr>
    </w:p>
    <w:p w:rsidR="00E93EAB" w:rsidRDefault="00E93EAB" w:rsidP="00E93EAB">
      <w:pPr>
        <w:pBdr>
          <w:bottom w:val="single" w:sz="4" w:space="1" w:color="auto"/>
        </w:pBdr>
        <w:ind w:left="180"/>
        <w:jc w:val="both"/>
        <w:rPr>
          <w:rStyle w:val="Oldalszm1"/>
          <w:sz w:val="24"/>
          <w:szCs w:val="24"/>
        </w:rPr>
      </w:pPr>
      <w:r w:rsidRPr="00AB54EC">
        <w:rPr>
          <w:rStyle w:val="Oldalszm1"/>
          <w:sz w:val="24"/>
          <w:szCs w:val="24"/>
        </w:rPr>
        <w:t>EXAM IN RELATIONSHIP OF NATIONAL LAW AND EU LAW, AND HARMONISATION</w:t>
      </w:r>
    </w:p>
    <w:p w:rsidR="00E93EAB" w:rsidRPr="00AB54EC" w:rsidRDefault="00E93EAB" w:rsidP="00E93EAB">
      <w:pPr>
        <w:pBdr>
          <w:bottom w:val="single" w:sz="4" w:space="1" w:color="auto"/>
        </w:pBdr>
        <w:ind w:left="180"/>
        <w:jc w:val="both"/>
        <w:rPr>
          <w:rStyle w:val="Oldalszm1"/>
          <w:sz w:val="24"/>
          <w:szCs w:val="24"/>
        </w:rPr>
      </w:pPr>
    </w:p>
    <w:p w:rsidR="00E93EAB" w:rsidRPr="00AB54EC" w:rsidRDefault="00E93EAB" w:rsidP="00E93EAB">
      <w:pPr>
        <w:pBdr>
          <w:bottom w:val="single" w:sz="4" w:space="1" w:color="auto"/>
        </w:pBdr>
        <w:ind w:left="180"/>
        <w:jc w:val="both"/>
        <w:rPr>
          <w:rStyle w:val="Oldalszm1"/>
          <w:sz w:val="24"/>
          <w:szCs w:val="24"/>
        </w:rPr>
      </w:pPr>
      <w:r w:rsidRPr="00AB54EC">
        <w:rPr>
          <w:rStyle w:val="Oldalszm1"/>
          <w:sz w:val="24"/>
          <w:szCs w:val="24"/>
        </w:rPr>
        <w:t xml:space="preserve">1. Is it the case that “the doctrine of supremacy of EU law is a logical if not a </w:t>
      </w:r>
      <w:proofErr w:type="gramStart"/>
      <w:r w:rsidRPr="00AB54EC">
        <w:rPr>
          <w:rStyle w:val="Oldalszm1"/>
          <w:sz w:val="24"/>
          <w:szCs w:val="24"/>
        </w:rPr>
        <w:t>necessary</w:t>
      </w:r>
      <w:proofErr w:type="gramEnd"/>
    </w:p>
    <w:p w:rsidR="00E93EAB" w:rsidRPr="00AB54EC" w:rsidRDefault="00E93EAB" w:rsidP="00E93EAB">
      <w:pPr>
        <w:pBdr>
          <w:bottom w:val="single" w:sz="4" w:space="1" w:color="auto"/>
        </w:pBdr>
        <w:ind w:left="180"/>
        <w:jc w:val="both"/>
        <w:rPr>
          <w:rStyle w:val="Oldalszm1"/>
          <w:sz w:val="24"/>
          <w:szCs w:val="24"/>
        </w:rPr>
      </w:pPr>
      <w:proofErr w:type="gramStart"/>
      <w:r w:rsidRPr="00AB54EC">
        <w:rPr>
          <w:rStyle w:val="Oldalszm1"/>
          <w:sz w:val="24"/>
          <w:szCs w:val="24"/>
        </w:rPr>
        <w:t>inference</w:t>
      </w:r>
      <w:proofErr w:type="gramEnd"/>
      <w:r w:rsidRPr="00AB54EC">
        <w:rPr>
          <w:rStyle w:val="Oldalszm1"/>
          <w:sz w:val="24"/>
          <w:szCs w:val="24"/>
        </w:rPr>
        <w:t xml:space="preserve"> from Community Treaties?” Explain by references to ECJ case law.</w:t>
      </w:r>
    </w:p>
    <w:p w:rsidR="00E93EAB" w:rsidRPr="00AB54EC" w:rsidRDefault="00E93EAB" w:rsidP="00E93EAB">
      <w:pPr>
        <w:pBdr>
          <w:bottom w:val="single" w:sz="4" w:space="1" w:color="auto"/>
        </w:pBdr>
        <w:ind w:left="180"/>
        <w:jc w:val="both"/>
        <w:rPr>
          <w:rStyle w:val="Oldalszm1"/>
          <w:sz w:val="24"/>
          <w:szCs w:val="24"/>
        </w:rPr>
      </w:pPr>
      <w:r w:rsidRPr="00AB54EC">
        <w:rPr>
          <w:rStyle w:val="Oldalszm1"/>
          <w:sz w:val="24"/>
          <w:szCs w:val="24"/>
        </w:rPr>
        <w:t>2. The CJEU spent the first decades of its existence creating a Constitution for the</w:t>
      </w:r>
    </w:p>
    <w:p w:rsidR="00E93EAB" w:rsidRPr="00AB54EC" w:rsidRDefault="00E93EAB" w:rsidP="00E93EAB">
      <w:pPr>
        <w:pBdr>
          <w:bottom w:val="single" w:sz="4" w:space="1" w:color="auto"/>
        </w:pBdr>
        <w:ind w:left="180"/>
        <w:jc w:val="both"/>
        <w:rPr>
          <w:rStyle w:val="Oldalszm1"/>
          <w:sz w:val="24"/>
          <w:szCs w:val="24"/>
        </w:rPr>
      </w:pPr>
      <w:r w:rsidRPr="00AB54EC">
        <w:rPr>
          <w:rStyle w:val="Oldalszm1"/>
          <w:sz w:val="24"/>
          <w:szCs w:val="24"/>
        </w:rPr>
        <w:t>Community/Union. Explain with reference to the development of its principles.</w:t>
      </w:r>
    </w:p>
    <w:p w:rsidR="00E93EAB" w:rsidRPr="00AB54EC" w:rsidRDefault="00E93EAB" w:rsidP="00E93EAB">
      <w:pPr>
        <w:pBdr>
          <w:bottom w:val="single" w:sz="4" w:space="1" w:color="auto"/>
        </w:pBdr>
        <w:ind w:left="180"/>
        <w:jc w:val="both"/>
        <w:rPr>
          <w:rStyle w:val="Oldalszm1"/>
          <w:sz w:val="24"/>
          <w:szCs w:val="24"/>
        </w:rPr>
      </w:pPr>
      <w:r w:rsidRPr="00AB54EC">
        <w:rPr>
          <w:rStyle w:val="Oldalszm1"/>
          <w:sz w:val="24"/>
          <w:szCs w:val="24"/>
        </w:rPr>
        <w:t>3. How should conflicts between EU law and national law be resolved according to the</w:t>
      </w:r>
    </w:p>
    <w:p w:rsidR="00E93EAB" w:rsidRPr="00AB54EC" w:rsidRDefault="00E93EAB" w:rsidP="00E93EAB">
      <w:pPr>
        <w:pBdr>
          <w:bottom w:val="single" w:sz="4" w:space="1" w:color="auto"/>
        </w:pBdr>
        <w:ind w:left="180"/>
        <w:jc w:val="both"/>
        <w:rPr>
          <w:rStyle w:val="Oldalszm1"/>
          <w:sz w:val="24"/>
          <w:szCs w:val="24"/>
        </w:rPr>
      </w:pPr>
      <w:r w:rsidRPr="00AB54EC">
        <w:rPr>
          <w:rStyle w:val="Oldalszm1"/>
          <w:sz w:val="24"/>
          <w:szCs w:val="24"/>
        </w:rPr>
        <w:t>Court of Justice? Explain by reference to CJEU case-law.</w:t>
      </w:r>
    </w:p>
    <w:p w:rsidR="00E93EAB" w:rsidRPr="00AB54EC" w:rsidRDefault="00E93EAB" w:rsidP="00E93EAB">
      <w:pPr>
        <w:pBdr>
          <w:bottom w:val="single" w:sz="4" w:space="1" w:color="auto"/>
        </w:pBdr>
        <w:ind w:left="180"/>
        <w:jc w:val="both"/>
        <w:rPr>
          <w:rStyle w:val="Oldalszm1"/>
          <w:sz w:val="24"/>
          <w:szCs w:val="24"/>
        </w:rPr>
      </w:pPr>
      <w:r w:rsidRPr="00AB54EC">
        <w:rPr>
          <w:rStyle w:val="Oldalszm1"/>
          <w:sz w:val="24"/>
          <w:szCs w:val="24"/>
        </w:rPr>
        <w:t xml:space="preserve">4. Do French courts accept that EU law is supreme over the </w:t>
      </w:r>
      <w:proofErr w:type="gramStart"/>
      <w:r w:rsidRPr="00AB54EC">
        <w:rPr>
          <w:rStyle w:val="Oldalszm1"/>
          <w:sz w:val="24"/>
          <w:szCs w:val="24"/>
        </w:rPr>
        <w:t>Constitution.</w:t>
      </w:r>
      <w:proofErr w:type="gramEnd"/>
      <w:r w:rsidRPr="00AB54EC">
        <w:rPr>
          <w:rStyle w:val="Oldalszm1"/>
          <w:sz w:val="24"/>
          <w:szCs w:val="24"/>
        </w:rPr>
        <w:t xml:space="preserve"> Explain with</w:t>
      </w:r>
    </w:p>
    <w:p w:rsidR="00E93EAB" w:rsidRPr="00AB54EC" w:rsidRDefault="00E93EAB" w:rsidP="00E93EAB">
      <w:pPr>
        <w:pBdr>
          <w:bottom w:val="single" w:sz="4" w:space="1" w:color="auto"/>
        </w:pBdr>
        <w:ind w:left="180"/>
        <w:jc w:val="both"/>
        <w:rPr>
          <w:rStyle w:val="Oldalszm1"/>
          <w:sz w:val="24"/>
          <w:szCs w:val="24"/>
        </w:rPr>
      </w:pPr>
      <w:proofErr w:type="gramStart"/>
      <w:r w:rsidRPr="00AB54EC">
        <w:rPr>
          <w:rStyle w:val="Oldalszm1"/>
          <w:sz w:val="24"/>
          <w:szCs w:val="24"/>
        </w:rPr>
        <w:t>case</w:t>
      </w:r>
      <w:proofErr w:type="gramEnd"/>
      <w:r w:rsidRPr="00AB54EC">
        <w:rPr>
          <w:rStyle w:val="Oldalszm1"/>
          <w:sz w:val="24"/>
          <w:szCs w:val="24"/>
        </w:rPr>
        <w:t xml:space="preserve"> references.</w:t>
      </w:r>
    </w:p>
    <w:p w:rsidR="00E93EAB" w:rsidRPr="00AB54EC" w:rsidRDefault="00E93EAB" w:rsidP="00E93EAB">
      <w:pPr>
        <w:pBdr>
          <w:bottom w:val="single" w:sz="4" w:space="1" w:color="auto"/>
        </w:pBdr>
        <w:ind w:left="180"/>
        <w:jc w:val="both"/>
        <w:rPr>
          <w:rStyle w:val="Oldalszm1"/>
          <w:sz w:val="24"/>
          <w:szCs w:val="24"/>
        </w:rPr>
      </w:pPr>
      <w:r w:rsidRPr="00AB54EC">
        <w:rPr>
          <w:rStyle w:val="Oldalszm1"/>
          <w:sz w:val="24"/>
          <w:szCs w:val="24"/>
        </w:rPr>
        <w:t>5. Comment on the view that the biggest obstacle to accepting the supremacy of EU</w:t>
      </w:r>
    </w:p>
    <w:p w:rsidR="00E93EAB" w:rsidRPr="00AB54EC" w:rsidRDefault="00E93EAB" w:rsidP="00E93EAB">
      <w:pPr>
        <w:pBdr>
          <w:bottom w:val="single" w:sz="4" w:space="1" w:color="auto"/>
        </w:pBdr>
        <w:ind w:left="180"/>
        <w:jc w:val="both"/>
        <w:rPr>
          <w:rStyle w:val="Oldalszm1"/>
          <w:sz w:val="24"/>
          <w:szCs w:val="24"/>
        </w:rPr>
      </w:pPr>
      <w:proofErr w:type="gramStart"/>
      <w:r w:rsidRPr="00AB54EC">
        <w:rPr>
          <w:rStyle w:val="Oldalszm1"/>
          <w:sz w:val="24"/>
          <w:szCs w:val="24"/>
        </w:rPr>
        <w:t>law</w:t>
      </w:r>
      <w:proofErr w:type="gramEnd"/>
      <w:r w:rsidRPr="00AB54EC">
        <w:rPr>
          <w:rStyle w:val="Oldalszm1"/>
          <w:sz w:val="24"/>
          <w:szCs w:val="24"/>
        </w:rPr>
        <w:t xml:space="preserve"> in the United Kingdom was and is the doctrine of parliamentary sovereignty.</w:t>
      </w:r>
    </w:p>
    <w:p w:rsidR="00E93EAB" w:rsidRPr="00AB54EC" w:rsidRDefault="00E93EAB" w:rsidP="00E93EAB">
      <w:pPr>
        <w:pBdr>
          <w:bottom w:val="single" w:sz="4" w:space="1" w:color="auto"/>
        </w:pBdr>
        <w:ind w:left="180"/>
        <w:jc w:val="both"/>
        <w:rPr>
          <w:rStyle w:val="Oldalszm1"/>
          <w:sz w:val="24"/>
          <w:szCs w:val="24"/>
        </w:rPr>
      </w:pPr>
      <w:r w:rsidRPr="00AB54EC">
        <w:rPr>
          <w:rStyle w:val="Oldalszm1"/>
          <w:sz w:val="24"/>
          <w:szCs w:val="24"/>
        </w:rPr>
        <w:t xml:space="preserve">6. How did the 1972 European Communities Act assist in the recognition of primacy </w:t>
      </w:r>
      <w:proofErr w:type="gramStart"/>
      <w:r w:rsidRPr="00AB54EC">
        <w:rPr>
          <w:rStyle w:val="Oldalszm1"/>
          <w:sz w:val="24"/>
          <w:szCs w:val="24"/>
        </w:rPr>
        <w:t>of</w:t>
      </w:r>
      <w:proofErr w:type="gramEnd"/>
    </w:p>
    <w:p w:rsidR="00E93EAB" w:rsidRPr="00AB54EC" w:rsidRDefault="00E93EAB" w:rsidP="00E93EAB">
      <w:pPr>
        <w:pBdr>
          <w:bottom w:val="single" w:sz="4" w:space="1" w:color="auto"/>
        </w:pBdr>
        <w:ind w:left="180"/>
        <w:jc w:val="both"/>
        <w:rPr>
          <w:rStyle w:val="Oldalszm1"/>
          <w:sz w:val="24"/>
          <w:szCs w:val="24"/>
        </w:rPr>
      </w:pPr>
      <w:r w:rsidRPr="00AB54EC">
        <w:rPr>
          <w:rStyle w:val="Oldalszm1"/>
          <w:sz w:val="24"/>
          <w:szCs w:val="24"/>
        </w:rPr>
        <w:t>EU law in the United Kingdom? Has there been a retreat from this acceptance?</w:t>
      </w:r>
    </w:p>
    <w:p w:rsidR="00E93EAB" w:rsidRPr="00AB54EC" w:rsidRDefault="00E93EAB" w:rsidP="00E93EAB">
      <w:pPr>
        <w:pBdr>
          <w:bottom w:val="single" w:sz="4" w:space="1" w:color="auto"/>
        </w:pBdr>
        <w:ind w:left="180"/>
        <w:jc w:val="both"/>
        <w:rPr>
          <w:rStyle w:val="Oldalszm1"/>
          <w:sz w:val="24"/>
          <w:szCs w:val="24"/>
        </w:rPr>
      </w:pPr>
      <w:r w:rsidRPr="00AB54EC">
        <w:rPr>
          <w:rStyle w:val="Oldalszm1"/>
          <w:sz w:val="24"/>
          <w:szCs w:val="24"/>
        </w:rPr>
        <w:t>7. The greater protection of human rights in the German Constitution has effectively</w:t>
      </w:r>
    </w:p>
    <w:p w:rsidR="00E93EAB" w:rsidRPr="00AB54EC" w:rsidRDefault="00E93EAB" w:rsidP="00E93EAB">
      <w:pPr>
        <w:pBdr>
          <w:bottom w:val="single" w:sz="4" w:space="1" w:color="auto"/>
        </w:pBdr>
        <w:ind w:left="180"/>
        <w:jc w:val="both"/>
        <w:rPr>
          <w:rStyle w:val="Oldalszm1"/>
          <w:sz w:val="24"/>
          <w:szCs w:val="24"/>
        </w:rPr>
      </w:pPr>
      <w:proofErr w:type="gramStart"/>
      <w:r w:rsidRPr="00AB54EC">
        <w:rPr>
          <w:rStyle w:val="Oldalszm1"/>
          <w:sz w:val="24"/>
          <w:szCs w:val="24"/>
        </w:rPr>
        <w:t>denied</w:t>
      </w:r>
      <w:proofErr w:type="gramEnd"/>
      <w:r w:rsidRPr="00AB54EC">
        <w:rPr>
          <w:rStyle w:val="Oldalszm1"/>
          <w:sz w:val="24"/>
          <w:szCs w:val="24"/>
        </w:rPr>
        <w:t xml:space="preserve"> supremacy to EU law. Explain by reference to German court cases.</w:t>
      </w:r>
    </w:p>
    <w:p w:rsidR="00E93EAB" w:rsidRPr="00AB54EC" w:rsidRDefault="00E93EAB" w:rsidP="00E93EAB">
      <w:pPr>
        <w:pBdr>
          <w:bottom w:val="single" w:sz="4" w:space="1" w:color="auto"/>
        </w:pBdr>
        <w:ind w:left="180"/>
        <w:jc w:val="both"/>
        <w:rPr>
          <w:rStyle w:val="Oldalszm1"/>
          <w:sz w:val="24"/>
          <w:szCs w:val="24"/>
        </w:rPr>
      </w:pPr>
      <w:r w:rsidRPr="00AB54EC">
        <w:rPr>
          <w:rStyle w:val="Oldalszm1"/>
          <w:sz w:val="24"/>
          <w:szCs w:val="24"/>
        </w:rPr>
        <w:t>8. German courts more readily accepted direct effect than supremacy of EC law.</w:t>
      </w:r>
    </w:p>
    <w:p w:rsidR="00E93EAB" w:rsidRPr="00AB54EC" w:rsidRDefault="00E93EAB" w:rsidP="00E93EAB">
      <w:pPr>
        <w:pBdr>
          <w:bottom w:val="single" w:sz="4" w:space="1" w:color="auto"/>
        </w:pBdr>
        <w:ind w:left="180"/>
        <w:jc w:val="both"/>
        <w:rPr>
          <w:rStyle w:val="Oldalszm1"/>
          <w:sz w:val="24"/>
          <w:szCs w:val="24"/>
        </w:rPr>
      </w:pPr>
      <w:r w:rsidRPr="00AB54EC">
        <w:rPr>
          <w:rStyle w:val="Oldalszm1"/>
          <w:sz w:val="24"/>
          <w:szCs w:val="24"/>
        </w:rPr>
        <w:t>Explain by reference to cases from the German courts. Explain the importance of the</w:t>
      </w:r>
    </w:p>
    <w:p w:rsidR="00E93EAB" w:rsidRPr="00AB54EC" w:rsidRDefault="00E93EAB" w:rsidP="00E93EAB">
      <w:pPr>
        <w:pBdr>
          <w:bottom w:val="single" w:sz="4" w:space="1" w:color="auto"/>
        </w:pBdr>
        <w:ind w:left="180"/>
        <w:jc w:val="both"/>
        <w:rPr>
          <w:rStyle w:val="Oldalszm1"/>
          <w:sz w:val="24"/>
          <w:szCs w:val="24"/>
        </w:rPr>
      </w:pPr>
      <w:r w:rsidRPr="00AB54EC">
        <w:rPr>
          <w:rStyle w:val="Oldalszm1"/>
          <w:sz w:val="24"/>
          <w:szCs w:val="24"/>
        </w:rPr>
        <w:t>Honeywell decision of the German Constitutional Court!</w:t>
      </w:r>
    </w:p>
    <w:p w:rsidR="00E93EAB" w:rsidRPr="00AB54EC" w:rsidRDefault="00E93EAB" w:rsidP="00E93EAB">
      <w:pPr>
        <w:pBdr>
          <w:bottom w:val="single" w:sz="4" w:space="1" w:color="auto"/>
        </w:pBdr>
        <w:ind w:left="180"/>
        <w:jc w:val="both"/>
        <w:rPr>
          <w:rStyle w:val="Oldalszm1"/>
          <w:sz w:val="24"/>
          <w:szCs w:val="24"/>
        </w:rPr>
      </w:pPr>
      <w:r w:rsidRPr="00AB54EC">
        <w:rPr>
          <w:rStyle w:val="Oldalszm1"/>
          <w:sz w:val="24"/>
          <w:szCs w:val="24"/>
        </w:rPr>
        <w:t>9. With respect to remedies in national courts for breach of EU law, the CJEU has</w:t>
      </w:r>
    </w:p>
    <w:p w:rsidR="00E93EAB" w:rsidRPr="00AB54EC" w:rsidRDefault="00E93EAB" w:rsidP="00E93EAB">
      <w:pPr>
        <w:pBdr>
          <w:bottom w:val="single" w:sz="4" w:space="1" w:color="auto"/>
        </w:pBdr>
        <w:ind w:left="180"/>
        <w:jc w:val="both"/>
        <w:rPr>
          <w:rStyle w:val="Oldalszm1"/>
          <w:sz w:val="24"/>
          <w:szCs w:val="24"/>
        </w:rPr>
      </w:pPr>
      <w:proofErr w:type="gramStart"/>
      <w:r w:rsidRPr="00AB54EC">
        <w:rPr>
          <w:rStyle w:val="Oldalszm1"/>
          <w:sz w:val="24"/>
          <w:szCs w:val="24"/>
        </w:rPr>
        <w:t>developed</w:t>
      </w:r>
      <w:proofErr w:type="gramEnd"/>
      <w:r w:rsidRPr="00AB54EC">
        <w:rPr>
          <w:rStyle w:val="Oldalszm1"/>
          <w:sz w:val="24"/>
          <w:szCs w:val="24"/>
        </w:rPr>
        <w:t xml:space="preserve"> certain principles. Explain, with reference to cases.</w:t>
      </w:r>
    </w:p>
    <w:p w:rsidR="00E93EAB" w:rsidRPr="00AB54EC" w:rsidRDefault="00E93EAB" w:rsidP="00E93EAB">
      <w:pPr>
        <w:pBdr>
          <w:bottom w:val="single" w:sz="4" w:space="1" w:color="auto"/>
        </w:pBdr>
        <w:ind w:left="180"/>
        <w:jc w:val="both"/>
        <w:rPr>
          <w:rStyle w:val="Oldalszm1"/>
          <w:sz w:val="24"/>
          <w:szCs w:val="24"/>
        </w:rPr>
      </w:pPr>
      <w:r w:rsidRPr="00AB54EC">
        <w:rPr>
          <w:rStyle w:val="Oldalszm1"/>
          <w:sz w:val="24"/>
          <w:szCs w:val="24"/>
        </w:rPr>
        <w:lastRenderedPageBreak/>
        <w:t xml:space="preserve">10. In the field of remedies, what is meant by the phrase “national </w:t>
      </w:r>
      <w:proofErr w:type="gramStart"/>
      <w:r w:rsidRPr="00AB54EC">
        <w:rPr>
          <w:rStyle w:val="Oldalszm1"/>
          <w:sz w:val="24"/>
          <w:szCs w:val="24"/>
        </w:rPr>
        <w:t>procedural</w:t>
      </w:r>
      <w:proofErr w:type="gramEnd"/>
    </w:p>
    <w:p w:rsidR="00E93EAB" w:rsidRPr="00AB54EC" w:rsidRDefault="00E93EAB" w:rsidP="00E93EAB">
      <w:pPr>
        <w:pBdr>
          <w:bottom w:val="single" w:sz="4" w:space="1" w:color="auto"/>
        </w:pBdr>
        <w:ind w:left="180"/>
        <w:jc w:val="both"/>
        <w:rPr>
          <w:rStyle w:val="Oldalszm1"/>
          <w:sz w:val="24"/>
          <w:szCs w:val="24"/>
        </w:rPr>
      </w:pPr>
      <w:proofErr w:type="gramStart"/>
      <w:r w:rsidRPr="00AB54EC">
        <w:rPr>
          <w:rStyle w:val="Oldalszm1"/>
          <w:sz w:val="24"/>
          <w:szCs w:val="24"/>
        </w:rPr>
        <w:t>autonomy</w:t>
      </w:r>
      <w:proofErr w:type="gramEnd"/>
      <w:r w:rsidRPr="00AB54EC">
        <w:rPr>
          <w:rStyle w:val="Oldalszm1"/>
          <w:sz w:val="24"/>
          <w:szCs w:val="24"/>
        </w:rPr>
        <w:t>”?</w:t>
      </w:r>
    </w:p>
    <w:p w:rsidR="00E93EAB" w:rsidRPr="00AB54EC" w:rsidRDefault="00E93EAB" w:rsidP="00E93EAB">
      <w:pPr>
        <w:pBdr>
          <w:bottom w:val="single" w:sz="4" w:space="31" w:color="auto"/>
        </w:pBdr>
        <w:ind w:left="180"/>
        <w:jc w:val="both"/>
        <w:rPr>
          <w:rStyle w:val="Oldalszm1"/>
          <w:sz w:val="24"/>
          <w:szCs w:val="24"/>
        </w:rPr>
      </w:pPr>
      <w:r w:rsidRPr="00AB54EC">
        <w:rPr>
          <w:rStyle w:val="Oldalszm1"/>
          <w:sz w:val="24"/>
          <w:szCs w:val="24"/>
        </w:rPr>
        <w:t>11. Decisions of the CJEU changed the provision of remedies in the Member States.</w:t>
      </w:r>
    </w:p>
    <w:p w:rsidR="00E93EAB" w:rsidRPr="00AB54EC" w:rsidRDefault="00E93EAB" w:rsidP="00E93EAB">
      <w:pPr>
        <w:pBdr>
          <w:bottom w:val="single" w:sz="4" w:space="31" w:color="auto"/>
        </w:pBdr>
        <w:ind w:left="180"/>
        <w:jc w:val="both"/>
        <w:rPr>
          <w:rStyle w:val="Oldalszm1"/>
          <w:sz w:val="24"/>
          <w:szCs w:val="24"/>
        </w:rPr>
      </w:pPr>
      <w:r w:rsidRPr="00AB54EC">
        <w:rPr>
          <w:rStyle w:val="Oldalszm1"/>
          <w:sz w:val="24"/>
          <w:szCs w:val="24"/>
        </w:rPr>
        <w:t>Discuss this statement with reference to the facts and implications of two CJEU</w:t>
      </w:r>
    </w:p>
    <w:p w:rsidR="00E93EAB" w:rsidRPr="00AB54EC" w:rsidRDefault="00E93EAB" w:rsidP="00E93EAB">
      <w:pPr>
        <w:pBdr>
          <w:bottom w:val="single" w:sz="4" w:space="31" w:color="auto"/>
        </w:pBdr>
        <w:ind w:left="180"/>
        <w:jc w:val="both"/>
        <w:rPr>
          <w:rStyle w:val="Oldalszm1"/>
          <w:sz w:val="24"/>
          <w:szCs w:val="24"/>
        </w:rPr>
      </w:pPr>
      <w:proofErr w:type="gramStart"/>
      <w:r w:rsidRPr="00AB54EC">
        <w:rPr>
          <w:rStyle w:val="Oldalszm1"/>
          <w:sz w:val="24"/>
          <w:szCs w:val="24"/>
        </w:rPr>
        <w:t>decisions</w:t>
      </w:r>
      <w:proofErr w:type="gramEnd"/>
      <w:r w:rsidRPr="00AB54EC">
        <w:rPr>
          <w:rStyle w:val="Oldalszm1"/>
          <w:sz w:val="24"/>
          <w:szCs w:val="24"/>
        </w:rPr>
        <w:t>.</w:t>
      </w:r>
    </w:p>
    <w:p w:rsidR="00E93EAB" w:rsidRPr="00AB54EC" w:rsidRDefault="00E93EAB" w:rsidP="00E93EAB">
      <w:pPr>
        <w:pBdr>
          <w:bottom w:val="single" w:sz="4" w:space="31" w:color="auto"/>
        </w:pBdr>
        <w:ind w:left="180"/>
        <w:jc w:val="both"/>
        <w:rPr>
          <w:rStyle w:val="Oldalszm1"/>
          <w:sz w:val="24"/>
          <w:szCs w:val="24"/>
        </w:rPr>
      </w:pPr>
      <w:r w:rsidRPr="00AB54EC">
        <w:rPr>
          <w:rStyle w:val="Oldalszm1"/>
          <w:sz w:val="24"/>
          <w:szCs w:val="24"/>
        </w:rPr>
        <w:t xml:space="preserve">12. The rulings of the CJEU in </w:t>
      </w:r>
      <w:proofErr w:type="spellStart"/>
      <w:r w:rsidRPr="00AB54EC">
        <w:rPr>
          <w:rStyle w:val="Oldalszm1"/>
          <w:sz w:val="24"/>
          <w:szCs w:val="24"/>
        </w:rPr>
        <w:t>Francovich</w:t>
      </w:r>
      <w:proofErr w:type="spellEnd"/>
      <w:r w:rsidRPr="00AB54EC">
        <w:rPr>
          <w:rStyle w:val="Oldalszm1"/>
          <w:sz w:val="24"/>
          <w:szCs w:val="24"/>
        </w:rPr>
        <w:t xml:space="preserve"> and Brasserie de </w:t>
      </w:r>
      <w:proofErr w:type="spellStart"/>
      <w:r w:rsidRPr="00AB54EC">
        <w:rPr>
          <w:rStyle w:val="Oldalszm1"/>
          <w:sz w:val="24"/>
          <w:szCs w:val="24"/>
        </w:rPr>
        <w:t>Pêcheur</w:t>
      </w:r>
      <w:proofErr w:type="spellEnd"/>
      <w:r w:rsidRPr="00AB54EC">
        <w:rPr>
          <w:rStyle w:val="Oldalszm1"/>
          <w:sz w:val="24"/>
          <w:szCs w:val="24"/>
        </w:rPr>
        <w:t xml:space="preserve"> are some of the</w:t>
      </w:r>
    </w:p>
    <w:p w:rsidR="00E93EAB" w:rsidRPr="00AB54EC" w:rsidRDefault="00E93EAB" w:rsidP="00E93EAB">
      <w:pPr>
        <w:pBdr>
          <w:bottom w:val="single" w:sz="4" w:space="31" w:color="auto"/>
        </w:pBdr>
        <w:ind w:left="180"/>
        <w:jc w:val="both"/>
        <w:rPr>
          <w:rStyle w:val="Oldalszm1"/>
          <w:sz w:val="24"/>
          <w:szCs w:val="24"/>
        </w:rPr>
      </w:pPr>
      <w:proofErr w:type="gramStart"/>
      <w:r w:rsidRPr="00AB54EC">
        <w:rPr>
          <w:rStyle w:val="Oldalszm1"/>
          <w:sz w:val="24"/>
          <w:szCs w:val="24"/>
        </w:rPr>
        <w:t>most</w:t>
      </w:r>
      <w:proofErr w:type="gramEnd"/>
      <w:r w:rsidRPr="00AB54EC">
        <w:rPr>
          <w:rStyle w:val="Oldalszm1"/>
          <w:sz w:val="24"/>
          <w:szCs w:val="24"/>
        </w:rPr>
        <w:t xml:space="preserve"> important decisions ever delivered. Discuss.</w:t>
      </w:r>
    </w:p>
    <w:p w:rsidR="00E93EAB" w:rsidRPr="00AB54EC" w:rsidRDefault="00E93EAB" w:rsidP="00E93EAB">
      <w:pPr>
        <w:pBdr>
          <w:bottom w:val="single" w:sz="4" w:space="31" w:color="auto"/>
        </w:pBdr>
        <w:ind w:left="180"/>
        <w:jc w:val="both"/>
        <w:rPr>
          <w:rStyle w:val="Oldalszm1"/>
          <w:sz w:val="24"/>
          <w:szCs w:val="24"/>
        </w:rPr>
      </w:pPr>
      <w:r w:rsidRPr="00AB54EC">
        <w:rPr>
          <w:rStyle w:val="Oldalszm1"/>
          <w:sz w:val="24"/>
          <w:szCs w:val="24"/>
        </w:rPr>
        <w:t xml:space="preserve">13. Explain the importance of the </w:t>
      </w:r>
      <w:proofErr w:type="spellStart"/>
      <w:r w:rsidRPr="00AB54EC">
        <w:rPr>
          <w:rStyle w:val="Oldalszm1"/>
          <w:sz w:val="24"/>
          <w:szCs w:val="24"/>
        </w:rPr>
        <w:t>Factortame</w:t>
      </w:r>
      <w:proofErr w:type="spellEnd"/>
      <w:r w:rsidRPr="00AB54EC">
        <w:rPr>
          <w:rStyle w:val="Oldalszm1"/>
          <w:sz w:val="24"/>
          <w:szCs w:val="24"/>
        </w:rPr>
        <w:t xml:space="preserve"> case story from the point of view of British</w:t>
      </w:r>
    </w:p>
    <w:p w:rsidR="00E93EAB" w:rsidRPr="00AB54EC" w:rsidRDefault="00E93EAB" w:rsidP="00E93EAB">
      <w:pPr>
        <w:pBdr>
          <w:bottom w:val="single" w:sz="4" w:space="31" w:color="auto"/>
        </w:pBdr>
        <w:ind w:left="180"/>
        <w:jc w:val="both"/>
        <w:rPr>
          <w:rStyle w:val="Oldalszm1"/>
          <w:sz w:val="24"/>
          <w:szCs w:val="24"/>
        </w:rPr>
      </w:pPr>
      <w:proofErr w:type="gramStart"/>
      <w:r w:rsidRPr="00AB54EC">
        <w:rPr>
          <w:rStyle w:val="Oldalszm1"/>
          <w:sz w:val="24"/>
          <w:szCs w:val="24"/>
        </w:rPr>
        <w:t>law</w:t>
      </w:r>
      <w:proofErr w:type="gramEnd"/>
      <w:r w:rsidRPr="00AB54EC">
        <w:rPr>
          <w:rStyle w:val="Oldalszm1"/>
          <w:sz w:val="24"/>
          <w:szCs w:val="24"/>
        </w:rPr>
        <w:t>, in respect of both interim relief and state liability.</w:t>
      </w:r>
    </w:p>
    <w:p w:rsidR="00E93EAB" w:rsidRPr="00AB54EC" w:rsidRDefault="00E93EAB" w:rsidP="00E93EAB">
      <w:pPr>
        <w:pBdr>
          <w:bottom w:val="single" w:sz="4" w:space="31" w:color="auto"/>
        </w:pBdr>
        <w:ind w:left="180"/>
        <w:jc w:val="both"/>
        <w:rPr>
          <w:rStyle w:val="Oldalszm1"/>
          <w:sz w:val="24"/>
          <w:szCs w:val="24"/>
        </w:rPr>
      </w:pPr>
      <w:r w:rsidRPr="00AB54EC">
        <w:rPr>
          <w:rStyle w:val="Oldalszm1"/>
          <w:sz w:val="24"/>
          <w:szCs w:val="24"/>
        </w:rPr>
        <w:t xml:space="preserve">14. Explain the differences in effect between “total </w:t>
      </w:r>
      <w:proofErr w:type="spellStart"/>
      <w:r w:rsidRPr="00AB54EC">
        <w:rPr>
          <w:rStyle w:val="Oldalszm1"/>
          <w:sz w:val="24"/>
          <w:szCs w:val="24"/>
        </w:rPr>
        <w:t>harmonisation</w:t>
      </w:r>
      <w:proofErr w:type="spellEnd"/>
      <w:r w:rsidRPr="00AB54EC">
        <w:rPr>
          <w:rStyle w:val="Oldalszm1"/>
          <w:sz w:val="24"/>
          <w:szCs w:val="24"/>
        </w:rPr>
        <w:t>” and “minimum</w:t>
      </w:r>
    </w:p>
    <w:p w:rsidR="00E93EAB" w:rsidRPr="00AB54EC" w:rsidRDefault="00E93EAB" w:rsidP="00E93EAB">
      <w:pPr>
        <w:pBdr>
          <w:bottom w:val="single" w:sz="4" w:space="31" w:color="auto"/>
        </w:pBdr>
        <w:ind w:left="180"/>
        <w:jc w:val="both"/>
        <w:rPr>
          <w:rStyle w:val="Oldalszm1"/>
          <w:sz w:val="24"/>
          <w:szCs w:val="24"/>
        </w:rPr>
      </w:pPr>
      <w:proofErr w:type="spellStart"/>
      <w:proofErr w:type="gramStart"/>
      <w:r w:rsidRPr="00AB54EC">
        <w:rPr>
          <w:rStyle w:val="Oldalszm1"/>
          <w:sz w:val="24"/>
          <w:szCs w:val="24"/>
        </w:rPr>
        <w:t>harmonisation</w:t>
      </w:r>
      <w:proofErr w:type="spellEnd"/>
      <w:proofErr w:type="gramEnd"/>
      <w:r w:rsidRPr="00AB54EC">
        <w:rPr>
          <w:rStyle w:val="Oldalszm1"/>
          <w:sz w:val="24"/>
          <w:szCs w:val="24"/>
        </w:rPr>
        <w:t>,” referring to EU sources to provide examples.</w:t>
      </w:r>
    </w:p>
    <w:p w:rsidR="00E93EAB" w:rsidRPr="00AB54EC" w:rsidRDefault="00E93EAB" w:rsidP="00E93EAB">
      <w:pPr>
        <w:pBdr>
          <w:bottom w:val="single" w:sz="4" w:space="31" w:color="auto"/>
        </w:pBdr>
        <w:ind w:left="180"/>
        <w:jc w:val="both"/>
        <w:rPr>
          <w:rStyle w:val="Oldalszm1"/>
          <w:sz w:val="24"/>
          <w:szCs w:val="24"/>
        </w:rPr>
      </w:pPr>
      <w:r w:rsidRPr="00AB54EC">
        <w:rPr>
          <w:rStyle w:val="Oldalszm1"/>
          <w:sz w:val="24"/>
          <w:szCs w:val="24"/>
        </w:rPr>
        <w:t xml:space="preserve">15. What are the different legal bases (Treaty Articles) for </w:t>
      </w:r>
      <w:proofErr w:type="spellStart"/>
      <w:r w:rsidRPr="00AB54EC">
        <w:rPr>
          <w:rStyle w:val="Oldalszm1"/>
          <w:sz w:val="24"/>
          <w:szCs w:val="24"/>
        </w:rPr>
        <w:t>harmonisation</w:t>
      </w:r>
      <w:proofErr w:type="spellEnd"/>
      <w:r w:rsidRPr="00AB54EC">
        <w:rPr>
          <w:rStyle w:val="Oldalszm1"/>
          <w:sz w:val="24"/>
          <w:szCs w:val="24"/>
        </w:rPr>
        <w:t>? Discuss by</w:t>
      </w:r>
    </w:p>
    <w:p w:rsidR="00E93EAB" w:rsidRDefault="00E93EAB" w:rsidP="00E93EAB">
      <w:pPr>
        <w:pBdr>
          <w:bottom w:val="single" w:sz="4" w:space="31" w:color="auto"/>
        </w:pBdr>
        <w:ind w:left="180"/>
        <w:jc w:val="both"/>
        <w:rPr>
          <w:rStyle w:val="Oldalszm1"/>
          <w:sz w:val="24"/>
          <w:szCs w:val="24"/>
        </w:rPr>
      </w:pPr>
      <w:proofErr w:type="gramStart"/>
      <w:r w:rsidRPr="00AB54EC">
        <w:rPr>
          <w:rStyle w:val="Oldalszm1"/>
          <w:sz w:val="24"/>
          <w:szCs w:val="24"/>
        </w:rPr>
        <w:t>highlighting</w:t>
      </w:r>
      <w:proofErr w:type="gramEnd"/>
      <w:r w:rsidRPr="00AB54EC">
        <w:rPr>
          <w:rStyle w:val="Oldalszm1"/>
          <w:sz w:val="24"/>
          <w:szCs w:val="24"/>
        </w:rPr>
        <w:t xml:space="preserve"> the differences between them, especial</w:t>
      </w:r>
      <w:r>
        <w:rPr>
          <w:rStyle w:val="Oldalszm1"/>
          <w:sz w:val="24"/>
          <w:szCs w:val="24"/>
        </w:rPr>
        <w:t>ly as to when they may be used.</w:t>
      </w:r>
    </w:p>
    <w:p w:rsidR="00E93EAB" w:rsidRDefault="00E93EAB" w:rsidP="00E93EAB">
      <w:pPr>
        <w:pBdr>
          <w:bottom w:val="single" w:sz="4" w:space="31" w:color="auto"/>
        </w:pBdr>
        <w:ind w:left="180"/>
        <w:jc w:val="both"/>
        <w:rPr>
          <w:rStyle w:val="Oldalszm1"/>
          <w:sz w:val="24"/>
          <w:szCs w:val="24"/>
        </w:rPr>
      </w:pPr>
    </w:p>
    <w:p w:rsidR="00E93EAB" w:rsidRPr="00AB54EC" w:rsidRDefault="00E93EAB" w:rsidP="00E93EAB">
      <w:pPr>
        <w:pBdr>
          <w:bottom w:val="single" w:sz="4" w:space="31" w:color="auto"/>
        </w:pBdr>
        <w:ind w:left="180"/>
        <w:jc w:val="both"/>
        <w:rPr>
          <w:sz w:val="24"/>
          <w:szCs w:val="24"/>
          <w:lang w:val="en-US"/>
        </w:rPr>
      </w:pPr>
      <w:r w:rsidRPr="00AB54EC">
        <w:rPr>
          <w:rStyle w:val="Oldalszm1"/>
          <w:sz w:val="24"/>
          <w:szCs w:val="24"/>
        </w:rPr>
        <w:t>November 2014</w:t>
      </w:r>
    </w:p>
    <w:p w:rsidR="00736E8A" w:rsidRDefault="00736E8A"/>
    <w:sectPr w:rsidR="00736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imes New Roman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AB"/>
    <w:rsid w:val="00736E8A"/>
    <w:rsid w:val="009F199F"/>
    <w:rsid w:val="00E93E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930B7-53EF-4033-9A08-163B40C2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93EAB"/>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yperlink1">
    <w:name w:val="Hyperlink.1"/>
    <w:basedOn w:val="Bekezdsalapbettpusa"/>
    <w:rsid w:val="00E93EAB"/>
    <w:rPr>
      <w:color w:val="000080"/>
      <w:u w:val="single" w:color="000080"/>
      <w:rtl w:val="0"/>
    </w:rPr>
  </w:style>
  <w:style w:type="character" w:customStyle="1" w:styleId="Oldalszm1">
    <w:name w:val="Oldalszám1"/>
    <w:rsid w:val="00E93EAB"/>
    <w:rPr>
      <w:lang w:val="en-US"/>
    </w:rPr>
  </w:style>
  <w:style w:type="paragraph" w:styleId="Cm">
    <w:name w:val="Title"/>
    <w:basedOn w:val="Norml"/>
    <w:next w:val="Norml"/>
    <w:link w:val="CmChar"/>
    <w:uiPriority w:val="10"/>
    <w:qFormat/>
    <w:rsid w:val="00E93EAB"/>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E93EAB"/>
    <w:rPr>
      <w:rFonts w:asciiTheme="majorHAnsi" w:eastAsiaTheme="majorEastAsia" w:hAnsiTheme="majorHAnsi" w:cstheme="majorBidi"/>
      <w:spacing w:val="-10"/>
      <w:kern w:val="28"/>
      <w:sz w:val="56"/>
      <w:szCs w:val="5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enters.law.nyu.edu/jeanmonnet/courses/eu/material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4472</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Pollák Zsuzsanna</dc:creator>
  <cp:keywords/>
  <dc:description/>
  <cp:lastModifiedBy>Pollák Zsuzsanna</cp:lastModifiedBy>
  <cp:revision>2</cp:revision>
  <dcterms:created xsi:type="dcterms:W3CDTF">2015-10-13T12:42:00Z</dcterms:created>
  <dcterms:modified xsi:type="dcterms:W3CDTF">2015-10-13T12:42:00Z</dcterms:modified>
</cp:coreProperties>
</file>