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C6" w:rsidRPr="001D2DC6" w:rsidRDefault="001D2DC6" w:rsidP="001D2DC6">
      <w:pPr>
        <w:pStyle w:val="Cm"/>
        <w:rPr>
          <w:b/>
          <w:bCs/>
          <w:sz w:val="32"/>
          <w:szCs w:val="32"/>
          <w:u w:val="single"/>
        </w:rPr>
      </w:pPr>
      <w:r w:rsidRPr="001D2DC6">
        <w:rPr>
          <w:sz w:val="32"/>
          <w:szCs w:val="32"/>
          <w:shd w:val="clear" w:color="auto" w:fill="FFFFFF"/>
        </w:rPr>
        <w:t>JDSI-EU</w:t>
      </w:r>
      <w:bookmarkStart w:id="0" w:name="_GoBack"/>
      <w:bookmarkEnd w:id="0"/>
      <w:r w:rsidRPr="001D2DC6">
        <w:rPr>
          <w:sz w:val="32"/>
          <w:szCs w:val="32"/>
          <w:shd w:val="clear" w:color="auto" w:fill="FFFFFF"/>
        </w:rPr>
        <w:t>A 2131</w:t>
      </w:r>
    </w:p>
    <w:p w:rsidR="001D2DC6" w:rsidRPr="000164D3" w:rsidRDefault="001D2DC6" w:rsidP="001D2DC6">
      <w:pPr>
        <w:spacing w:after="200" w:line="276" w:lineRule="auto"/>
        <w:rPr>
          <w:b/>
          <w:bCs/>
          <w:sz w:val="24"/>
          <w:szCs w:val="24"/>
          <w:u w:val="single"/>
        </w:rPr>
      </w:pPr>
      <w:proofErr w:type="spellStart"/>
      <w:r w:rsidRPr="000164D3">
        <w:rPr>
          <w:b/>
          <w:bCs/>
          <w:sz w:val="24"/>
          <w:szCs w:val="24"/>
          <w:u w:val="single"/>
        </w:rPr>
        <w:t>Economy</w:t>
      </w:r>
      <w:proofErr w:type="spellEnd"/>
      <w:r w:rsidRPr="000164D3">
        <w:rPr>
          <w:b/>
          <w:bCs/>
          <w:sz w:val="24"/>
          <w:szCs w:val="24"/>
          <w:u w:val="single"/>
        </w:rPr>
        <w:t xml:space="preserve"> of </w:t>
      </w:r>
      <w:proofErr w:type="spellStart"/>
      <w:r w:rsidRPr="000164D3">
        <w:rPr>
          <w:b/>
          <w:bCs/>
          <w:sz w:val="24"/>
          <w:szCs w:val="24"/>
          <w:u w:val="single"/>
        </w:rPr>
        <w:t>the</w:t>
      </w:r>
      <w:proofErr w:type="spellEnd"/>
      <w:r w:rsidRPr="000164D3">
        <w:rPr>
          <w:b/>
          <w:bCs/>
          <w:sz w:val="24"/>
          <w:szCs w:val="24"/>
          <w:u w:val="single"/>
        </w:rPr>
        <w:t xml:space="preserve"> EC – EU Policy </w:t>
      </w:r>
      <w:proofErr w:type="spellStart"/>
      <w:r w:rsidRPr="000164D3">
        <w:rPr>
          <w:b/>
          <w:bCs/>
          <w:sz w:val="24"/>
          <w:szCs w:val="24"/>
          <w:u w:val="single"/>
        </w:rPr>
        <w:t>Making</w:t>
      </w:r>
      <w:proofErr w:type="spellEnd"/>
    </w:p>
    <w:p w:rsidR="001D2DC6" w:rsidRPr="000164D3" w:rsidRDefault="001D2DC6" w:rsidP="001D2DC6">
      <w:pPr>
        <w:rPr>
          <w:b/>
          <w:bCs/>
          <w:sz w:val="24"/>
          <w:szCs w:val="24"/>
        </w:rPr>
      </w:pPr>
      <w:r w:rsidRPr="000164D3">
        <w:rPr>
          <w:b/>
          <w:bCs/>
          <w:sz w:val="24"/>
          <w:szCs w:val="24"/>
        </w:rPr>
        <w:t xml:space="preserve">Total </w:t>
      </w:r>
      <w:proofErr w:type="spellStart"/>
      <w:r w:rsidRPr="000164D3">
        <w:rPr>
          <w:b/>
          <w:bCs/>
          <w:sz w:val="24"/>
          <w:szCs w:val="24"/>
        </w:rPr>
        <w:t>number</w:t>
      </w:r>
      <w:proofErr w:type="spellEnd"/>
      <w:r w:rsidRPr="000164D3">
        <w:rPr>
          <w:b/>
          <w:bCs/>
          <w:sz w:val="24"/>
          <w:szCs w:val="24"/>
        </w:rPr>
        <w:t xml:space="preserve"> of </w:t>
      </w:r>
      <w:proofErr w:type="spellStart"/>
      <w:r w:rsidRPr="000164D3">
        <w:rPr>
          <w:b/>
          <w:bCs/>
          <w:sz w:val="24"/>
          <w:szCs w:val="24"/>
        </w:rPr>
        <w:t>lectures</w:t>
      </w:r>
      <w:proofErr w:type="spellEnd"/>
      <w:r w:rsidRPr="000164D3">
        <w:rPr>
          <w:b/>
          <w:bCs/>
          <w:sz w:val="24"/>
          <w:szCs w:val="24"/>
        </w:rPr>
        <w:t xml:space="preserve">: 12 </w:t>
      </w:r>
      <w:proofErr w:type="spellStart"/>
      <w:r w:rsidRPr="000164D3">
        <w:rPr>
          <w:b/>
          <w:bCs/>
          <w:sz w:val="24"/>
          <w:szCs w:val="24"/>
        </w:rPr>
        <w:t>hours</w:t>
      </w:r>
      <w:proofErr w:type="spellEnd"/>
    </w:p>
    <w:p w:rsidR="001D2DC6" w:rsidRPr="000164D3" w:rsidRDefault="001D2DC6" w:rsidP="001D2DC6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  <w:r w:rsidRPr="000164D3">
        <w:rPr>
          <w:b/>
          <w:bCs/>
          <w:sz w:val="24"/>
          <w:szCs w:val="24"/>
        </w:rPr>
        <w:t xml:space="preserve">: 6 </w:t>
      </w:r>
      <w:proofErr w:type="spellStart"/>
      <w:r w:rsidRPr="000164D3">
        <w:rPr>
          <w:b/>
          <w:bCs/>
          <w:sz w:val="24"/>
          <w:szCs w:val="24"/>
        </w:rPr>
        <w:t>credits</w:t>
      </w:r>
      <w:proofErr w:type="spellEnd"/>
    </w:p>
    <w:p w:rsidR="001D2DC6" w:rsidRPr="000164D3" w:rsidRDefault="001D2DC6" w:rsidP="001D2DC6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Examining</w:t>
      </w:r>
      <w:proofErr w:type="spellEnd"/>
      <w:r w:rsidRPr="000164D3">
        <w:rPr>
          <w:b/>
          <w:bCs/>
          <w:sz w:val="24"/>
          <w:szCs w:val="24"/>
        </w:rPr>
        <w:t xml:space="preserve">: </w:t>
      </w:r>
      <w:proofErr w:type="spellStart"/>
      <w:r w:rsidRPr="000164D3">
        <w:rPr>
          <w:b/>
          <w:bCs/>
          <w:sz w:val="24"/>
          <w:szCs w:val="24"/>
        </w:rPr>
        <w:t>exam</w:t>
      </w:r>
      <w:proofErr w:type="spellEnd"/>
    </w:p>
    <w:p w:rsidR="001D2DC6" w:rsidRPr="000164D3" w:rsidRDefault="001D2DC6" w:rsidP="001D2DC6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Lecturer</w:t>
      </w:r>
      <w:proofErr w:type="spellEnd"/>
      <w:r w:rsidRPr="000164D3">
        <w:rPr>
          <w:b/>
          <w:bCs/>
          <w:sz w:val="24"/>
          <w:szCs w:val="24"/>
        </w:rPr>
        <w:t xml:space="preserve">: dr. Hetényi, Géza / dr. </w:t>
      </w:r>
      <w:proofErr w:type="spellStart"/>
      <w:r w:rsidRPr="000164D3">
        <w:rPr>
          <w:b/>
          <w:bCs/>
          <w:sz w:val="24"/>
          <w:szCs w:val="24"/>
        </w:rPr>
        <w:t>Mocsáry</w:t>
      </w:r>
      <w:proofErr w:type="spellEnd"/>
      <w:r w:rsidRPr="000164D3">
        <w:rPr>
          <w:b/>
          <w:bCs/>
          <w:sz w:val="24"/>
          <w:szCs w:val="24"/>
        </w:rPr>
        <w:t xml:space="preserve"> Péter</w:t>
      </w:r>
    </w:p>
    <w:p w:rsidR="001D2DC6" w:rsidRPr="000164D3" w:rsidRDefault="001D2DC6" w:rsidP="001D2DC6">
      <w:pPr>
        <w:rPr>
          <w:sz w:val="24"/>
          <w:szCs w:val="24"/>
        </w:rPr>
      </w:pPr>
    </w:p>
    <w:p w:rsidR="001D2DC6" w:rsidRPr="000164D3" w:rsidRDefault="001D2DC6" w:rsidP="001D2DC6">
      <w:pPr>
        <w:rPr>
          <w:b/>
          <w:bCs/>
          <w:sz w:val="24"/>
          <w:szCs w:val="24"/>
        </w:rPr>
      </w:pPr>
      <w:proofErr w:type="spellStart"/>
      <w:r w:rsidRPr="000164D3">
        <w:rPr>
          <w:b/>
          <w:bCs/>
          <w:sz w:val="24"/>
          <w:szCs w:val="24"/>
        </w:rPr>
        <w:t>Themes</w:t>
      </w:r>
      <w:proofErr w:type="spellEnd"/>
      <w:r w:rsidRPr="000164D3">
        <w:rPr>
          <w:b/>
          <w:bCs/>
          <w:sz w:val="24"/>
          <w:szCs w:val="24"/>
        </w:rPr>
        <w:t>:</w:t>
      </w:r>
    </w:p>
    <w:p w:rsidR="001D2DC6" w:rsidRPr="000164D3" w:rsidRDefault="001D2DC6" w:rsidP="001D2DC6">
      <w:pPr>
        <w:ind w:left="180" w:hanging="180"/>
        <w:rPr>
          <w:sz w:val="24"/>
          <w:szCs w:val="24"/>
        </w:rPr>
      </w:pP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yearly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budget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European Union,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base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budgetary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principles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resources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traditional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own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resources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VAT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resource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GNI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resource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Correction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mechanisms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budget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New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proposal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multiannual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financial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framework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Current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negotiations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2014-2020 MFF.</w:t>
      </w: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Monetary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Union.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History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present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Functioning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euro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zone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Monetary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policy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Bank.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Crisis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Eurozone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Bailouts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(EFSF, EFSM, ESM)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functioning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policy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coordination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European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semester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Stability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Growth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Pact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Fiscal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Compact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Euro plus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pact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Reform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: van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Rompuy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initiative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Single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Market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fiscal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harmonisation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Fiscal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integration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beyond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custom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union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Economic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effects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tax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harmonisation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D2DC6" w:rsidRPr="000164D3" w:rsidRDefault="001D2DC6" w:rsidP="001D2D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Taxation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EU: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harmonisation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coordination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national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sovereignty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Direct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indirect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taxes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 xml:space="preserve">. New </w:t>
      </w:r>
      <w:proofErr w:type="spellStart"/>
      <w:r w:rsidRPr="000164D3">
        <w:rPr>
          <w:rFonts w:ascii="Times New Roman" w:hAnsi="Times New Roman" w:cs="Times New Roman"/>
          <w:sz w:val="24"/>
          <w:szCs w:val="24"/>
          <w:lang w:eastAsia="hu-HU"/>
        </w:rPr>
        <w:t>proposals</w:t>
      </w:r>
      <w:proofErr w:type="spellEnd"/>
      <w:r w:rsidRPr="000164D3">
        <w:rPr>
          <w:rFonts w:ascii="Times New Roman" w:hAnsi="Times New Roman" w:cs="Times New Roman"/>
          <w:sz w:val="24"/>
          <w:szCs w:val="24"/>
          <w:lang w:eastAsia="hu-HU"/>
        </w:rPr>
        <w:t>: CCCTB, FTT.</w:t>
      </w:r>
    </w:p>
    <w:p w:rsidR="001D2DC6" w:rsidRPr="000164D3" w:rsidRDefault="001D2DC6" w:rsidP="001D2DC6">
      <w:pPr>
        <w:rPr>
          <w:sz w:val="24"/>
          <w:szCs w:val="24"/>
        </w:rPr>
      </w:pPr>
    </w:p>
    <w:p w:rsidR="001D2DC6" w:rsidRPr="000164D3" w:rsidRDefault="001D2DC6" w:rsidP="001D2DC6">
      <w:pPr>
        <w:rPr>
          <w:sz w:val="24"/>
          <w:szCs w:val="24"/>
        </w:rPr>
      </w:pPr>
      <w:proofErr w:type="spellStart"/>
      <w:r w:rsidRPr="000164D3">
        <w:rPr>
          <w:sz w:val="24"/>
          <w:szCs w:val="24"/>
        </w:rPr>
        <w:t>Further</w:t>
      </w:r>
      <w:proofErr w:type="spellEnd"/>
      <w:r w:rsidRPr="000164D3">
        <w:rPr>
          <w:sz w:val="24"/>
          <w:szCs w:val="24"/>
        </w:rPr>
        <w:t xml:space="preserve"> </w:t>
      </w:r>
      <w:proofErr w:type="spellStart"/>
      <w:r w:rsidRPr="000164D3">
        <w:rPr>
          <w:sz w:val="24"/>
          <w:szCs w:val="24"/>
        </w:rPr>
        <w:t>reading</w:t>
      </w:r>
      <w:proofErr w:type="spellEnd"/>
      <w:r w:rsidRPr="000164D3">
        <w:rPr>
          <w:sz w:val="24"/>
          <w:szCs w:val="24"/>
        </w:rPr>
        <w:t>:</w:t>
      </w:r>
    </w:p>
    <w:p w:rsidR="001D2DC6" w:rsidRPr="000164D3" w:rsidRDefault="001D2DC6" w:rsidP="001D2DC6">
      <w:pPr>
        <w:spacing w:after="200" w:line="276" w:lineRule="auto"/>
        <w:rPr>
          <w:sz w:val="24"/>
          <w:szCs w:val="24"/>
        </w:rPr>
      </w:pPr>
    </w:p>
    <w:p w:rsidR="001D2DC6" w:rsidRPr="000164D3" w:rsidRDefault="001D2DC6" w:rsidP="001D2DC6">
      <w:pPr>
        <w:pStyle w:val="msolistparagraph0"/>
        <w:ind w:left="360"/>
      </w:pPr>
      <w:r w:rsidRPr="000164D3">
        <w:t xml:space="preserve">·         </w:t>
      </w:r>
      <w:proofErr w:type="spellStart"/>
      <w:r w:rsidRPr="000164D3">
        <w:t>Lisbon</w:t>
      </w:r>
      <w:proofErr w:type="spellEnd"/>
      <w:r w:rsidRPr="000164D3">
        <w:t xml:space="preserve"> </w:t>
      </w:r>
      <w:proofErr w:type="spellStart"/>
      <w:r w:rsidRPr="000164D3">
        <w:t>Treaty</w:t>
      </w:r>
      <w:proofErr w:type="spellEnd"/>
      <w:r w:rsidRPr="000164D3">
        <w:t xml:space="preserve"> (</w:t>
      </w:r>
      <w:proofErr w:type="spellStart"/>
      <w:r w:rsidRPr="000164D3">
        <w:t>Title</w:t>
      </w:r>
      <w:proofErr w:type="spellEnd"/>
      <w:r w:rsidRPr="000164D3">
        <w:t xml:space="preserve"> VIII.). </w:t>
      </w:r>
      <w:hyperlink r:id="rId5" w:tgtFrame="_blank" w:history="1">
        <w:r w:rsidRPr="000164D3">
          <w:rPr>
            <w:rStyle w:val="Hiperhivatkozs"/>
          </w:rPr>
          <w:t>http://eur-lex.europa.eu/LexUriServ/LexUriServ.do?uri=OJ:C:2010:083:FULL:EN:PDF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The euro: </w:t>
      </w:r>
      <w:hyperlink r:id="rId6" w:tgtFrame="_blank" w:history="1">
        <w:r w:rsidRPr="000164D3">
          <w:rPr>
            <w:rStyle w:val="Hiperhivatkozs"/>
          </w:rPr>
          <w:t>http://ec.europa.eu/economy_finance/euro/index_en.htm</w:t>
        </w:r>
      </w:hyperlink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</w:t>
      </w:r>
      <w:hyperlink r:id="rId7" w:tgtFrame="_blank" w:history="1">
        <w:r w:rsidRPr="000164D3">
          <w:rPr>
            <w:rStyle w:val="Hiperhivatkozs"/>
          </w:rPr>
          <w:t>http://ec.europa.eu/economy_finance/eu/index_en.htm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Euro </w:t>
      </w:r>
      <w:proofErr w:type="spellStart"/>
      <w:r w:rsidRPr="000164D3">
        <w:t>Crisis</w:t>
      </w:r>
      <w:proofErr w:type="spellEnd"/>
      <w:r w:rsidRPr="000164D3">
        <w:t>:</w:t>
      </w:r>
    </w:p>
    <w:p w:rsidR="001D2DC6" w:rsidRPr="000164D3" w:rsidRDefault="001D2DC6" w:rsidP="001D2DC6">
      <w:pPr>
        <w:pStyle w:val="msolistparagraphcxspmiddle"/>
        <w:ind w:left="360"/>
      </w:pPr>
      <w:hyperlink r:id="rId8" w:tgtFrame="_blank" w:history="1">
        <w:r w:rsidRPr="000164D3">
          <w:rPr>
            <w:rStyle w:val="Hiperhivatkozs"/>
          </w:rPr>
          <w:t>http://www.imf.org/external/pubs/ft/wp/2011/wp11269.pdf</w:t>
        </w:r>
      </w:hyperlink>
    </w:p>
    <w:p w:rsidR="001D2DC6" w:rsidRPr="000164D3" w:rsidRDefault="001D2DC6" w:rsidP="001D2DC6">
      <w:pPr>
        <w:pStyle w:val="msolistparagraphcxspmiddle"/>
        <w:ind w:left="360"/>
      </w:pPr>
      <w:hyperlink r:id="rId9" w:tgtFrame="_blank" w:history="1">
        <w:r w:rsidRPr="000164D3">
          <w:rPr>
            <w:rStyle w:val="Hiperhivatkozs"/>
          </w:rPr>
          <w:t>http://www.bruegel.org/publications/publication-detail/publication/718-sudden-stops-in-the-euro-area/</w:t>
        </w:r>
      </w:hyperlink>
    </w:p>
    <w:p w:rsidR="001D2DC6" w:rsidRPr="000164D3" w:rsidRDefault="001D2DC6" w:rsidP="001D2DC6">
      <w:pPr>
        <w:pStyle w:val="msolistparagraphcxspmiddle"/>
        <w:ind w:left="360"/>
      </w:pPr>
      <w:hyperlink r:id="rId10" w:tgtFrame="_blank" w:history="1">
        <w:r w:rsidRPr="000164D3">
          <w:rPr>
            <w:rStyle w:val="Hiperhivatkozs"/>
          </w:rPr>
          <w:t>http://www.bruegel.org/publications/publication-detail/publication/466-beyond-the-crisis-prospects-for-emerging-europe/</w:t>
        </w:r>
      </w:hyperlink>
    </w:p>
    <w:p w:rsidR="001D2DC6" w:rsidRPr="000164D3" w:rsidRDefault="001D2DC6" w:rsidP="001D2DC6">
      <w:pPr>
        <w:pStyle w:val="msolistparagraphcxspmiddle"/>
        <w:ind w:left="360"/>
      </w:pPr>
      <w:hyperlink r:id="rId11" w:tgtFrame="_blank" w:history="1">
        <w:r w:rsidRPr="000164D3">
          <w:rPr>
            <w:rStyle w:val="Hiperhivatkozs"/>
          </w:rPr>
          <w:t>http://www.bbc.co.uk/news/business-13856580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lastRenderedPageBreak/>
        <w:t xml:space="preserve">·         </w:t>
      </w:r>
      <w:proofErr w:type="spellStart"/>
      <w:r w:rsidRPr="000164D3">
        <w:t>Economic</w:t>
      </w:r>
      <w:proofErr w:type="spellEnd"/>
      <w:r w:rsidRPr="000164D3">
        <w:t xml:space="preserve"> </w:t>
      </w:r>
      <w:proofErr w:type="spellStart"/>
      <w:r w:rsidRPr="000164D3">
        <w:t>Governance</w:t>
      </w:r>
      <w:proofErr w:type="spellEnd"/>
      <w:r w:rsidRPr="000164D3">
        <w:t xml:space="preserve">: </w:t>
      </w:r>
      <w:hyperlink r:id="rId12" w:tgtFrame="_blank" w:history="1">
        <w:r w:rsidRPr="000164D3">
          <w:rPr>
            <w:rStyle w:val="Hiperhivatkozs"/>
          </w:rPr>
          <w:t>http://ec.europa.eu/economy_finance/economic_governance/sgp/index_en.htm</w:t>
        </w:r>
      </w:hyperlink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Euro Plus </w:t>
      </w:r>
      <w:proofErr w:type="spellStart"/>
      <w:r w:rsidRPr="000164D3">
        <w:t>Pact</w:t>
      </w:r>
      <w:proofErr w:type="spellEnd"/>
      <w:r w:rsidRPr="000164D3">
        <w:t xml:space="preserve">: </w:t>
      </w:r>
      <w:hyperlink r:id="rId13" w:tgtFrame="_blank" w:history="1">
        <w:r w:rsidRPr="000164D3">
          <w:rPr>
            <w:rStyle w:val="Hiperhivatkozs"/>
          </w:rPr>
          <w:t>http://www.consilium.europa.eu/uedocs/cms_data/docs/pressdata/en/ec/120296.pdf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</w:t>
      </w:r>
      <w:proofErr w:type="spellStart"/>
      <w:r w:rsidRPr="000164D3">
        <w:t>Fiscal</w:t>
      </w:r>
      <w:proofErr w:type="spellEnd"/>
      <w:r w:rsidRPr="000164D3">
        <w:t xml:space="preserve"> </w:t>
      </w:r>
      <w:proofErr w:type="spellStart"/>
      <w:r w:rsidRPr="000164D3">
        <w:t>compact</w:t>
      </w:r>
      <w:proofErr w:type="spellEnd"/>
      <w:r w:rsidRPr="000164D3">
        <w:t xml:space="preserve">: </w:t>
      </w:r>
      <w:hyperlink r:id="rId14" w:tgtFrame="_blank" w:history="1">
        <w:r w:rsidRPr="000164D3">
          <w:rPr>
            <w:rStyle w:val="Hiperhivatkozs"/>
          </w:rPr>
          <w:t>http://european-council.europa.eu/eurozone-governance/treaty-on-stability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</w:t>
      </w:r>
      <w:proofErr w:type="spellStart"/>
      <w:r w:rsidRPr="000164D3">
        <w:t>Annual</w:t>
      </w:r>
      <w:proofErr w:type="spellEnd"/>
      <w:r w:rsidRPr="000164D3">
        <w:t xml:space="preserve"> </w:t>
      </w:r>
      <w:proofErr w:type="spellStart"/>
      <w:r w:rsidRPr="000164D3">
        <w:t>budget</w:t>
      </w:r>
      <w:proofErr w:type="spellEnd"/>
      <w:r w:rsidRPr="000164D3">
        <w:t xml:space="preserve">: </w:t>
      </w:r>
      <w:hyperlink r:id="rId15" w:tgtFrame="_blank" w:history="1">
        <w:r w:rsidRPr="000164D3">
          <w:rPr>
            <w:rStyle w:val="Hiperhivatkozs"/>
          </w:rPr>
          <w:t>http://ec.europa.eu/budget/explained/budg_system/index_en.cfm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middle"/>
        <w:ind w:left="360"/>
      </w:pPr>
      <w:r w:rsidRPr="000164D3">
        <w:t xml:space="preserve">·         MFF: </w:t>
      </w:r>
      <w:hyperlink r:id="rId16" w:tgtFrame="_blank" w:history="1">
        <w:r w:rsidRPr="000164D3">
          <w:rPr>
            <w:rStyle w:val="Hiperhivatkozs"/>
          </w:rPr>
          <w:t>http://ec.europa.eu/budget/reform/</w:t>
        </w:r>
      </w:hyperlink>
      <w:r w:rsidRPr="000164D3">
        <w:t xml:space="preserve"> </w:t>
      </w:r>
    </w:p>
    <w:p w:rsidR="001D2DC6" w:rsidRPr="000164D3" w:rsidRDefault="001D2DC6" w:rsidP="001D2DC6">
      <w:pPr>
        <w:pStyle w:val="msolistparagraphcxsplast"/>
        <w:ind w:left="360"/>
      </w:pPr>
      <w:r w:rsidRPr="000164D3">
        <w:t xml:space="preserve">·         </w:t>
      </w:r>
      <w:proofErr w:type="spellStart"/>
      <w:r w:rsidRPr="000164D3">
        <w:t>Taxation</w:t>
      </w:r>
      <w:proofErr w:type="spellEnd"/>
      <w:r w:rsidRPr="000164D3">
        <w:t xml:space="preserve">: </w:t>
      </w:r>
      <w:hyperlink r:id="rId17" w:tgtFrame="_blank" w:history="1">
        <w:r w:rsidRPr="000164D3">
          <w:rPr>
            <w:rStyle w:val="Hiperhivatkozs"/>
          </w:rPr>
          <w:t>http://ec.europa.eu/taxation_customs/taxation/gen_info/index_en.htm</w:t>
        </w:r>
      </w:hyperlink>
    </w:p>
    <w:p w:rsidR="001D2DC6" w:rsidRPr="000164D3" w:rsidRDefault="001D2DC6" w:rsidP="001D2DC6">
      <w:pPr>
        <w:spacing w:before="100" w:beforeAutospacing="1" w:after="100" w:afterAutospacing="1"/>
        <w:rPr>
          <w:sz w:val="24"/>
          <w:szCs w:val="24"/>
        </w:rPr>
      </w:pPr>
      <w:hyperlink r:id="rId18" w:tgtFrame="_blank" w:history="1">
        <w:r w:rsidRPr="000164D3">
          <w:rPr>
            <w:rStyle w:val="Hiperhivatkozs"/>
            <w:sz w:val="24"/>
            <w:szCs w:val="24"/>
          </w:rPr>
          <w:t>http://ec.europa.eu/taxation_customs/common/infringements/case_law/index_en.htm</w:t>
        </w:r>
      </w:hyperlink>
    </w:p>
    <w:p w:rsidR="001D2DC6" w:rsidRPr="000164D3" w:rsidRDefault="001D2DC6" w:rsidP="001D2DC6">
      <w:pPr>
        <w:spacing w:before="100" w:beforeAutospacing="1" w:after="100" w:afterAutospacing="1"/>
        <w:ind w:left="60"/>
        <w:rPr>
          <w:sz w:val="24"/>
          <w:szCs w:val="24"/>
        </w:rPr>
      </w:pPr>
    </w:p>
    <w:p w:rsidR="001D2DC6" w:rsidRPr="000164D3" w:rsidRDefault="001D2DC6" w:rsidP="001D2DC6">
      <w:pPr>
        <w:pStyle w:val="msolistparagraph0"/>
        <w:ind w:left="360"/>
      </w:pPr>
      <w:r w:rsidRPr="000164D3">
        <w:t xml:space="preserve">·         Zoltán Horváth: </w:t>
      </w:r>
      <w:proofErr w:type="spellStart"/>
      <w:r w:rsidRPr="000164D3">
        <w:t>Handbook</w:t>
      </w:r>
      <w:proofErr w:type="spellEnd"/>
      <w:r w:rsidRPr="000164D3">
        <w:t xml:space="preserve"> </w:t>
      </w:r>
      <w:proofErr w:type="spellStart"/>
      <w:r w:rsidRPr="000164D3">
        <w:t>on</w:t>
      </w:r>
      <w:proofErr w:type="spellEnd"/>
      <w:r w:rsidRPr="000164D3">
        <w:t xml:space="preserve"> </w:t>
      </w:r>
      <w:proofErr w:type="spellStart"/>
      <w:r w:rsidRPr="000164D3">
        <w:t>the</w:t>
      </w:r>
      <w:proofErr w:type="spellEnd"/>
      <w:r w:rsidRPr="000164D3">
        <w:t xml:space="preserve"> European Union, </w:t>
      </w:r>
      <w:proofErr w:type="spellStart"/>
      <w:r w:rsidRPr="000164D3">
        <w:t>Fourth</w:t>
      </w:r>
      <w:proofErr w:type="spellEnd"/>
      <w:r w:rsidRPr="000164D3">
        <w:t xml:space="preserve"> </w:t>
      </w:r>
      <w:proofErr w:type="spellStart"/>
      <w:r w:rsidRPr="000164D3">
        <w:t>Edition</w:t>
      </w:r>
      <w:proofErr w:type="spellEnd"/>
      <w:r w:rsidRPr="000164D3">
        <w:t>, HVG-ORAC, 2012, Budapest</w:t>
      </w:r>
    </w:p>
    <w:p w:rsidR="001D2DC6" w:rsidRPr="000164D3" w:rsidRDefault="001D2DC6" w:rsidP="001D2DC6">
      <w:pPr>
        <w:pStyle w:val="msolistparagraphcxsplast"/>
        <w:ind w:left="360"/>
      </w:pPr>
      <w:r w:rsidRPr="000164D3">
        <w:t xml:space="preserve">·         </w:t>
      </w:r>
      <w:proofErr w:type="spellStart"/>
      <w:r w:rsidRPr="000164D3">
        <w:t>Kapteyn</w:t>
      </w:r>
      <w:proofErr w:type="spellEnd"/>
      <w:r w:rsidRPr="000164D3">
        <w:t xml:space="preserve"> &amp; </w:t>
      </w:r>
      <w:proofErr w:type="spellStart"/>
      <w:r w:rsidRPr="000164D3">
        <w:t>VerLoren</w:t>
      </w:r>
      <w:proofErr w:type="spellEnd"/>
      <w:r w:rsidRPr="000164D3">
        <w:t xml:space="preserve"> van </w:t>
      </w:r>
      <w:proofErr w:type="spellStart"/>
      <w:r w:rsidRPr="000164D3">
        <w:t>Themaat</w:t>
      </w:r>
      <w:proofErr w:type="spellEnd"/>
      <w:r w:rsidRPr="000164D3">
        <w:t xml:space="preserve"> The Law of </w:t>
      </w:r>
      <w:proofErr w:type="spellStart"/>
      <w:r w:rsidRPr="000164D3">
        <w:t>the</w:t>
      </w:r>
      <w:proofErr w:type="spellEnd"/>
      <w:r w:rsidRPr="000164D3">
        <w:t xml:space="preserve"> European Union and </w:t>
      </w:r>
      <w:proofErr w:type="spellStart"/>
      <w:r w:rsidRPr="000164D3">
        <w:t>the</w:t>
      </w:r>
      <w:proofErr w:type="spellEnd"/>
      <w:r w:rsidRPr="000164D3">
        <w:t xml:space="preserve"> European </w:t>
      </w:r>
      <w:proofErr w:type="spellStart"/>
      <w:r w:rsidRPr="000164D3">
        <w:t>Communities</w:t>
      </w:r>
      <w:proofErr w:type="spellEnd"/>
      <w:r w:rsidRPr="000164D3">
        <w:t xml:space="preserve">, 4th </w:t>
      </w:r>
      <w:proofErr w:type="spellStart"/>
      <w:r w:rsidRPr="000164D3">
        <w:t>edition</w:t>
      </w:r>
      <w:proofErr w:type="spellEnd"/>
      <w:r w:rsidRPr="000164D3">
        <w:t xml:space="preserve">, </w:t>
      </w:r>
      <w:proofErr w:type="spellStart"/>
      <w:r w:rsidRPr="000164D3">
        <w:t>Wolters</w:t>
      </w:r>
      <w:proofErr w:type="spellEnd"/>
      <w:r w:rsidRPr="000164D3">
        <w:t xml:space="preserve"> </w:t>
      </w:r>
      <w:proofErr w:type="spellStart"/>
      <w:r w:rsidRPr="000164D3">
        <w:t>Kluwer</w:t>
      </w:r>
      <w:proofErr w:type="spellEnd"/>
      <w:r w:rsidRPr="000164D3">
        <w:t xml:space="preserve">, 2008. – </w:t>
      </w:r>
      <w:proofErr w:type="spellStart"/>
      <w:r w:rsidRPr="000164D3">
        <w:t>Chapter</w:t>
      </w:r>
      <w:proofErr w:type="spellEnd"/>
      <w:r w:rsidRPr="000164D3">
        <w:t xml:space="preserve"> VII. 2.5 </w:t>
      </w:r>
      <w:proofErr w:type="spellStart"/>
      <w:r w:rsidRPr="000164D3">
        <w:t>Fiscal</w:t>
      </w:r>
      <w:proofErr w:type="spellEnd"/>
      <w:r w:rsidRPr="000164D3">
        <w:t xml:space="preserve"> </w:t>
      </w:r>
      <w:proofErr w:type="spellStart"/>
      <w:r w:rsidRPr="000164D3">
        <w:t>Barriers</w:t>
      </w:r>
      <w:proofErr w:type="spellEnd"/>
    </w:p>
    <w:p w:rsidR="001D2DC6" w:rsidRPr="000164D3" w:rsidRDefault="001D2DC6" w:rsidP="001D2DC6">
      <w:pPr>
        <w:spacing w:before="100" w:beforeAutospacing="1" w:after="100" w:afterAutospacing="1"/>
        <w:ind w:left="60"/>
        <w:rPr>
          <w:sz w:val="24"/>
          <w:szCs w:val="24"/>
        </w:rPr>
      </w:pPr>
    </w:p>
    <w:p w:rsidR="001D2DC6" w:rsidRPr="000164D3" w:rsidRDefault="001D2DC6" w:rsidP="001D2DC6">
      <w:pPr>
        <w:spacing w:before="100" w:beforeAutospacing="1" w:after="100" w:afterAutospacing="1"/>
        <w:rPr>
          <w:sz w:val="24"/>
          <w:szCs w:val="24"/>
        </w:rPr>
      </w:pPr>
      <w:r w:rsidRPr="000164D3">
        <w:rPr>
          <w:sz w:val="24"/>
          <w:szCs w:val="24"/>
        </w:rPr>
        <w:t> </w:t>
      </w:r>
    </w:p>
    <w:p w:rsidR="001D2DC6" w:rsidRPr="00B1329D" w:rsidRDefault="001D2DC6" w:rsidP="001D2DC6">
      <w:pPr>
        <w:spacing w:after="200" w:line="276" w:lineRule="auto"/>
        <w:rPr>
          <w:color w:val="FF0000"/>
          <w:sz w:val="24"/>
          <w:szCs w:val="24"/>
          <w:lang w:val="en-US"/>
        </w:rPr>
      </w:pPr>
      <w:r w:rsidRPr="000164D3">
        <w:rPr>
          <w:sz w:val="24"/>
          <w:szCs w:val="24"/>
        </w:rPr>
        <w:br w:type="page"/>
      </w:r>
    </w:p>
    <w:p w:rsidR="00736E8A" w:rsidRDefault="00736E8A"/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A04"/>
    <w:multiLevelType w:val="hybridMultilevel"/>
    <w:tmpl w:val="BB6CC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C6"/>
    <w:rsid w:val="001D2DC6"/>
    <w:rsid w:val="007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7AD4-E12A-477B-A558-E60D1B2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D2DC6"/>
    <w:rPr>
      <w:color w:val="000080"/>
      <w:u w:val="single"/>
    </w:rPr>
  </w:style>
  <w:style w:type="paragraph" w:styleId="Listaszerbekezds">
    <w:name w:val="List Paragraph"/>
    <w:basedOn w:val="Norml"/>
    <w:qFormat/>
    <w:rsid w:val="001D2D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l"/>
    <w:uiPriority w:val="99"/>
    <w:rsid w:val="001D2D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">
    <w:name w:val="msolistparagraphcxspmiddle"/>
    <w:basedOn w:val="Norml"/>
    <w:uiPriority w:val="99"/>
    <w:rsid w:val="001D2D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last">
    <w:name w:val="msolistparagraphcxsplast"/>
    <w:basedOn w:val="Norml"/>
    <w:uiPriority w:val="99"/>
    <w:rsid w:val="001D2D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1D2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2DC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xternal/pubs/ft/wp/2011/wp11269.pdf" TargetMode="External"/><Relationship Id="rId13" Type="http://schemas.openxmlformats.org/officeDocument/2006/relationships/hyperlink" Target="http://www.consilium.europa.eu/uedocs/cms_data/docs/pressdata/en/ec/120296.pdf" TargetMode="External"/><Relationship Id="rId18" Type="http://schemas.openxmlformats.org/officeDocument/2006/relationships/hyperlink" Target="http://ec.europa.eu/taxation_customs/common/infringements/case_law/index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conomy_finance/eu/index_en.htm" TargetMode="External"/><Relationship Id="rId12" Type="http://schemas.openxmlformats.org/officeDocument/2006/relationships/hyperlink" Target="http://ec.europa.eu/economy_finance/economic_governance/sgp/index_en.htm" TargetMode="External"/><Relationship Id="rId17" Type="http://schemas.openxmlformats.org/officeDocument/2006/relationships/hyperlink" Target="http://ec.europa.eu/taxation_customs/taxation/gen_info/index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budget/refor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economy_finance/euro/index_en.htm" TargetMode="External"/><Relationship Id="rId11" Type="http://schemas.openxmlformats.org/officeDocument/2006/relationships/hyperlink" Target="http://www.bbc.co.uk/news/business-13856580" TargetMode="External"/><Relationship Id="rId5" Type="http://schemas.openxmlformats.org/officeDocument/2006/relationships/hyperlink" Target="http://eur-lex.europa.eu/LexUriServ/LexUriServ.do?uri=OJ:C:2010:083:FULL:EN:PDF" TargetMode="External"/><Relationship Id="rId15" Type="http://schemas.openxmlformats.org/officeDocument/2006/relationships/hyperlink" Target="http://ec.europa.eu/budget/explained/budg_system/index_en.cfm" TargetMode="External"/><Relationship Id="rId10" Type="http://schemas.openxmlformats.org/officeDocument/2006/relationships/hyperlink" Target="http://www.bruegel.org/publications/publication-detail/publication/466-beyond-the-crisis-prospects-for-emerging-euro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ruegel.org/publications/publication-detail/publication/718-sudden-stops-in-the-euro-area/" TargetMode="External"/><Relationship Id="rId14" Type="http://schemas.openxmlformats.org/officeDocument/2006/relationships/hyperlink" Target="http://european-council.europa.eu/eurozone-governance/treaty-on-stabilit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2015-10-13T12:43:00Z</dcterms:created>
  <dcterms:modified xsi:type="dcterms:W3CDTF">2015-10-13T12:43:00Z</dcterms:modified>
</cp:coreProperties>
</file>