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6C" w:rsidRPr="00C6256C" w:rsidRDefault="00C6256C" w:rsidP="00C6256C">
      <w:pPr>
        <w:pBdr>
          <w:bottom w:val="single" w:sz="6" w:space="3" w:color="BBBBBB"/>
        </w:pBdr>
        <w:shd w:val="clear" w:color="auto" w:fill="FFFFFF"/>
        <w:spacing w:before="199" w:after="199" w:line="240" w:lineRule="auto"/>
        <w:outlineLvl w:val="1"/>
        <w:rPr>
          <w:rFonts w:ascii="Verdana" w:eastAsia="Times New Roman" w:hAnsi="Verdana" w:cs="Times New Roman"/>
          <w:b/>
          <w:bCs/>
          <w:color w:val="036EB6"/>
          <w:sz w:val="17"/>
          <w:szCs w:val="17"/>
          <w:lang w:eastAsia="hu-HU"/>
        </w:rPr>
      </w:pPr>
      <w:r w:rsidRPr="00C6256C">
        <w:rPr>
          <w:rFonts w:ascii="Verdana" w:eastAsia="Times New Roman" w:hAnsi="Verdana" w:cs="Times New Roman"/>
          <w:b/>
          <w:bCs/>
          <w:color w:val="036EB6"/>
          <w:sz w:val="17"/>
          <w:szCs w:val="17"/>
          <w:lang w:eastAsia="hu-HU"/>
        </w:rPr>
        <w:t>JOPJ476XA0</w:t>
      </w:r>
      <w:r>
        <w:rPr>
          <w:rFonts w:ascii="Verdana" w:eastAsia="Times New Roman" w:hAnsi="Verdana" w:cs="Times New Roman"/>
          <w:b/>
          <w:bCs/>
          <w:color w:val="036EB6"/>
          <w:sz w:val="17"/>
          <w:szCs w:val="17"/>
          <w:lang w:eastAsia="hu-HU"/>
        </w:rPr>
        <w:t xml:space="preserve"> </w:t>
      </w:r>
      <w:proofErr w:type="spellStart"/>
      <w:r w:rsidRPr="00C6256C">
        <w:rPr>
          <w:rFonts w:ascii="Verdana" w:eastAsia="Times New Roman" w:hAnsi="Verdana" w:cs="Times New Roman"/>
          <w:b/>
          <w:bCs/>
          <w:color w:val="036EB6"/>
          <w:sz w:val="17"/>
          <w:szCs w:val="17"/>
          <w:lang w:eastAsia="hu-HU"/>
        </w:rPr>
        <w:t>Comparative</w:t>
      </w:r>
      <w:proofErr w:type="spellEnd"/>
      <w:r w:rsidRPr="00C6256C">
        <w:rPr>
          <w:rFonts w:ascii="Verdana" w:eastAsia="Times New Roman" w:hAnsi="Verdana" w:cs="Times New Roman"/>
          <w:b/>
          <w:bCs/>
          <w:color w:val="036EB6"/>
          <w:sz w:val="17"/>
          <w:szCs w:val="17"/>
          <w:lang w:eastAsia="hu-HU"/>
        </w:rPr>
        <w:t xml:space="preserve"> </w:t>
      </w:r>
      <w:proofErr w:type="spellStart"/>
      <w:r w:rsidRPr="00C6256C">
        <w:rPr>
          <w:rFonts w:ascii="Verdana" w:eastAsia="Times New Roman" w:hAnsi="Verdana" w:cs="Times New Roman"/>
          <w:b/>
          <w:bCs/>
          <w:color w:val="036EB6"/>
          <w:sz w:val="17"/>
          <w:szCs w:val="17"/>
          <w:lang w:eastAsia="hu-HU"/>
        </w:rPr>
        <w:t>Property</w:t>
      </w:r>
      <w:proofErr w:type="spellEnd"/>
      <w:r w:rsidRPr="00C6256C">
        <w:rPr>
          <w:rFonts w:ascii="Verdana" w:eastAsia="Times New Roman" w:hAnsi="Verdana" w:cs="Times New Roman"/>
          <w:b/>
          <w:bCs/>
          <w:color w:val="036EB6"/>
          <w:sz w:val="17"/>
          <w:szCs w:val="17"/>
          <w:lang w:eastAsia="hu-HU"/>
        </w:rPr>
        <w:t xml:space="preserve"> Law: </w:t>
      </w:r>
      <w:proofErr w:type="spellStart"/>
      <w:r w:rsidRPr="00C6256C">
        <w:rPr>
          <w:rFonts w:ascii="Verdana" w:eastAsia="Times New Roman" w:hAnsi="Verdana" w:cs="Times New Roman"/>
          <w:b/>
          <w:bCs/>
          <w:color w:val="036EB6"/>
          <w:sz w:val="17"/>
          <w:szCs w:val="17"/>
          <w:lang w:eastAsia="hu-HU"/>
        </w:rPr>
        <w:t>Principles</w:t>
      </w:r>
      <w:proofErr w:type="spellEnd"/>
      <w:r w:rsidRPr="00C6256C">
        <w:rPr>
          <w:rFonts w:ascii="Verdana" w:eastAsia="Times New Roman" w:hAnsi="Verdana" w:cs="Times New Roman"/>
          <w:b/>
          <w:bCs/>
          <w:color w:val="036EB6"/>
          <w:sz w:val="17"/>
          <w:szCs w:val="17"/>
          <w:lang w:eastAsia="hu-HU"/>
        </w:rPr>
        <w:t xml:space="preserve"> of </w:t>
      </w:r>
      <w:proofErr w:type="spellStart"/>
      <w:r w:rsidRPr="00C6256C">
        <w:rPr>
          <w:rFonts w:ascii="Verdana" w:eastAsia="Times New Roman" w:hAnsi="Verdana" w:cs="Times New Roman"/>
          <w:b/>
          <w:bCs/>
          <w:color w:val="036EB6"/>
          <w:sz w:val="17"/>
          <w:szCs w:val="17"/>
          <w:lang w:eastAsia="hu-HU"/>
        </w:rPr>
        <w:t>Property</w:t>
      </w:r>
      <w:proofErr w:type="spellEnd"/>
      <w:r w:rsidRPr="00C6256C">
        <w:rPr>
          <w:rFonts w:ascii="Verdana" w:eastAsia="Times New Roman" w:hAnsi="Verdana" w:cs="Times New Roman"/>
          <w:b/>
          <w:bCs/>
          <w:color w:val="036EB6"/>
          <w:sz w:val="17"/>
          <w:szCs w:val="17"/>
          <w:lang w:eastAsia="hu-HU"/>
        </w:rPr>
        <w:t xml:space="preserve"> Law in Europe</w:t>
      </w:r>
    </w:p>
    <w:tbl>
      <w:tblPr>
        <w:tblW w:w="5000" w:type="pct"/>
        <w:shd w:val="clear" w:color="auto" w:fill="FFFFFF"/>
        <w:tblCellMar>
          <w:left w:w="0" w:type="dxa"/>
          <w:right w:w="0" w:type="dxa"/>
        </w:tblCellMar>
        <w:tblLook w:val="04A0" w:firstRow="1" w:lastRow="0" w:firstColumn="1" w:lastColumn="0" w:noHBand="0" w:noVBand="1"/>
      </w:tblPr>
      <w:tblGrid>
        <w:gridCol w:w="7047"/>
        <w:gridCol w:w="2025"/>
      </w:tblGrid>
      <w:tr w:rsidR="00C6256C" w:rsidRPr="00C6256C" w:rsidTr="00C6256C">
        <w:tc>
          <w:tcPr>
            <w:tcW w:w="0" w:type="auto"/>
            <w:gridSpan w:val="2"/>
            <w:shd w:val="clear" w:color="auto" w:fill="FFFFFF"/>
            <w:vAlign w:val="center"/>
            <w:hideMark/>
          </w:tcPr>
          <w:p w:rsidR="00C6256C" w:rsidRPr="00C6256C" w:rsidRDefault="00C6256C" w:rsidP="00C6256C">
            <w:pPr>
              <w:pBdr>
                <w:bottom w:val="single" w:sz="6" w:space="3" w:color="BBBBBB"/>
              </w:pBdr>
              <w:shd w:val="clear" w:color="auto" w:fill="FFFFFF"/>
              <w:spacing w:before="199" w:after="199" w:line="240" w:lineRule="auto"/>
              <w:outlineLvl w:val="1"/>
              <w:rPr>
                <w:rFonts w:ascii="Verdana" w:eastAsia="Times New Roman" w:hAnsi="Verdana" w:cs="Times New Roman"/>
                <w:b/>
                <w:bCs/>
                <w:color w:val="036EB6"/>
                <w:sz w:val="17"/>
                <w:szCs w:val="17"/>
                <w:lang w:eastAsia="hu-HU"/>
              </w:rPr>
            </w:pPr>
            <w:r w:rsidRPr="00C6256C">
              <w:rPr>
                <w:rFonts w:ascii="Verdana" w:eastAsia="Times New Roman" w:hAnsi="Verdana" w:cs="Times New Roman"/>
                <w:b/>
                <w:bCs/>
                <w:color w:val="036EB6"/>
                <w:sz w:val="17"/>
                <w:szCs w:val="17"/>
                <w:lang w:eastAsia="hu-HU"/>
              </w:rPr>
              <w:t xml:space="preserve">Basic </w:t>
            </w:r>
            <w:proofErr w:type="spellStart"/>
            <w:r w:rsidRPr="00C6256C">
              <w:rPr>
                <w:rFonts w:ascii="Verdana" w:eastAsia="Times New Roman" w:hAnsi="Verdana" w:cs="Times New Roman"/>
                <w:b/>
                <w:bCs/>
                <w:color w:val="036EB6"/>
                <w:sz w:val="17"/>
                <w:szCs w:val="17"/>
                <w:lang w:eastAsia="hu-HU"/>
              </w:rPr>
              <w:t>data</w:t>
            </w:r>
            <w:proofErr w:type="spellEnd"/>
          </w:p>
        </w:tc>
      </w:tr>
      <w:tr w:rsidR="00C6256C" w:rsidRPr="00C6256C" w:rsidTr="00C6256C">
        <w:tc>
          <w:tcPr>
            <w:tcW w:w="3884" w:type="pct"/>
            <w:shd w:val="clear" w:color="auto" w:fill="FFFFFF"/>
            <w:hideMark/>
          </w:tcPr>
          <w:tbl>
            <w:tblPr>
              <w:tblW w:w="4900" w:type="pct"/>
              <w:tblCellMar>
                <w:top w:w="8" w:type="dxa"/>
                <w:left w:w="8" w:type="dxa"/>
                <w:bottom w:w="8" w:type="dxa"/>
                <w:right w:w="8" w:type="dxa"/>
              </w:tblCellMar>
              <w:tblLook w:val="04A0" w:firstRow="1" w:lastRow="0" w:firstColumn="1" w:lastColumn="0" w:noHBand="0" w:noVBand="1"/>
            </w:tblPr>
            <w:tblGrid>
              <w:gridCol w:w="6906"/>
            </w:tblGrid>
            <w:tr w:rsidR="00C6256C" w:rsidRPr="00C6256C">
              <w:tc>
                <w:tcPr>
                  <w:tcW w:w="0" w:type="auto"/>
                  <w:vAlign w:val="center"/>
                  <w:hideMark/>
                </w:tcPr>
                <w:p w:rsidR="00C6256C" w:rsidRPr="00C6256C" w:rsidRDefault="00C6256C" w:rsidP="00C6256C">
                  <w:pPr>
                    <w:spacing w:after="0" w:line="240" w:lineRule="auto"/>
                    <w:rPr>
                      <w:rFonts w:ascii="Verdana" w:eastAsia="Times New Roman" w:hAnsi="Verdana" w:cs="Times New Roman"/>
                      <w:color w:val="036EB6"/>
                      <w:sz w:val="17"/>
                      <w:szCs w:val="17"/>
                      <w:lang w:eastAsia="hu-HU"/>
                    </w:rPr>
                  </w:pPr>
                </w:p>
              </w:tc>
            </w:tr>
          </w:tbl>
          <w:p w:rsidR="00C6256C" w:rsidRPr="00C6256C" w:rsidRDefault="00C6256C" w:rsidP="00C6256C">
            <w:pPr>
              <w:spacing w:after="0" w:line="240" w:lineRule="auto"/>
              <w:rPr>
                <w:rFonts w:ascii="Verdana" w:eastAsia="Times New Roman" w:hAnsi="Verdana" w:cs="Times New Roman"/>
                <w:vanish/>
                <w:color w:val="222222"/>
                <w:sz w:val="18"/>
                <w:szCs w:val="18"/>
                <w:lang w:eastAsia="hu-HU"/>
              </w:rPr>
            </w:pPr>
          </w:p>
          <w:tbl>
            <w:tblPr>
              <w:tblW w:w="7047" w:type="dxa"/>
              <w:tblCellMar>
                <w:top w:w="8" w:type="dxa"/>
                <w:left w:w="8" w:type="dxa"/>
                <w:bottom w:w="8" w:type="dxa"/>
                <w:right w:w="8" w:type="dxa"/>
              </w:tblCellMar>
              <w:tblLook w:val="04A0" w:firstRow="1" w:lastRow="0" w:firstColumn="1" w:lastColumn="0" w:noHBand="0" w:noVBand="1"/>
            </w:tblPr>
            <w:tblGrid>
              <w:gridCol w:w="7047"/>
            </w:tblGrid>
            <w:tr w:rsidR="00C6256C" w:rsidRPr="00C6256C">
              <w:trPr>
                <w:trHeight w:val="300"/>
              </w:trPr>
              <w:tc>
                <w:tcPr>
                  <w:tcW w:w="0" w:type="auto"/>
                  <w:hideMark/>
                </w:tcPr>
                <w:p w:rsidR="00C6256C" w:rsidRPr="00C6256C" w:rsidRDefault="00C6256C" w:rsidP="00C6256C">
                  <w:pPr>
                    <w:spacing w:after="0" w:line="240" w:lineRule="auto"/>
                    <w:rPr>
                      <w:rFonts w:ascii="Times New Roman" w:eastAsia="Times New Roman" w:hAnsi="Times New Roman" w:cs="Times New Roman"/>
                      <w:sz w:val="24"/>
                      <w:szCs w:val="24"/>
                      <w:lang w:eastAsia="hu-HU"/>
                    </w:rPr>
                  </w:pPr>
                  <w:proofErr w:type="spellStart"/>
                  <w:r w:rsidRPr="00C6256C">
                    <w:rPr>
                      <w:rFonts w:ascii="Verdana" w:eastAsia="Times New Roman" w:hAnsi="Verdana" w:cs="Times New Roman"/>
                      <w:color w:val="4A4A4A"/>
                      <w:sz w:val="17"/>
                      <w:szCs w:val="17"/>
                      <w:bdr w:val="none" w:sz="0" w:space="0" w:color="auto" w:frame="1"/>
                      <w:lang w:eastAsia="hu-HU"/>
                    </w:rPr>
                    <w:t>Code</w:t>
                  </w:r>
                  <w:proofErr w:type="spellEnd"/>
                  <w:r w:rsidRPr="00C6256C">
                    <w:rPr>
                      <w:rFonts w:ascii="Verdana" w:eastAsia="Times New Roman" w:hAnsi="Verdana" w:cs="Times New Roman"/>
                      <w:color w:val="4A4A4A"/>
                      <w:sz w:val="17"/>
                      <w:szCs w:val="17"/>
                      <w:bdr w:val="none" w:sz="0" w:space="0" w:color="auto" w:frame="1"/>
                      <w:lang w:eastAsia="hu-HU"/>
                    </w:rPr>
                    <w:t>:</w:t>
                  </w:r>
                  <w:r>
                    <w:rPr>
                      <w:rFonts w:ascii="Verdana" w:eastAsia="Times New Roman" w:hAnsi="Verdana" w:cs="Times New Roman"/>
                      <w:color w:val="4A4A4A"/>
                      <w:sz w:val="17"/>
                      <w:szCs w:val="17"/>
                      <w:bdr w:val="none" w:sz="0" w:space="0" w:color="auto" w:frame="1"/>
                      <w:lang w:eastAsia="hu-HU"/>
                    </w:rPr>
                    <w:t xml:space="preserve"> </w:t>
                  </w:r>
                  <w:r w:rsidRPr="00C6256C">
                    <w:rPr>
                      <w:rFonts w:ascii="Verdana" w:eastAsia="Times New Roman" w:hAnsi="Verdana" w:cs="Times New Roman"/>
                      <w:b/>
                      <w:bCs/>
                      <w:color w:val="4A4A4A"/>
                      <w:sz w:val="17"/>
                      <w:szCs w:val="17"/>
                      <w:lang w:eastAsia="hu-HU"/>
                    </w:rPr>
                    <w:t>JOPJ476XA0</w:t>
                  </w:r>
                </w:p>
              </w:tc>
            </w:tr>
            <w:tr w:rsidR="00C6256C" w:rsidRPr="00C6256C">
              <w:trPr>
                <w:trHeight w:val="300"/>
              </w:trPr>
              <w:tc>
                <w:tcPr>
                  <w:tcW w:w="0" w:type="auto"/>
                  <w:hideMark/>
                </w:tcPr>
                <w:p w:rsidR="00C6256C" w:rsidRPr="00C6256C" w:rsidRDefault="00C6256C" w:rsidP="00C6256C">
                  <w:pPr>
                    <w:spacing w:after="0" w:line="240" w:lineRule="auto"/>
                    <w:rPr>
                      <w:rFonts w:ascii="Times New Roman" w:eastAsia="Times New Roman" w:hAnsi="Times New Roman" w:cs="Times New Roman"/>
                      <w:sz w:val="24"/>
                      <w:szCs w:val="24"/>
                      <w:lang w:eastAsia="hu-HU"/>
                    </w:rPr>
                  </w:pPr>
                  <w:proofErr w:type="spellStart"/>
                  <w:r w:rsidRPr="00C6256C">
                    <w:rPr>
                      <w:rFonts w:ascii="Verdana" w:eastAsia="Times New Roman" w:hAnsi="Verdana" w:cs="Times New Roman"/>
                      <w:color w:val="4A4A4A"/>
                      <w:sz w:val="17"/>
                      <w:szCs w:val="17"/>
                      <w:bdr w:val="none" w:sz="0" w:space="0" w:color="auto" w:frame="1"/>
                      <w:lang w:eastAsia="hu-HU"/>
                    </w:rPr>
                    <w:t>Name</w:t>
                  </w:r>
                  <w:proofErr w:type="spellEnd"/>
                  <w:r w:rsidRPr="00C6256C">
                    <w:rPr>
                      <w:rFonts w:ascii="Verdana" w:eastAsia="Times New Roman" w:hAnsi="Verdana" w:cs="Times New Roman"/>
                      <w:color w:val="4A4A4A"/>
                      <w:sz w:val="17"/>
                      <w:szCs w:val="17"/>
                      <w:bdr w:val="none" w:sz="0" w:space="0" w:color="auto" w:frame="1"/>
                      <w:lang w:eastAsia="hu-HU"/>
                    </w:rPr>
                    <w:t>:</w:t>
                  </w:r>
                  <w:r>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b/>
                      <w:bCs/>
                      <w:color w:val="4A4A4A"/>
                      <w:sz w:val="17"/>
                      <w:szCs w:val="17"/>
                      <w:lang w:eastAsia="hu-HU"/>
                    </w:rPr>
                    <w:t>Comparative</w:t>
                  </w:r>
                  <w:proofErr w:type="spellEnd"/>
                  <w:r w:rsidRPr="00C6256C">
                    <w:rPr>
                      <w:rFonts w:ascii="Verdana" w:eastAsia="Times New Roman" w:hAnsi="Verdana" w:cs="Times New Roman"/>
                      <w:b/>
                      <w:bCs/>
                      <w:color w:val="4A4A4A"/>
                      <w:sz w:val="17"/>
                      <w:szCs w:val="17"/>
                      <w:lang w:eastAsia="hu-HU"/>
                    </w:rPr>
                    <w:t xml:space="preserve"> </w:t>
                  </w:r>
                  <w:proofErr w:type="spellStart"/>
                  <w:r w:rsidRPr="00C6256C">
                    <w:rPr>
                      <w:rFonts w:ascii="Verdana" w:eastAsia="Times New Roman" w:hAnsi="Verdana" w:cs="Times New Roman"/>
                      <w:b/>
                      <w:bCs/>
                      <w:color w:val="4A4A4A"/>
                      <w:sz w:val="17"/>
                      <w:szCs w:val="17"/>
                      <w:lang w:eastAsia="hu-HU"/>
                    </w:rPr>
                    <w:t>Property</w:t>
                  </w:r>
                  <w:proofErr w:type="spellEnd"/>
                  <w:r w:rsidRPr="00C6256C">
                    <w:rPr>
                      <w:rFonts w:ascii="Verdana" w:eastAsia="Times New Roman" w:hAnsi="Verdana" w:cs="Times New Roman"/>
                      <w:b/>
                      <w:bCs/>
                      <w:color w:val="4A4A4A"/>
                      <w:sz w:val="17"/>
                      <w:szCs w:val="17"/>
                      <w:lang w:eastAsia="hu-HU"/>
                    </w:rPr>
                    <w:t xml:space="preserve"> Law: </w:t>
                  </w:r>
                  <w:proofErr w:type="spellStart"/>
                  <w:r w:rsidRPr="00C6256C">
                    <w:rPr>
                      <w:rFonts w:ascii="Verdana" w:eastAsia="Times New Roman" w:hAnsi="Verdana" w:cs="Times New Roman"/>
                      <w:b/>
                      <w:bCs/>
                      <w:color w:val="4A4A4A"/>
                      <w:sz w:val="17"/>
                      <w:szCs w:val="17"/>
                      <w:lang w:eastAsia="hu-HU"/>
                    </w:rPr>
                    <w:t>Principles</w:t>
                  </w:r>
                  <w:proofErr w:type="spellEnd"/>
                  <w:r w:rsidRPr="00C6256C">
                    <w:rPr>
                      <w:rFonts w:ascii="Verdana" w:eastAsia="Times New Roman" w:hAnsi="Verdana" w:cs="Times New Roman"/>
                      <w:b/>
                      <w:bCs/>
                      <w:color w:val="4A4A4A"/>
                      <w:sz w:val="17"/>
                      <w:szCs w:val="17"/>
                      <w:lang w:eastAsia="hu-HU"/>
                    </w:rPr>
                    <w:t xml:space="preserve"> of </w:t>
                  </w:r>
                  <w:proofErr w:type="spellStart"/>
                  <w:r w:rsidRPr="00C6256C">
                    <w:rPr>
                      <w:rFonts w:ascii="Verdana" w:eastAsia="Times New Roman" w:hAnsi="Verdana" w:cs="Times New Roman"/>
                      <w:b/>
                      <w:bCs/>
                      <w:color w:val="4A4A4A"/>
                      <w:sz w:val="17"/>
                      <w:szCs w:val="17"/>
                      <w:lang w:eastAsia="hu-HU"/>
                    </w:rPr>
                    <w:t>Property</w:t>
                  </w:r>
                  <w:proofErr w:type="spellEnd"/>
                  <w:r w:rsidRPr="00C6256C">
                    <w:rPr>
                      <w:rFonts w:ascii="Verdana" w:eastAsia="Times New Roman" w:hAnsi="Verdana" w:cs="Times New Roman"/>
                      <w:b/>
                      <w:bCs/>
                      <w:color w:val="4A4A4A"/>
                      <w:sz w:val="17"/>
                      <w:szCs w:val="17"/>
                      <w:lang w:eastAsia="hu-HU"/>
                    </w:rPr>
                    <w:t xml:space="preserve"> Law in Europe</w:t>
                  </w:r>
                </w:p>
              </w:tc>
            </w:tr>
            <w:tr w:rsidR="00C6256C" w:rsidRPr="00C6256C">
              <w:trPr>
                <w:trHeight w:val="300"/>
              </w:trPr>
              <w:tc>
                <w:tcPr>
                  <w:tcW w:w="0" w:type="auto"/>
                  <w:hideMark/>
                </w:tcPr>
                <w:p w:rsidR="00C6256C" w:rsidRPr="00C6256C" w:rsidRDefault="00C6256C" w:rsidP="00C6256C">
                  <w:pPr>
                    <w:spacing w:after="0" w:line="240" w:lineRule="auto"/>
                    <w:rPr>
                      <w:rFonts w:ascii="Times New Roman" w:eastAsia="Times New Roman" w:hAnsi="Times New Roman" w:cs="Times New Roman"/>
                      <w:sz w:val="24"/>
                      <w:szCs w:val="24"/>
                      <w:lang w:eastAsia="hu-HU"/>
                    </w:rPr>
                  </w:pPr>
                  <w:proofErr w:type="spellStart"/>
                  <w:r w:rsidRPr="00C6256C">
                    <w:rPr>
                      <w:rFonts w:ascii="Verdana" w:eastAsia="Times New Roman" w:hAnsi="Verdana" w:cs="Times New Roman"/>
                      <w:color w:val="4A4A4A"/>
                      <w:sz w:val="17"/>
                      <w:szCs w:val="17"/>
                      <w:bdr w:val="none" w:sz="0" w:space="0" w:color="auto" w:frame="1"/>
                      <w:lang w:eastAsia="hu-HU"/>
                    </w:rPr>
                    <w:t>Original</w:t>
                  </w:r>
                  <w:proofErr w:type="spellEnd"/>
                  <w:r w:rsidRPr="00C6256C">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color w:val="4A4A4A"/>
                      <w:sz w:val="17"/>
                      <w:szCs w:val="17"/>
                      <w:bdr w:val="none" w:sz="0" w:space="0" w:color="auto" w:frame="1"/>
                      <w:lang w:eastAsia="hu-HU"/>
                    </w:rPr>
                    <w:t>subject</w:t>
                  </w:r>
                  <w:proofErr w:type="spellEnd"/>
                  <w:r w:rsidRPr="00C6256C">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color w:val="4A4A4A"/>
                      <w:sz w:val="17"/>
                      <w:szCs w:val="17"/>
                      <w:bdr w:val="none" w:sz="0" w:space="0" w:color="auto" w:frame="1"/>
                      <w:lang w:eastAsia="hu-HU"/>
                    </w:rPr>
                    <w:t>name</w:t>
                  </w:r>
                  <w:proofErr w:type="spellEnd"/>
                  <w:r w:rsidRPr="00C6256C">
                    <w:rPr>
                      <w:rFonts w:ascii="Verdana" w:eastAsia="Times New Roman" w:hAnsi="Verdana" w:cs="Times New Roman"/>
                      <w:color w:val="4A4A4A"/>
                      <w:sz w:val="17"/>
                      <w:szCs w:val="17"/>
                      <w:bdr w:val="none" w:sz="0" w:space="0" w:color="auto" w:frame="1"/>
                      <w:lang w:eastAsia="hu-HU"/>
                    </w:rPr>
                    <w:t>:</w:t>
                  </w:r>
                </w:p>
              </w:tc>
            </w:tr>
            <w:tr w:rsidR="00C6256C" w:rsidRPr="00C6256C">
              <w:trPr>
                <w:trHeight w:val="300"/>
              </w:trPr>
              <w:tc>
                <w:tcPr>
                  <w:tcW w:w="0" w:type="auto"/>
                  <w:hideMark/>
                </w:tcPr>
                <w:p w:rsidR="00C6256C" w:rsidRPr="00C6256C" w:rsidRDefault="00C6256C" w:rsidP="00C6256C">
                  <w:pPr>
                    <w:spacing w:after="0" w:line="240" w:lineRule="auto"/>
                    <w:rPr>
                      <w:rFonts w:ascii="Times New Roman" w:eastAsia="Times New Roman" w:hAnsi="Times New Roman" w:cs="Times New Roman"/>
                      <w:sz w:val="24"/>
                      <w:szCs w:val="24"/>
                      <w:lang w:eastAsia="hu-HU"/>
                    </w:rPr>
                  </w:pPr>
                  <w:r w:rsidRPr="00C6256C">
                    <w:rPr>
                      <w:rFonts w:ascii="Verdana" w:eastAsia="Times New Roman" w:hAnsi="Verdana" w:cs="Times New Roman"/>
                      <w:color w:val="4A4A4A"/>
                      <w:sz w:val="17"/>
                      <w:szCs w:val="17"/>
                      <w:bdr w:val="none" w:sz="0" w:space="0" w:color="auto" w:frame="1"/>
                      <w:lang w:eastAsia="hu-HU"/>
                    </w:rPr>
                    <w:t>Credit:</w:t>
                  </w:r>
                  <w:r>
                    <w:rPr>
                      <w:rFonts w:ascii="Verdana" w:eastAsia="Times New Roman" w:hAnsi="Verdana" w:cs="Times New Roman"/>
                      <w:color w:val="4A4A4A"/>
                      <w:sz w:val="17"/>
                      <w:szCs w:val="17"/>
                      <w:bdr w:val="none" w:sz="0" w:space="0" w:color="auto" w:frame="1"/>
                      <w:lang w:eastAsia="hu-HU"/>
                    </w:rPr>
                    <w:t xml:space="preserve"> </w:t>
                  </w:r>
                  <w:r w:rsidRPr="00C6256C">
                    <w:rPr>
                      <w:rFonts w:ascii="Verdana" w:eastAsia="Times New Roman" w:hAnsi="Verdana" w:cs="Times New Roman"/>
                      <w:b/>
                      <w:bCs/>
                      <w:color w:val="4A4A4A"/>
                      <w:sz w:val="17"/>
                      <w:szCs w:val="17"/>
                      <w:lang w:eastAsia="hu-HU"/>
                    </w:rPr>
                    <w:t>6</w:t>
                  </w:r>
                  <w:r>
                    <w:rPr>
                      <w:rFonts w:ascii="Verdana" w:eastAsia="Times New Roman" w:hAnsi="Verdana" w:cs="Times New Roman"/>
                      <w:b/>
                      <w:bCs/>
                      <w:color w:val="4A4A4A"/>
                      <w:sz w:val="17"/>
                      <w:szCs w:val="17"/>
                      <w:lang w:eastAsia="hu-HU"/>
                    </w:rPr>
                    <w:t xml:space="preserve"> ECTS</w:t>
                  </w:r>
                </w:p>
              </w:tc>
            </w:tr>
            <w:tr w:rsidR="00C6256C" w:rsidRPr="00C6256C">
              <w:trPr>
                <w:trHeight w:val="300"/>
              </w:trPr>
              <w:tc>
                <w:tcPr>
                  <w:tcW w:w="0" w:type="auto"/>
                  <w:hideMark/>
                </w:tcPr>
                <w:p w:rsidR="00C6256C" w:rsidRPr="00C6256C" w:rsidRDefault="00C6256C" w:rsidP="00C6256C">
                  <w:pPr>
                    <w:spacing w:after="0" w:line="240" w:lineRule="auto"/>
                    <w:rPr>
                      <w:rFonts w:ascii="Times New Roman" w:eastAsia="Times New Roman" w:hAnsi="Times New Roman" w:cs="Times New Roman"/>
                      <w:sz w:val="24"/>
                      <w:szCs w:val="24"/>
                      <w:lang w:eastAsia="hu-HU"/>
                    </w:rPr>
                  </w:pPr>
                  <w:proofErr w:type="spellStart"/>
                  <w:r w:rsidRPr="00C6256C">
                    <w:rPr>
                      <w:rFonts w:ascii="Verdana" w:eastAsia="Times New Roman" w:hAnsi="Verdana" w:cs="Times New Roman"/>
                      <w:color w:val="4A4A4A"/>
                      <w:sz w:val="17"/>
                      <w:szCs w:val="17"/>
                      <w:bdr w:val="none" w:sz="0" w:space="0" w:color="auto" w:frame="1"/>
                      <w:lang w:eastAsia="hu-HU"/>
                    </w:rPr>
                    <w:t>Requirement</w:t>
                  </w:r>
                  <w:proofErr w:type="spellEnd"/>
                  <w:r w:rsidRPr="00C6256C">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color w:val="4A4A4A"/>
                      <w:sz w:val="17"/>
                      <w:szCs w:val="17"/>
                      <w:bdr w:val="none" w:sz="0" w:space="0" w:color="auto" w:frame="1"/>
                      <w:lang w:eastAsia="hu-HU"/>
                    </w:rPr>
                    <w:t>type</w:t>
                  </w:r>
                  <w:proofErr w:type="gramStart"/>
                  <w:r w:rsidRPr="00C6256C">
                    <w:rPr>
                      <w:rFonts w:ascii="Verdana" w:eastAsia="Times New Roman" w:hAnsi="Verdana" w:cs="Times New Roman"/>
                      <w:color w:val="4A4A4A"/>
                      <w:sz w:val="17"/>
                      <w:szCs w:val="17"/>
                      <w:bdr w:val="none" w:sz="0" w:space="0" w:color="auto" w:frame="1"/>
                      <w:lang w:eastAsia="hu-HU"/>
                    </w:rPr>
                    <w:t>:</w:t>
                  </w:r>
                  <w:r w:rsidRPr="00C6256C">
                    <w:rPr>
                      <w:rFonts w:ascii="Verdana" w:eastAsia="Times New Roman" w:hAnsi="Verdana" w:cs="Times New Roman"/>
                      <w:b/>
                      <w:bCs/>
                      <w:color w:val="4A4A4A"/>
                      <w:sz w:val="17"/>
                      <w:szCs w:val="17"/>
                      <w:lang w:eastAsia="hu-HU"/>
                    </w:rPr>
                    <w:t>Report</w:t>
                  </w:r>
                  <w:proofErr w:type="spellEnd"/>
                  <w:proofErr w:type="gramEnd"/>
                  <w:r w:rsidRPr="00C6256C">
                    <w:rPr>
                      <w:rFonts w:ascii="Verdana" w:eastAsia="Times New Roman" w:hAnsi="Verdana" w:cs="Times New Roman"/>
                      <w:b/>
                      <w:bCs/>
                      <w:color w:val="4A4A4A"/>
                      <w:sz w:val="17"/>
                      <w:szCs w:val="17"/>
                      <w:lang w:eastAsia="hu-HU"/>
                    </w:rPr>
                    <w:t xml:space="preserve"> (</w:t>
                  </w:r>
                  <w:proofErr w:type="spellStart"/>
                  <w:r w:rsidRPr="00C6256C">
                    <w:rPr>
                      <w:rFonts w:ascii="Verdana" w:eastAsia="Times New Roman" w:hAnsi="Verdana" w:cs="Times New Roman"/>
                      <w:b/>
                      <w:bCs/>
                      <w:color w:val="4A4A4A"/>
                      <w:sz w:val="17"/>
                      <w:szCs w:val="17"/>
                      <w:lang w:eastAsia="hu-HU"/>
                    </w:rPr>
                    <w:t>three-scale</w:t>
                  </w:r>
                  <w:proofErr w:type="spellEnd"/>
                  <w:r w:rsidRPr="00C6256C">
                    <w:rPr>
                      <w:rFonts w:ascii="Verdana" w:eastAsia="Times New Roman" w:hAnsi="Verdana" w:cs="Times New Roman"/>
                      <w:b/>
                      <w:bCs/>
                      <w:color w:val="4A4A4A"/>
                      <w:sz w:val="17"/>
                      <w:szCs w:val="17"/>
                      <w:lang w:eastAsia="hu-HU"/>
                    </w:rPr>
                    <w:t>)</w:t>
                  </w:r>
                </w:p>
              </w:tc>
            </w:tr>
          </w:tbl>
          <w:p w:rsidR="00C6256C" w:rsidRPr="00C6256C" w:rsidRDefault="00C6256C" w:rsidP="00C6256C">
            <w:pPr>
              <w:spacing w:after="0" w:line="240" w:lineRule="auto"/>
              <w:rPr>
                <w:rFonts w:ascii="Verdana" w:eastAsia="Times New Roman" w:hAnsi="Verdana" w:cs="Times New Roman"/>
                <w:color w:val="222222"/>
                <w:sz w:val="18"/>
                <w:szCs w:val="18"/>
                <w:lang w:eastAsia="hu-HU"/>
              </w:rPr>
            </w:pPr>
          </w:p>
        </w:tc>
        <w:tc>
          <w:tcPr>
            <w:tcW w:w="0" w:type="auto"/>
            <w:shd w:val="clear" w:color="auto" w:fill="FFFFFF"/>
            <w:vAlign w:val="center"/>
            <w:hideMark/>
          </w:tcPr>
          <w:p w:rsidR="00C6256C" w:rsidRPr="00C6256C" w:rsidRDefault="00C6256C" w:rsidP="00C6256C">
            <w:pPr>
              <w:spacing w:after="0" w:line="240" w:lineRule="auto"/>
              <w:rPr>
                <w:rFonts w:ascii="Times New Roman" w:eastAsia="Times New Roman" w:hAnsi="Times New Roman" w:cs="Times New Roman"/>
                <w:sz w:val="20"/>
                <w:szCs w:val="20"/>
                <w:lang w:eastAsia="hu-HU"/>
              </w:rPr>
            </w:pPr>
          </w:p>
        </w:tc>
      </w:tr>
      <w:tr w:rsidR="00C6256C" w:rsidRPr="00C6256C" w:rsidTr="00C6256C">
        <w:trPr>
          <w:gridAfter w:val="1"/>
          <w:trHeight w:val="300"/>
        </w:trPr>
        <w:tc>
          <w:tcPr>
            <w:tcW w:w="0" w:type="auto"/>
            <w:shd w:val="clear" w:color="auto" w:fill="FFFFFF"/>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roofErr w:type="spellStart"/>
            <w:r w:rsidRPr="00C6256C">
              <w:rPr>
                <w:rFonts w:ascii="Verdana" w:eastAsia="Times New Roman" w:hAnsi="Verdana" w:cs="Times New Roman"/>
                <w:color w:val="4A4A4A"/>
                <w:sz w:val="17"/>
                <w:szCs w:val="17"/>
                <w:bdr w:val="none" w:sz="0" w:space="0" w:color="auto" w:frame="1"/>
                <w:lang w:eastAsia="hu-HU"/>
              </w:rPr>
              <w:t>Notes</w:t>
            </w:r>
            <w:proofErr w:type="spellEnd"/>
            <w:r w:rsidRPr="00C6256C">
              <w:rPr>
                <w:rFonts w:ascii="Verdana" w:eastAsia="Times New Roman" w:hAnsi="Verdana" w:cs="Times New Roman"/>
                <w:color w:val="4A4A4A"/>
                <w:sz w:val="17"/>
                <w:szCs w:val="17"/>
                <w:bdr w:val="none" w:sz="0" w:space="0" w:color="auto" w:frame="1"/>
                <w:lang w:eastAsia="hu-HU"/>
              </w:rPr>
              <w:t>:</w:t>
            </w:r>
            <w:r>
              <w:rPr>
                <w:rFonts w:ascii="Verdana" w:eastAsia="Times New Roman" w:hAnsi="Verdana" w:cs="Times New Roman"/>
                <w:color w:val="4A4A4A"/>
                <w:sz w:val="17"/>
                <w:szCs w:val="17"/>
                <w:bdr w:val="none" w:sz="0" w:space="0" w:color="auto" w:frame="1"/>
                <w:lang w:eastAsia="hu-HU"/>
              </w:rPr>
              <w:t xml:space="preserve"> -</w:t>
            </w:r>
            <w:bookmarkStart w:id="0" w:name="_GoBack"/>
            <w:bookmarkEnd w:id="0"/>
          </w:p>
        </w:tc>
      </w:tr>
      <w:tr w:rsidR="00C6256C" w:rsidRPr="00C6256C" w:rsidTr="00C6256C">
        <w:trPr>
          <w:gridAfter w:val="1"/>
          <w:trHeight w:val="300"/>
        </w:trPr>
        <w:tc>
          <w:tcPr>
            <w:tcW w:w="0" w:type="auto"/>
            <w:shd w:val="clear" w:color="auto" w:fill="FFFFFF"/>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roofErr w:type="spellStart"/>
            <w:r w:rsidRPr="00C6256C">
              <w:rPr>
                <w:rFonts w:ascii="Verdana" w:eastAsia="Times New Roman" w:hAnsi="Verdana" w:cs="Times New Roman"/>
                <w:color w:val="4A4A4A"/>
                <w:sz w:val="17"/>
                <w:szCs w:val="17"/>
                <w:bdr w:val="none" w:sz="0" w:space="0" w:color="auto" w:frame="1"/>
                <w:lang w:eastAsia="hu-HU"/>
              </w:rPr>
              <w:t>Responsible</w:t>
            </w:r>
            <w:proofErr w:type="spellEnd"/>
            <w:r w:rsidRPr="00C6256C">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color w:val="4A4A4A"/>
                <w:sz w:val="17"/>
                <w:szCs w:val="17"/>
                <w:bdr w:val="none" w:sz="0" w:space="0" w:color="auto" w:frame="1"/>
                <w:lang w:eastAsia="hu-HU"/>
              </w:rPr>
              <w:t>lecturer</w:t>
            </w:r>
            <w:proofErr w:type="gramStart"/>
            <w:r w:rsidRPr="00C6256C">
              <w:rPr>
                <w:rFonts w:ascii="Verdana" w:eastAsia="Times New Roman" w:hAnsi="Verdana" w:cs="Times New Roman"/>
                <w:color w:val="4A4A4A"/>
                <w:sz w:val="17"/>
                <w:szCs w:val="17"/>
                <w:bdr w:val="none" w:sz="0" w:space="0" w:color="auto" w:frame="1"/>
                <w:lang w:eastAsia="hu-HU"/>
              </w:rPr>
              <w:t>:</w:t>
            </w:r>
            <w:r w:rsidRPr="00C6256C">
              <w:rPr>
                <w:rFonts w:ascii="Verdana" w:eastAsia="Times New Roman" w:hAnsi="Verdana" w:cs="Times New Roman"/>
                <w:b/>
                <w:bCs/>
                <w:color w:val="4A4A4A"/>
                <w:sz w:val="17"/>
                <w:szCs w:val="17"/>
                <w:lang w:eastAsia="hu-HU"/>
              </w:rPr>
              <w:t>Dr</w:t>
            </w:r>
            <w:proofErr w:type="spellEnd"/>
            <w:r w:rsidRPr="00C6256C">
              <w:rPr>
                <w:rFonts w:ascii="Verdana" w:eastAsia="Times New Roman" w:hAnsi="Verdana" w:cs="Times New Roman"/>
                <w:b/>
                <w:bCs/>
                <w:color w:val="4A4A4A"/>
                <w:sz w:val="17"/>
                <w:szCs w:val="17"/>
                <w:lang w:eastAsia="hu-HU"/>
              </w:rPr>
              <w:t>.</w:t>
            </w:r>
            <w:proofErr w:type="gramEnd"/>
            <w:r w:rsidRPr="00C6256C">
              <w:rPr>
                <w:rFonts w:ascii="Verdana" w:eastAsia="Times New Roman" w:hAnsi="Verdana" w:cs="Times New Roman"/>
                <w:b/>
                <w:bCs/>
                <w:color w:val="4A4A4A"/>
                <w:sz w:val="17"/>
                <w:szCs w:val="17"/>
                <w:lang w:eastAsia="hu-HU"/>
              </w:rPr>
              <w:t xml:space="preserve"> Szilágyi Ferenc</w:t>
            </w:r>
          </w:p>
        </w:tc>
      </w:tr>
      <w:tr w:rsidR="00C6256C" w:rsidRPr="00C6256C" w:rsidTr="00C6256C">
        <w:trPr>
          <w:gridAfter w:val="1"/>
          <w:trHeight w:val="300"/>
        </w:trPr>
        <w:tc>
          <w:tcPr>
            <w:tcW w:w="0" w:type="auto"/>
            <w:shd w:val="clear" w:color="auto" w:fill="FFFFFF"/>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roofErr w:type="spellStart"/>
            <w:r w:rsidRPr="00C6256C">
              <w:rPr>
                <w:rFonts w:ascii="Verdana" w:eastAsia="Times New Roman" w:hAnsi="Verdana" w:cs="Times New Roman"/>
                <w:color w:val="4A4A4A"/>
                <w:sz w:val="17"/>
                <w:szCs w:val="17"/>
                <w:bdr w:val="none" w:sz="0" w:space="0" w:color="auto" w:frame="1"/>
                <w:lang w:eastAsia="hu-HU"/>
              </w:rPr>
              <w:t>Organizational</w:t>
            </w:r>
            <w:proofErr w:type="spellEnd"/>
            <w:r w:rsidRPr="00C6256C">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color w:val="4A4A4A"/>
                <w:sz w:val="17"/>
                <w:szCs w:val="17"/>
                <w:bdr w:val="none" w:sz="0" w:space="0" w:color="auto" w:frame="1"/>
                <w:lang w:eastAsia="hu-HU"/>
              </w:rPr>
              <w:t>unit:</w:t>
            </w:r>
            <w:hyperlink r:id="rId5" w:tooltip="JÁK Polgári Jogi Tanszék" w:history="1">
              <w:r w:rsidRPr="00C6256C">
                <w:rPr>
                  <w:rFonts w:ascii="Verdana" w:eastAsia="Times New Roman" w:hAnsi="Verdana" w:cs="Times New Roman"/>
                  <w:color w:val="0000FF"/>
                  <w:sz w:val="18"/>
                  <w:szCs w:val="18"/>
                  <w:u w:val="single"/>
                  <w:lang w:eastAsia="hu-HU"/>
                </w:rPr>
                <w:t>JÁK</w:t>
              </w:r>
              <w:proofErr w:type="spellEnd"/>
              <w:r w:rsidRPr="00C6256C">
                <w:rPr>
                  <w:rFonts w:ascii="Verdana" w:eastAsia="Times New Roman" w:hAnsi="Verdana" w:cs="Times New Roman"/>
                  <w:color w:val="0000FF"/>
                  <w:sz w:val="18"/>
                  <w:szCs w:val="18"/>
                  <w:u w:val="single"/>
                  <w:lang w:eastAsia="hu-HU"/>
                </w:rPr>
                <w:t xml:space="preserve"> Polgári Jogi Tanszék</w:t>
              </w:r>
            </w:hyperlink>
          </w:p>
        </w:tc>
      </w:tr>
      <w:tr w:rsidR="00C6256C" w:rsidRPr="00C6256C" w:rsidTr="00C6256C">
        <w:trPr>
          <w:gridAfter w:val="1"/>
          <w:trHeight w:val="300"/>
        </w:trPr>
        <w:tc>
          <w:tcPr>
            <w:tcW w:w="0" w:type="auto"/>
            <w:shd w:val="clear" w:color="auto" w:fill="FFFFFF"/>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roofErr w:type="spellStart"/>
            <w:r w:rsidRPr="00C6256C">
              <w:rPr>
                <w:rFonts w:ascii="Verdana" w:eastAsia="Times New Roman" w:hAnsi="Verdana" w:cs="Times New Roman"/>
                <w:color w:val="4A4A4A"/>
                <w:sz w:val="17"/>
                <w:szCs w:val="17"/>
                <w:bdr w:val="none" w:sz="0" w:space="0" w:color="auto" w:frame="1"/>
                <w:lang w:eastAsia="hu-HU"/>
              </w:rPr>
              <w:t>Classes</w:t>
            </w:r>
            <w:proofErr w:type="spellEnd"/>
            <w:r w:rsidRPr="00C6256C">
              <w:rPr>
                <w:rFonts w:ascii="Verdana" w:eastAsia="Times New Roman" w:hAnsi="Verdana" w:cs="Times New Roman"/>
                <w:color w:val="4A4A4A"/>
                <w:sz w:val="17"/>
                <w:szCs w:val="17"/>
                <w:bdr w:val="none" w:sz="0" w:space="0" w:color="auto" w:frame="1"/>
                <w:lang w:eastAsia="hu-HU"/>
              </w:rPr>
              <w:t xml:space="preserve"> per </w:t>
            </w:r>
            <w:proofErr w:type="spellStart"/>
            <w:r w:rsidRPr="00C6256C">
              <w:rPr>
                <w:rFonts w:ascii="Verdana" w:eastAsia="Times New Roman" w:hAnsi="Verdana" w:cs="Times New Roman"/>
                <w:color w:val="4A4A4A"/>
                <w:sz w:val="17"/>
                <w:szCs w:val="17"/>
                <w:bdr w:val="none" w:sz="0" w:space="0" w:color="auto" w:frame="1"/>
                <w:lang w:eastAsia="hu-HU"/>
              </w:rPr>
              <w:t>week</w:t>
            </w:r>
            <w:proofErr w:type="spellEnd"/>
            <w:r>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b/>
                <w:bCs/>
                <w:color w:val="4A4A4A"/>
                <w:sz w:val="17"/>
                <w:szCs w:val="17"/>
                <w:lang w:eastAsia="hu-HU"/>
              </w:rPr>
              <w:t>Practical</w:t>
            </w:r>
            <w:proofErr w:type="spellEnd"/>
            <w:r w:rsidRPr="00C6256C">
              <w:rPr>
                <w:rFonts w:ascii="Verdana" w:eastAsia="Times New Roman" w:hAnsi="Verdana" w:cs="Times New Roman"/>
                <w:b/>
                <w:bCs/>
                <w:color w:val="4A4A4A"/>
                <w:sz w:val="17"/>
                <w:szCs w:val="17"/>
                <w:lang w:eastAsia="hu-HU"/>
              </w:rPr>
              <w:t>: 2</w:t>
            </w:r>
          </w:p>
        </w:tc>
      </w:tr>
      <w:tr w:rsidR="00C6256C" w:rsidRPr="00C6256C" w:rsidTr="00C6256C">
        <w:trPr>
          <w:gridAfter w:val="1"/>
          <w:trHeight w:val="300"/>
        </w:trPr>
        <w:tc>
          <w:tcPr>
            <w:tcW w:w="0" w:type="auto"/>
            <w:shd w:val="clear" w:color="auto" w:fill="FFFFFF"/>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roofErr w:type="spellStart"/>
            <w:r w:rsidRPr="00C6256C">
              <w:rPr>
                <w:rFonts w:ascii="Verdana" w:eastAsia="Times New Roman" w:hAnsi="Verdana" w:cs="Times New Roman"/>
                <w:color w:val="4A4A4A"/>
                <w:sz w:val="17"/>
                <w:szCs w:val="17"/>
                <w:bdr w:val="none" w:sz="0" w:space="0" w:color="auto" w:frame="1"/>
                <w:lang w:eastAsia="hu-HU"/>
              </w:rPr>
              <w:t>Classes</w:t>
            </w:r>
            <w:proofErr w:type="spellEnd"/>
            <w:r w:rsidRPr="00C6256C">
              <w:rPr>
                <w:rFonts w:ascii="Verdana" w:eastAsia="Times New Roman" w:hAnsi="Verdana" w:cs="Times New Roman"/>
                <w:color w:val="4A4A4A"/>
                <w:sz w:val="17"/>
                <w:szCs w:val="17"/>
                <w:bdr w:val="none" w:sz="0" w:space="0" w:color="auto" w:frame="1"/>
                <w:lang w:eastAsia="hu-HU"/>
              </w:rPr>
              <w:t xml:space="preserve"> per </w:t>
            </w:r>
            <w:proofErr w:type="spellStart"/>
            <w:r w:rsidRPr="00C6256C">
              <w:rPr>
                <w:rFonts w:ascii="Verdana" w:eastAsia="Times New Roman" w:hAnsi="Verdana" w:cs="Times New Roman"/>
                <w:color w:val="4A4A4A"/>
                <w:sz w:val="17"/>
                <w:szCs w:val="17"/>
                <w:bdr w:val="none" w:sz="0" w:space="0" w:color="auto" w:frame="1"/>
                <w:lang w:eastAsia="hu-HU"/>
              </w:rPr>
              <w:t>term</w:t>
            </w:r>
            <w:proofErr w:type="spellEnd"/>
            <w:r>
              <w:rPr>
                <w:rFonts w:ascii="Verdana" w:eastAsia="Times New Roman" w:hAnsi="Verdana" w:cs="Times New Roman"/>
                <w:color w:val="4A4A4A"/>
                <w:sz w:val="17"/>
                <w:szCs w:val="17"/>
                <w:bdr w:val="none" w:sz="0" w:space="0" w:color="auto" w:frame="1"/>
                <w:lang w:eastAsia="hu-HU"/>
              </w:rPr>
              <w:t xml:space="preserve"> </w:t>
            </w:r>
            <w:proofErr w:type="spellStart"/>
            <w:r w:rsidRPr="00C6256C">
              <w:rPr>
                <w:rFonts w:ascii="Verdana" w:eastAsia="Times New Roman" w:hAnsi="Verdana" w:cs="Times New Roman"/>
                <w:b/>
                <w:bCs/>
                <w:color w:val="4A4A4A"/>
                <w:sz w:val="17"/>
                <w:szCs w:val="17"/>
                <w:lang w:eastAsia="hu-HU"/>
              </w:rPr>
              <w:t>Practical</w:t>
            </w:r>
            <w:proofErr w:type="spellEnd"/>
            <w:r w:rsidRPr="00C6256C">
              <w:rPr>
                <w:rFonts w:ascii="Verdana" w:eastAsia="Times New Roman" w:hAnsi="Verdana" w:cs="Times New Roman"/>
                <w:b/>
                <w:bCs/>
                <w:color w:val="4A4A4A"/>
                <w:sz w:val="17"/>
                <w:szCs w:val="17"/>
                <w:lang w:eastAsia="hu-HU"/>
              </w:rPr>
              <w:t>: 2</w:t>
            </w:r>
          </w:p>
        </w:tc>
      </w:tr>
    </w:tbl>
    <w:p w:rsidR="0070795C" w:rsidRDefault="00C6256C"/>
    <w:tbl>
      <w:tblPr>
        <w:tblW w:w="9072" w:type="dxa"/>
        <w:tblCellMar>
          <w:left w:w="0" w:type="dxa"/>
          <w:right w:w="0" w:type="dxa"/>
        </w:tblCellMar>
        <w:tblLook w:val="04A0" w:firstRow="1" w:lastRow="0" w:firstColumn="1" w:lastColumn="0" w:noHBand="0" w:noVBand="1"/>
      </w:tblPr>
      <w:tblGrid>
        <w:gridCol w:w="9072"/>
      </w:tblGrid>
      <w:tr w:rsidR="00C6256C" w:rsidRPr="00C6256C" w:rsidTr="00C6256C">
        <w:tc>
          <w:tcPr>
            <w:tcW w:w="9072" w:type="dxa"/>
            <w:shd w:val="clear" w:color="auto" w:fill="auto"/>
            <w:hideMark/>
          </w:tcPr>
          <w:p w:rsidR="00C6256C" w:rsidRPr="00C6256C" w:rsidRDefault="00C6256C" w:rsidP="00C6256C">
            <w:pPr>
              <w:spacing w:before="360" w:after="240" w:line="240" w:lineRule="auto"/>
              <w:jc w:val="both"/>
              <w:rPr>
                <w:rFonts w:ascii="Verdana" w:eastAsia="Times New Roman" w:hAnsi="Verdana" w:cs="Times New Roman"/>
                <w:b/>
                <w:bCs/>
                <w:color w:val="4A4A4A"/>
                <w:sz w:val="17"/>
                <w:szCs w:val="17"/>
                <w:lang w:eastAsia="hu-HU"/>
              </w:rPr>
            </w:pPr>
            <w:proofErr w:type="spellStart"/>
            <w:r w:rsidRPr="00C6256C">
              <w:rPr>
                <w:rFonts w:ascii="Verdana" w:eastAsia="Times New Roman" w:hAnsi="Verdana" w:cs="Times New Roman"/>
                <w:b/>
                <w:bCs/>
                <w:smallCaps/>
                <w:color w:val="4A4A4A"/>
                <w:lang w:eastAsia="hu-HU"/>
              </w:rPr>
              <w:t>Scope</w:t>
            </w:r>
            <w:proofErr w:type="spellEnd"/>
            <w:r w:rsidRPr="00C6256C">
              <w:rPr>
                <w:rFonts w:ascii="Verdana" w:eastAsia="Times New Roman" w:hAnsi="Verdana" w:cs="Times New Roman"/>
                <w:b/>
                <w:bCs/>
                <w:smallCaps/>
                <w:color w:val="4A4A4A"/>
                <w:lang w:eastAsia="hu-HU"/>
              </w:rPr>
              <w:t xml:space="preserve"> of </w:t>
            </w:r>
            <w:proofErr w:type="spellStart"/>
            <w:r w:rsidRPr="00C6256C">
              <w:rPr>
                <w:rFonts w:ascii="Verdana" w:eastAsia="Times New Roman" w:hAnsi="Verdana" w:cs="Times New Roman"/>
                <w:b/>
                <w:bCs/>
                <w:smallCaps/>
                <w:color w:val="4A4A4A"/>
                <w:lang w:eastAsia="hu-HU"/>
              </w:rPr>
              <w:t>the</w:t>
            </w:r>
            <w:proofErr w:type="spellEnd"/>
            <w:r w:rsidRPr="00C6256C">
              <w:rPr>
                <w:rFonts w:ascii="Verdana" w:eastAsia="Times New Roman" w:hAnsi="Verdana" w:cs="Times New Roman"/>
                <w:b/>
                <w:bCs/>
                <w:smallCaps/>
                <w:color w:val="4A4A4A"/>
                <w:lang w:eastAsia="hu-HU"/>
              </w:rPr>
              <w:t xml:space="preserve"> </w:t>
            </w:r>
            <w:proofErr w:type="spellStart"/>
            <w:r w:rsidRPr="00C6256C">
              <w:rPr>
                <w:rFonts w:ascii="Verdana" w:eastAsia="Times New Roman" w:hAnsi="Verdana" w:cs="Times New Roman"/>
                <w:b/>
                <w:bCs/>
                <w:smallCaps/>
                <w:color w:val="4A4A4A"/>
                <w:lang w:eastAsia="hu-HU"/>
              </w:rPr>
              <w:t>course</w:t>
            </w:r>
            <w:proofErr w:type="spellEnd"/>
            <w:r w:rsidRPr="00C6256C">
              <w:rPr>
                <w:rFonts w:ascii="Verdana" w:eastAsia="Times New Roman" w:hAnsi="Verdana" w:cs="Times New Roman"/>
                <w:b/>
                <w:bCs/>
                <w:smallCaps/>
                <w:color w:val="4A4A4A"/>
                <w:lang w:eastAsia="hu-HU"/>
              </w:rPr>
              <w:t>:</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The aim of the course is to provide an introduction to the principles and central issues of property law in Europe by taking reference to the major legal systems, such as French law, Italian law, German law, Dutch law, the Scandinavian approach with focus on Swedish law and the common law approach with focus on the Law of England and Wales, as well as to Hungarian law. While pursuing this, the relevant model rules in the so-called Academic Draft Common Frame of Reference (DCFR) are also taken as point of reference. The primary objective of the course is to provide introduction and access to central issues of property law in Europe for non-Hungarian speaking European students also, with the benefit of explanation gained by applying the methods of comparative law.</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 </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smallCaps/>
                <w:color w:val="4A4A4A"/>
                <w:sz w:val="18"/>
                <w:szCs w:val="18"/>
                <w:lang w:eastAsia="hu-HU"/>
              </w:rPr>
              <w:t xml:space="preserve">Schedule of </w:t>
            </w:r>
            <w:proofErr w:type="spellStart"/>
            <w:r w:rsidRPr="00C6256C">
              <w:rPr>
                <w:rFonts w:ascii="Verdana" w:eastAsia="Times New Roman" w:hAnsi="Verdana" w:cs="Times New Roman"/>
                <w:bCs/>
                <w:smallCaps/>
                <w:color w:val="4A4A4A"/>
                <w:sz w:val="18"/>
                <w:szCs w:val="18"/>
                <w:lang w:eastAsia="hu-HU"/>
              </w:rPr>
              <w:t>the</w:t>
            </w:r>
            <w:proofErr w:type="spellEnd"/>
            <w:r w:rsidRPr="00C6256C">
              <w:rPr>
                <w:rFonts w:ascii="Verdana" w:eastAsia="Times New Roman" w:hAnsi="Verdana" w:cs="Times New Roman"/>
                <w:bCs/>
                <w:smallCaps/>
                <w:color w:val="4A4A4A"/>
                <w:sz w:val="18"/>
                <w:szCs w:val="18"/>
                <w:lang w:eastAsia="hu-HU"/>
              </w:rPr>
              <w:t xml:space="preserve"> </w:t>
            </w:r>
            <w:proofErr w:type="spellStart"/>
            <w:r w:rsidRPr="00C6256C">
              <w:rPr>
                <w:rFonts w:ascii="Verdana" w:eastAsia="Times New Roman" w:hAnsi="Verdana" w:cs="Times New Roman"/>
                <w:bCs/>
                <w:smallCaps/>
                <w:color w:val="4A4A4A"/>
                <w:sz w:val="18"/>
                <w:szCs w:val="18"/>
                <w:lang w:eastAsia="hu-HU"/>
              </w:rPr>
              <w:t>course</w:t>
            </w:r>
            <w:proofErr w:type="spellEnd"/>
            <w:r w:rsidRPr="00C6256C">
              <w:rPr>
                <w:rFonts w:ascii="Verdana" w:eastAsia="Times New Roman" w:hAnsi="Verdana" w:cs="Times New Roman"/>
                <w:bCs/>
                <w:smallCaps/>
                <w:color w:val="4A4A4A"/>
                <w:sz w:val="18"/>
                <w:szCs w:val="18"/>
                <w:lang w:eastAsia="hu-HU"/>
              </w:rPr>
              <w:t>:</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smallCaps/>
                <w:color w:val="4A4A4A"/>
                <w:sz w:val="18"/>
                <w:szCs w:val="18"/>
                <w:lang w:eastAsia="hu-HU"/>
              </w:rPr>
              <w:t> </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1.      </w:t>
            </w:r>
            <w:r w:rsidRPr="00C6256C">
              <w:rPr>
                <w:rFonts w:ascii="Verdana" w:eastAsia="Times New Roman" w:hAnsi="Verdana" w:cs="Times New Roman"/>
                <w:bCs/>
                <w:color w:val="4A4A4A"/>
                <w:sz w:val="18"/>
                <w:szCs w:val="18"/>
                <w:lang w:val="en-GB" w:eastAsia="hu-HU"/>
              </w:rPr>
              <w:t>General introduction and presentation of the method used during the course; international treaties, EU legislation concerning the area of property law</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2.      </w:t>
            </w:r>
            <w:r w:rsidRPr="00C6256C">
              <w:rPr>
                <w:rFonts w:ascii="Verdana" w:eastAsia="Times New Roman" w:hAnsi="Verdana" w:cs="Times New Roman"/>
                <w:bCs/>
                <w:color w:val="4A4A4A"/>
                <w:sz w:val="18"/>
                <w:szCs w:val="18"/>
                <w:lang w:val="en-GB" w:eastAsia="hu-HU"/>
              </w:rPr>
              <w:t>Defining the area of property law as covered by the course; place of property law within private law: understanding of and the area covered of property law in continental Europe and common law; identifying so-called general principles of property law</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3.      </w:t>
            </w:r>
            <w:r w:rsidRPr="00C6256C">
              <w:rPr>
                <w:rFonts w:ascii="Verdana" w:eastAsia="Times New Roman" w:hAnsi="Verdana" w:cs="Times New Roman"/>
                <w:bCs/>
                <w:color w:val="4A4A4A"/>
                <w:sz w:val="18"/>
                <w:szCs w:val="18"/>
                <w:lang w:val="en-GB" w:eastAsia="hu-HU"/>
              </w:rPr>
              <w:t>Doctrinal background of property rights and personal rights; the ‘implied feature’ of third party effect, eventual stages of it</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4.      </w:t>
            </w:r>
            <w:r w:rsidRPr="00C6256C">
              <w:rPr>
                <w:rFonts w:ascii="Verdana" w:eastAsia="Times New Roman" w:hAnsi="Verdana" w:cs="Times New Roman"/>
                <w:bCs/>
                <w:color w:val="4A4A4A"/>
                <w:sz w:val="18"/>
                <w:szCs w:val="18"/>
                <w:lang w:val="en-GB" w:eastAsia="hu-HU"/>
              </w:rPr>
              <w:t xml:space="preserve">Comparative overview on the objects of property rights and the various property rights in continental Europe and common law: the notion of  ‘goods’, the distinction between movable – immovable, other objects; property rights in respect of movables, </w:t>
            </w:r>
            <w:proofErr w:type="spellStart"/>
            <w:r w:rsidRPr="00C6256C">
              <w:rPr>
                <w:rFonts w:ascii="Verdana" w:eastAsia="Times New Roman" w:hAnsi="Verdana" w:cs="Times New Roman"/>
                <w:bCs/>
                <w:color w:val="4A4A4A"/>
                <w:sz w:val="18"/>
                <w:szCs w:val="18"/>
                <w:lang w:val="en-GB" w:eastAsia="hu-HU"/>
              </w:rPr>
              <w:t>immovables</w:t>
            </w:r>
            <w:proofErr w:type="spellEnd"/>
            <w:r w:rsidRPr="00C6256C">
              <w:rPr>
                <w:rFonts w:ascii="Verdana" w:eastAsia="Times New Roman" w:hAnsi="Verdana" w:cs="Times New Roman"/>
                <w:bCs/>
                <w:color w:val="4A4A4A"/>
                <w:sz w:val="18"/>
                <w:szCs w:val="18"/>
                <w:lang w:val="en-GB" w:eastAsia="hu-HU"/>
              </w:rPr>
              <w:t xml:space="preserve"> and other objects</w:t>
            </w:r>
            <w:r w:rsidRPr="00C6256C">
              <w:rPr>
                <w:rFonts w:ascii="Verdana" w:eastAsia="Times New Roman" w:hAnsi="Verdana" w:cs="Times New Roman"/>
                <w:bCs/>
                <w:color w:val="4A4A4A"/>
                <w:sz w:val="18"/>
                <w:szCs w:val="18"/>
                <w:lang w:eastAsia="hu-HU"/>
              </w:rPr>
              <w:t> </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5.      </w:t>
            </w:r>
            <w:proofErr w:type="spellStart"/>
            <w:r w:rsidRPr="00C6256C">
              <w:rPr>
                <w:rFonts w:ascii="Verdana" w:eastAsia="Times New Roman" w:hAnsi="Verdana" w:cs="Times New Roman"/>
                <w:bCs/>
                <w:color w:val="4A4A4A"/>
                <w:sz w:val="18"/>
                <w:szCs w:val="18"/>
                <w:lang w:eastAsia="hu-HU"/>
              </w:rPr>
              <w:t>Ownership</w:t>
            </w:r>
            <w:proofErr w:type="spellEnd"/>
            <w:r w:rsidRPr="00C6256C">
              <w:rPr>
                <w:rFonts w:ascii="Verdana" w:eastAsia="Times New Roman" w:hAnsi="Verdana" w:cs="Times New Roman"/>
                <w:bCs/>
                <w:color w:val="4A4A4A"/>
                <w:sz w:val="18"/>
                <w:szCs w:val="18"/>
                <w:lang w:eastAsia="hu-HU"/>
              </w:rPr>
              <w:t xml:space="preserve"> and </w:t>
            </w:r>
            <w:proofErr w:type="spellStart"/>
            <w:r w:rsidRPr="00C6256C">
              <w:rPr>
                <w:rFonts w:ascii="Verdana" w:eastAsia="Times New Roman" w:hAnsi="Verdana" w:cs="Times New Roman"/>
                <w:bCs/>
                <w:color w:val="4A4A4A"/>
                <w:sz w:val="18"/>
                <w:szCs w:val="18"/>
                <w:lang w:eastAsia="hu-HU"/>
              </w:rPr>
              <w:t>its</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relation</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to</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other</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property</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rights</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the</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category</w:t>
            </w:r>
            <w:proofErr w:type="spellEnd"/>
            <w:r w:rsidRPr="00C6256C">
              <w:rPr>
                <w:rFonts w:ascii="Verdana" w:eastAsia="Times New Roman" w:hAnsi="Verdana" w:cs="Times New Roman"/>
                <w:bCs/>
                <w:color w:val="4A4A4A"/>
                <w:sz w:val="18"/>
                <w:szCs w:val="18"/>
                <w:lang w:eastAsia="hu-HU"/>
              </w:rPr>
              <w:t xml:space="preserve"> of limited </w:t>
            </w:r>
            <w:proofErr w:type="spellStart"/>
            <w:r w:rsidRPr="00C6256C">
              <w:rPr>
                <w:rFonts w:ascii="Verdana" w:eastAsia="Times New Roman" w:hAnsi="Verdana" w:cs="Times New Roman"/>
                <w:bCs/>
                <w:color w:val="4A4A4A"/>
                <w:sz w:val="18"/>
                <w:szCs w:val="18"/>
                <w:lang w:eastAsia="hu-HU"/>
              </w:rPr>
              <w:t>proprietary</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rights</w:t>
            </w:r>
            <w:proofErr w:type="spellEnd"/>
            <w:r w:rsidRPr="00C6256C">
              <w:rPr>
                <w:rFonts w:ascii="Verdana" w:eastAsia="Times New Roman" w:hAnsi="Verdana" w:cs="Times New Roman"/>
                <w:bCs/>
                <w:color w:val="4A4A4A"/>
                <w:sz w:val="18"/>
                <w:szCs w:val="18"/>
                <w:lang w:eastAsia="hu-HU"/>
              </w:rPr>
              <w:t xml:space="preserve"> in </w:t>
            </w:r>
            <w:proofErr w:type="spellStart"/>
            <w:r w:rsidRPr="00C6256C">
              <w:rPr>
                <w:rFonts w:ascii="Verdana" w:eastAsia="Times New Roman" w:hAnsi="Verdana" w:cs="Times New Roman"/>
                <w:bCs/>
                <w:color w:val="4A4A4A"/>
                <w:sz w:val="18"/>
                <w:szCs w:val="18"/>
                <w:lang w:eastAsia="hu-HU"/>
              </w:rPr>
              <w:t>continental</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legal</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systems</w:t>
            </w:r>
            <w:proofErr w:type="spellEnd"/>
            <w:r w:rsidRPr="00C6256C">
              <w:rPr>
                <w:rFonts w:ascii="Verdana" w:eastAsia="Times New Roman" w:hAnsi="Verdana" w:cs="Times New Roman"/>
                <w:bCs/>
                <w:color w:val="4A4A4A"/>
                <w:sz w:val="18"/>
                <w:szCs w:val="18"/>
                <w:lang w:eastAsia="hu-HU"/>
              </w:rPr>
              <w:t xml:space="preserve"> and </w:t>
            </w:r>
            <w:proofErr w:type="spellStart"/>
            <w:r w:rsidRPr="00C6256C">
              <w:rPr>
                <w:rFonts w:ascii="Verdana" w:eastAsia="Times New Roman" w:hAnsi="Verdana" w:cs="Times New Roman"/>
                <w:bCs/>
                <w:color w:val="4A4A4A"/>
                <w:sz w:val="18"/>
                <w:szCs w:val="18"/>
                <w:lang w:eastAsia="hu-HU"/>
              </w:rPr>
              <w:t>its</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doctrinal</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background</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property</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rights</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as</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they</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relate</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to</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each-other</w:t>
            </w:r>
            <w:proofErr w:type="spellEnd"/>
            <w:r w:rsidRPr="00C6256C">
              <w:rPr>
                <w:rFonts w:ascii="Verdana" w:eastAsia="Times New Roman" w:hAnsi="Verdana" w:cs="Times New Roman"/>
                <w:bCs/>
                <w:color w:val="4A4A4A"/>
                <w:sz w:val="18"/>
                <w:szCs w:val="18"/>
                <w:lang w:eastAsia="hu-HU"/>
              </w:rPr>
              <w:t xml:space="preserve"> in </w:t>
            </w:r>
            <w:proofErr w:type="spellStart"/>
            <w:r w:rsidRPr="00C6256C">
              <w:rPr>
                <w:rFonts w:ascii="Verdana" w:eastAsia="Times New Roman" w:hAnsi="Verdana" w:cs="Times New Roman"/>
                <w:bCs/>
                <w:color w:val="4A4A4A"/>
                <w:sz w:val="18"/>
                <w:szCs w:val="18"/>
                <w:lang w:eastAsia="hu-HU"/>
              </w:rPr>
              <w:t>common</w:t>
            </w:r>
            <w:proofErr w:type="spellEnd"/>
            <w:r w:rsidRPr="00C6256C">
              <w:rPr>
                <w:rFonts w:ascii="Verdana" w:eastAsia="Times New Roman" w:hAnsi="Verdana" w:cs="Times New Roman"/>
                <w:bCs/>
                <w:color w:val="4A4A4A"/>
                <w:sz w:val="18"/>
                <w:szCs w:val="18"/>
                <w:lang w:eastAsia="hu-HU"/>
              </w:rPr>
              <w:t xml:space="preserve"> </w:t>
            </w:r>
            <w:proofErr w:type="spellStart"/>
            <w:r w:rsidRPr="00C6256C">
              <w:rPr>
                <w:rFonts w:ascii="Verdana" w:eastAsia="Times New Roman" w:hAnsi="Verdana" w:cs="Times New Roman"/>
                <w:bCs/>
                <w:color w:val="4A4A4A"/>
                <w:sz w:val="18"/>
                <w:szCs w:val="18"/>
                <w:lang w:eastAsia="hu-HU"/>
              </w:rPr>
              <w:t>law</w:t>
            </w:r>
            <w:proofErr w:type="spellEnd"/>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6.      </w:t>
            </w:r>
            <w:r w:rsidRPr="00C6256C">
              <w:rPr>
                <w:rFonts w:ascii="Verdana" w:eastAsia="Times New Roman" w:hAnsi="Verdana" w:cs="Times New Roman"/>
                <w:bCs/>
                <w:color w:val="4A4A4A"/>
                <w:sz w:val="18"/>
                <w:szCs w:val="18"/>
                <w:lang w:val="en-GB" w:eastAsia="hu-HU"/>
              </w:rPr>
              <w:t>Protection of property rights in continental Europe and common law: possession and protection of possession; protection of ownership and its limits (e.g. extinctive prescription, accidental loss or destruction of the goods, etc.)</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7.      </w:t>
            </w:r>
            <w:r w:rsidRPr="00C6256C">
              <w:rPr>
                <w:rFonts w:ascii="Verdana" w:eastAsia="Times New Roman" w:hAnsi="Verdana" w:cs="Times New Roman"/>
                <w:bCs/>
                <w:color w:val="4A4A4A"/>
                <w:sz w:val="18"/>
                <w:szCs w:val="18"/>
                <w:lang w:val="en-GB" w:eastAsia="hu-HU"/>
              </w:rPr>
              <w:t>Acquisition of ownership and other property rights other than by way of transfer (accession, commixture, processing, acquisitive prescription, creation by agreement, by operation of law etc.)</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8.      </w:t>
            </w:r>
            <w:r w:rsidRPr="00C6256C">
              <w:rPr>
                <w:rFonts w:ascii="Verdana" w:eastAsia="Times New Roman" w:hAnsi="Verdana" w:cs="Times New Roman"/>
                <w:bCs/>
                <w:color w:val="4A4A4A"/>
                <w:sz w:val="18"/>
                <w:szCs w:val="18"/>
                <w:lang w:val="en-GB" w:eastAsia="hu-HU"/>
              </w:rPr>
              <w:t xml:space="preserve">Acquisition of ownership and other property rights by way of transfer (systems of transfer with regard to movables and </w:t>
            </w:r>
            <w:proofErr w:type="spellStart"/>
            <w:r w:rsidRPr="00C6256C">
              <w:rPr>
                <w:rFonts w:ascii="Verdana" w:eastAsia="Times New Roman" w:hAnsi="Verdana" w:cs="Times New Roman"/>
                <w:bCs/>
                <w:color w:val="4A4A4A"/>
                <w:sz w:val="18"/>
                <w:szCs w:val="18"/>
                <w:lang w:val="en-GB" w:eastAsia="hu-HU"/>
              </w:rPr>
              <w:t>immovables</w:t>
            </w:r>
            <w:proofErr w:type="spellEnd"/>
            <w:r w:rsidRPr="00C6256C">
              <w:rPr>
                <w:rFonts w:ascii="Verdana" w:eastAsia="Times New Roman" w:hAnsi="Verdana" w:cs="Times New Roman"/>
                <w:bCs/>
                <w:color w:val="4A4A4A"/>
                <w:sz w:val="18"/>
                <w:szCs w:val="18"/>
                <w:lang w:val="en-GB" w:eastAsia="hu-HU"/>
              </w:rPr>
              <w:t>; consequences when the transfer has failed)</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9.      </w:t>
            </w:r>
            <w:r w:rsidRPr="00C6256C">
              <w:rPr>
                <w:rFonts w:ascii="Verdana" w:eastAsia="Times New Roman" w:hAnsi="Verdana" w:cs="Times New Roman"/>
                <w:bCs/>
                <w:color w:val="4A4A4A"/>
                <w:sz w:val="18"/>
                <w:szCs w:val="18"/>
                <w:lang w:val="en-GB" w:eastAsia="hu-HU"/>
              </w:rPr>
              <w:t>Registries and property law: models of registry; land registry, registry for certain types of movables; registry for certain types of property rights, e.g. security rights</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10.  </w:t>
            </w:r>
            <w:r w:rsidRPr="00C6256C">
              <w:rPr>
                <w:rFonts w:ascii="Verdana" w:eastAsia="Times New Roman" w:hAnsi="Verdana" w:cs="Times New Roman"/>
                <w:bCs/>
                <w:color w:val="4A4A4A"/>
                <w:sz w:val="18"/>
                <w:szCs w:val="18"/>
                <w:lang w:val="en-GB" w:eastAsia="hu-HU"/>
              </w:rPr>
              <w:t>Termination of property rights: destruction of the object; abandonment; other instances of termination</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lastRenderedPageBreak/>
              <w:t>11.  </w:t>
            </w:r>
            <w:r w:rsidRPr="00C6256C">
              <w:rPr>
                <w:rFonts w:ascii="Verdana" w:eastAsia="Times New Roman" w:hAnsi="Verdana" w:cs="Times New Roman"/>
                <w:bCs/>
                <w:color w:val="4A4A4A"/>
                <w:sz w:val="18"/>
                <w:szCs w:val="18"/>
                <w:lang w:val="en-GB" w:eastAsia="hu-HU"/>
              </w:rPr>
              <w:t>Proprietary security rights in continental Europe and common law: types, objects, its creation and realisation</w:t>
            </w:r>
          </w:p>
          <w:p w:rsidR="00C6256C" w:rsidRPr="00C6256C" w:rsidRDefault="00C6256C" w:rsidP="00C6256C">
            <w:pPr>
              <w:spacing w:after="0" w:line="240" w:lineRule="auto"/>
              <w:ind w:left="714" w:hanging="357"/>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eastAsia="hu-HU"/>
              </w:rPr>
              <w:t>12.  </w:t>
            </w:r>
            <w:r w:rsidRPr="00C6256C">
              <w:rPr>
                <w:rFonts w:ascii="Verdana" w:eastAsia="Times New Roman" w:hAnsi="Verdana" w:cs="Times New Roman"/>
                <w:bCs/>
                <w:color w:val="4A4A4A"/>
                <w:sz w:val="18"/>
                <w:szCs w:val="18"/>
                <w:lang w:val="en-GB" w:eastAsia="hu-HU"/>
              </w:rPr>
              <w:t xml:space="preserve">Management positions: Trust, </w:t>
            </w:r>
            <w:proofErr w:type="spellStart"/>
            <w:r w:rsidRPr="00C6256C">
              <w:rPr>
                <w:rFonts w:ascii="Verdana" w:eastAsia="Times New Roman" w:hAnsi="Verdana" w:cs="Times New Roman"/>
                <w:bCs/>
                <w:color w:val="4A4A4A"/>
                <w:sz w:val="18"/>
                <w:szCs w:val="18"/>
                <w:lang w:val="en-GB" w:eastAsia="hu-HU"/>
              </w:rPr>
              <w:t>Treuhand</w:t>
            </w:r>
            <w:proofErr w:type="spellEnd"/>
            <w:r w:rsidRPr="00C6256C">
              <w:rPr>
                <w:rFonts w:ascii="Verdana" w:eastAsia="Times New Roman" w:hAnsi="Verdana" w:cs="Times New Roman"/>
                <w:bCs/>
                <w:color w:val="4A4A4A"/>
                <w:sz w:val="18"/>
                <w:szCs w:val="18"/>
                <w:lang w:val="en-GB" w:eastAsia="hu-HU"/>
              </w:rPr>
              <w:t xml:space="preserve">, </w:t>
            </w:r>
            <w:proofErr w:type="spellStart"/>
            <w:r w:rsidRPr="00C6256C">
              <w:rPr>
                <w:rFonts w:ascii="Verdana" w:eastAsia="Times New Roman" w:hAnsi="Verdana" w:cs="Times New Roman"/>
                <w:bCs/>
                <w:color w:val="4A4A4A"/>
                <w:sz w:val="18"/>
                <w:szCs w:val="18"/>
                <w:lang w:val="en-GB" w:eastAsia="hu-HU"/>
              </w:rPr>
              <w:t>Fiducie</w:t>
            </w:r>
            <w:proofErr w:type="spellEnd"/>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 </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 </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smallCaps/>
                <w:color w:val="4A4A4A"/>
                <w:sz w:val="18"/>
                <w:szCs w:val="18"/>
                <w:lang w:val="en-GB" w:eastAsia="hu-HU"/>
              </w:rPr>
              <w:t>Books, recommended readings (to be completed):</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smallCaps/>
                <w:color w:val="4A4A4A"/>
                <w:sz w:val="18"/>
                <w:szCs w:val="18"/>
                <w:lang w:val="en-GB" w:eastAsia="hu-HU"/>
              </w:rPr>
              <w:t> </w:t>
            </w:r>
          </w:p>
          <w:p w:rsidR="00C6256C" w:rsidRPr="00C6256C" w:rsidRDefault="00C6256C" w:rsidP="00C6256C">
            <w:pPr>
              <w:spacing w:after="0" w:line="240" w:lineRule="auto"/>
              <w:ind w:left="720"/>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US" w:eastAsia="hu-HU"/>
              </w:rPr>
              <w:t> </w:t>
            </w:r>
          </w:p>
          <w:p w:rsidR="00C6256C" w:rsidRPr="00C6256C" w:rsidRDefault="00C6256C" w:rsidP="00C6256C">
            <w:pPr>
              <w:numPr>
                <w:ilvl w:val="0"/>
                <w:numId w:val="1"/>
              </w:numPr>
              <w:spacing w:after="0" w:line="240" w:lineRule="auto"/>
              <w:ind w:left="0"/>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 xml:space="preserve">Van </w:t>
            </w:r>
            <w:proofErr w:type="spellStart"/>
            <w:r w:rsidRPr="00C6256C">
              <w:rPr>
                <w:rFonts w:ascii="Verdana" w:eastAsia="Times New Roman" w:hAnsi="Verdana" w:cs="Times New Roman"/>
                <w:bCs/>
                <w:color w:val="4A4A4A"/>
                <w:sz w:val="18"/>
                <w:szCs w:val="18"/>
                <w:lang w:val="en-GB" w:eastAsia="hu-HU"/>
              </w:rPr>
              <w:t>Erp</w:t>
            </w:r>
            <w:proofErr w:type="spellEnd"/>
            <w:r w:rsidRPr="00C6256C">
              <w:rPr>
                <w:rFonts w:ascii="Verdana" w:eastAsia="Times New Roman" w:hAnsi="Verdana" w:cs="Times New Roman"/>
                <w:bCs/>
                <w:color w:val="4A4A4A"/>
                <w:sz w:val="18"/>
                <w:szCs w:val="18"/>
                <w:lang w:val="en-GB" w:eastAsia="hu-HU"/>
              </w:rPr>
              <w:t xml:space="preserve">, </w:t>
            </w:r>
            <w:proofErr w:type="spellStart"/>
            <w:r w:rsidRPr="00C6256C">
              <w:rPr>
                <w:rFonts w:ascii="Verdana" w:eastAsia="Times New Roman" w:hAnsi="Verdana" w:cs="Times New Roman"/>
                <w:bCs/>
                <w:color w:val="4A4A4A"/>
                <w:sz w:val="18"/>
                <w:szCs w:val="18"/>
                <w:lang w:val="en-GB" w:eastAsia="hu-HU"/>
              </w:rPr>
              <w:t>Sjef</w:t>
            </w:r>
            <w:proofErr w:type="spellEnd"/>
            <w:r w:rsidRPr="00C6256C">
              <w:rPr>
                <w:rFonts w:ascii="Verdana" w:eastAsia="Times New Roman" w:hAnsi="Verdana" w:cs="Times New Roman"/>
                <w:bCs/>
                <w:color w:val="4A4A4A"/>
                <w:sz w:val="18"/>
                <w:szCs w:val="18"/>
                <w:lang w:val="en-GB" w:eastAsia="hu-HU"/>
              </w:rPr>
              <w:t xml:space="preserve"> and </w:t>
            </w:r>
            <w:proofErr w:type="spellStart"/>
            <w:r w:rsidRPr="00C6256C">
              <w:rPr>
                <w:rFonts w:ascii="Verdana" w:eastAsia="Times New Roman" w:hAnsi="Verdana" w:cs="Times New Roman"/>
                <w:bCs/>
                <w:color w:val="4A4A4A"/>
                <w:sz w:val="18"/>
                <w:szCs w:val="18"/>
                <w:lang w:val="en-GB" w:eastAsia="hu-HU"/>
              </w:rPr>
              <w:t>Akkermans</w:t>
            </w:r>
            <w:proofErr w:type="spellEnd"/>
            <w:r w:rsidRPr="00C6256C">
              <w:rPr>
                <w:rFonts w:ascii="Verdana" w:eastAsia="Times New Roman" w:hAnsi="Verdana" w:cs="Times New Roman"/>
                <w:bCs/>
                <w:color w:val="4A4A4A"/>
                <w:sz w:val="18"/>
                <w:szCs w:val="18"/>
                <w:lang w:val="en-GB" w:eastAsia="hu-HU"/>
              </w:rPr>
              <w:t>, Bram (eds.): </w:t>
            </w:r>
            <w:proofErr w:type="spellStart"/>
            <w:r w:rsidRPr="00C6256C">
              <w:rPr>
                <w:rFonts w:ascii="Verdana" w:eastAsia="Times New Roman" w:hAnsi="Verdana" w:cs="Times New Roman"/>
                <w:bCs/>
                <w:i/>
                <w:iCs/>
                <w:color w:val="4A4A4A"/>
                <w:sz w:val="18"/>
                <w:szCs w:val="18"/>
                <w:lang w:val="en-US" w:eastAsia="hu-HU"/>
              </w:rPr>
              <w:t>Ius</w:t>
            </w:r>
            <w:proofErr w:type="spellEnd"/>
            <w:r w:rsidRPr="00C6256C">
              <w:rPr>
                <w:rFonts w:ascii="Verdana" w:eastAsia="Times New Roman" w:hAnsi="Verdana" w:cs="Times New Roman"/>
                <w:bCs/>
                <w:i/>
                <w:iCs/>
                <w:color w:val="4A4A4A"/>
                <w:sz w:val="18"/>
                <w:szCs w:val="18"/>
                <w:lang w:val="en-US" w:eastAsia="hu-HU"/>
              </w:rPr>
              <w:t xml:space="preserve"> Commune Casebooks for the Common Law of Europe; Cases, Materials and Text on National, Supranational and International Property Law,</w:t>
            </w:r>
            <w:r w:rsidRPr="00C6256C">
              <w:rPr>
                <w:rFonts w:ascii="Verdana" w:eastAsia="Times New Roman" w:hAnsi="Verdana" w:cs="Times New Roman"/>
                <w:bCs/>
                <w:color w:val="4A4A4A"/>
                <w:sz w:val="18"/>
                <w:szCs w:val="18"/>
                <w:lang w:val="en-US" w:eastAsia="hu-HU"/>
              </w:rPr>
              <w:t> </w:t>
            </w:r>
            <w:r w:rsidRPr="00C6256C">
              <w:rPr>
                <w:rFonts w:ascii="Verdana" w:eastAsia="Times New Roman" w:hAnsi="Verdana" w:cs="Times New Roman"/>
                <w:bCs/>
                <w:color w:val="4A4A4A"/>
                <w:sz w:val="18"/>
                <w:szCs w:val="18"/>
                <w:lang w:val="en-GB" w:eastAsia="hu-HU"/>
              </w:rPr>
              <w:t>Oxford 2012. (</w:t>
            </w:r>
            <w:hyperlink r:id="rId6" w:history="1">
              <w:r w:rsidRPr="00C6256C">
                <w:rPr>
                  <w:rFonts w:ascii="Verdana" w:eastAsia="Times New Roman" w:hAnsi="Verdana" w:cs="Times New Roman"/>
                  <w:bCs/>
                  <w:color w:val="0000FF"/>
                  <w:sz w:val="18"/>
                  <w:szCs w:val="18"/>
                  <w:u w:val="single"/>
                  <w:lang w:val="en-GB" w:eastAsia="hu-HU"/>
                </w:rPr>
                <w:t>www.casebooks.eu/propertylaw</w:t>
              </w:r>
            </w:hyperlink>
            <w:r w:rsidRPr="00C6256C">
              <w:rPr>
                <w:rFonts w:ascii="Verdana" w:eastAsia="Times New Roman" w:hAnsi="Verdana" w:cs="Times New Roman"/>
                <w:bCs/>
                <w:color w:val="4A4A4A"/>
                <w:sz w:val="18"/>
                <w:szCs w:val="18"/>
                <w:lang w:val="en-GB" w:eastAsia="hu-HU"/>
              </w:rPr>
              <w:t>)</w:t>
            </w:r>
            <w:r w:rsidRPr="00C6256C">
              <w:rPr>
                <w:rFonts w:ascii="Verdana" w:eastAsia="Times New Roman" w:hAnsi="Verdana" w:cs="Times New Roman"/>
                <w:bCs/>
                <w:color w:val="4A4A4A"/>
                <w:sz w:val="18"/>
                <w:szCs w:val="18"/>
                <w:lang w:eastAsia="hu-HU"/>
              </w:rPr>
              <w:t> </w:t>
            </w:r>
          </w:p>
          <w:p w:rsidR="00C6256C" w:rsidRPr="00C6256C" w:rsidRDefault="00C6256C" w:rsidP="00C6256C">
            <w:pPr>
              <w:spacing w:after="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 </w:t>
            </w:r>
          </w:p>
          <w:p w:rsidR="00C6256C" w:rsidRPr="00C6256C" w:rsidRDefault="00C6256C" w:rsidP="00C6256C">
            <w:pPr>
              <w:numPr>
                <w:ilvl w:val="0"/>
                <w:numId w:val="2"/>
              </w:numPr>
              <w:spacing w:after="0" w:line="240" w:lineRule="auto"/>
              <w:ind w:left="0"/>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US" w:eastAsia="hu-HU"/>
              </w:rPr>
              <w:t>Von Bar, Christian and Clive, Eric (</w:t>
            </w:r>
            <w:r w:rsidRPr="00C6256C">
              <w:rPr>
                <w:rFonts w:ascii="Verdana" w:eastAsia="Times New Roman" w:hAnsi="Verdana" w:cs="Times New Roman"/>
                <w:bCs/>
                <w:color w:val="4A4A4A"/>
                <w:sz w:val="18"/>
                <w:szCs w:val="18"/>
                <w:lang w:val="en-GB" w:eastAsia="hu-HU"/>
              </w:rPr>
              <w:t>eds.</w:t>
            </w:r>
            <w:r w:rsidRPr="00C6256C">
              <w:rPr>
                <w:rFonts w:ascii="Verdana" w:eastAsia="Times New Roman" w:hAnsi="Verdana" w:cs="Times New Roman"/>
                <w:bCs/>
                <w:color w:val="4A4A4A"/>
                <w:sz w:val="18"/>
                <w:szCs w:val="18"/>
                <w:lang w:val="en-US" w:eastAsia="hu-HU"/>
              </w:rPr>
              <w:t>) - (prepared by Study Group on a European Civil Code/Research Group on EC Private Law (Acquis Group)): </w:t>
            </w:r>
            <w:r w:rsidRPr="00C6256C">
              <w:rPr>
                <w:rFonts w:ascii="Verdana" w:eastAsia="Times New Roman" w:hAnsi="Verdana" w:cs="Times New Roman"/>
                <w:bCs/>
                <w:i/>
                <w:iCs/>
                <w:color w:val="4A4A4A"/>
                <w:sz w:val="18"/>
                <w:szCs w:val="18"/>
                <w:lang w:val="en-US" w:eastAsia="hu-HU"/>
              </w:rPr>
              <w:t>Draft Common Frame of Reference (DCFR). Full Edition (vol. 5.). Principles, Definitions and Model Rules of European Private Law, </w:t>
            </w:r>
            <w:r w:rsidRPr="00C6256C">
              <w:rPr>
                <w:rFonts w:ascii="Verdana" w:eastAsia="Times New Roman" w:hAnsi="Verdana" w:cs="Times New Roman"/>
                <w:bCs/>
                <w:color w:val="4A4A4A"/>
                <w:sz w:val="18"/>
                <w:szCs w:val="18"/>
                <w:lang w:val="en-GB" w:eastAsia="hu-HU"/>
              </w:rPr>
              <w:t>Munich 2</w:t>
            </w:r>
            <w:r w:rsidRPr="00C6256C">
              <w:rPr>
                <w:rFonts w:ascii="Verdana" w:eastAsia="Times New Roman" w:hAnsi="Verdana" w:cs="Times New Roman"/>
                <w:bCs/>
                <w:color w:val="4A4A4A"/>
                <w:sz w:val="18"/>
                <w:szCs w:val="18"/>
                <w:lang w:eastAsia="hu-HU"/>
              </w:rPr>
              <w:t>009.</w:t>
            </w:r>
            <w:r w:rsidRPr="00C6256C">
              <w:rPr>
                <w:rFonts w:ascii="Verdana" w:eastAsia="Times New Roman" w:hAnsi="Verdana" w:cs="Times New Roman"/>
                <w:bCs/>
                <w:color w:val="4A4A4A"/>
                <w:sz w:val="18"/>
                <w:szCs w:val="18"/>
                <w:lang w:val="en-US" w:eastAsia="hu-HU"/>
              </w:rPr>
              <w:t> </w:t>
            </w:r>
          </w:p>
          <w:p w:rsidR="00C6256C" w:rsidRPr="00C6256C" w:rsidRDefault="00C6256C" w:rsidP="00C6256C">
            <w:pPr>
              <w:spacing w:after="0" w:line="240" w:lineRule="auto"/>
              <w:ind w:left="708"/>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US" w:eastAsia="hu-HU"/>
              </w:rPr>
              <w:t> </w:t>
            </w:r>
          </w:p>
          <w:p w:rsidR="00C6256C" w:rsidRPr="00C6256C" w:rsidRDefault="00C6256C" w:rsidP="00C6256C">
            <w:pPr>
              <w:spacing w:after="0" w:line="240" w:lineRule="auto"/>
              <w:ind w:left="720" w:hanging="360"/>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de-DE" w:eastAsia="hu-HU"/>
              </w:rPr>
              <w:t>3.     In German: </w:t>
            </w:r>
            <w:r w:rsidRPr="00C6256C">
              <w:rPr>
                <w:rFonts w:ascii="Verdana" w:eastAsia="Times New Roman" w:hAnsi="Verdana" w:cs="Times New Roman"/>
                <w:bCs/>
                <w:i/>
                <w:iCs/>
                <w:color w:val="4A4A4A"/>
                <w:sz w:val="18"/>
                <w:szCs w:val="18"/>
                <w:lang w:val="de-DE" w:eastAsia="hu-HU"/>
              </w:rPr>
              <w:t>von Bar, Christian</w:t>
            </w:r>
            <w:r w:rsidRPr="00C6256C">
              <w:rPr>
                <w:rFonts w:ascii="Verdana" w:eastAsia="Times New Roman" w:hAnsi="Verdana" w:cs="Times New Roman"/>
                <w:bCs/>
                <w:color w:val="4A4A4A"/>
                <w:sz w:val="18"/>
                <w:szCs w:val="18"/>
                <w:lang w:val="de-DE" w:eastAsia="hu-HU"/>
              </w:rPr>
              <w:t>:  </w:t>
            </w:r>
            <w:r w:rsidRPr="00C6256C">
              <w:rPr>
                <w:rFonts w:ascii="Verdana" w:eastAsia="Times New Roman" w:hAnsi="Verdana" w:cs="Times New Roman"/>
                <w:bCs/>
                <w:i/>
                <w:iCs/>
                <w:color w:val="4A4A4A"/>
                <w:sz w:val="18"/>
                <w:szCs w:val="18"/>
                <w:lang w:val="de-DE" w:eastAsia="hu-HU"/>
              </w:rPr>
              <w:t>Gemeineuropäisches Sachenrecht</w:t>
            </w:r>
            <w:r w:rsidRPr="00C6256C">
              <w:rPr>
                <w:rFonts w:ascii="Verdana" w:eastAsia="Times New Roman" w:hAnsi="Verdana" w:cs="Times New Roman"/>
                <w:bCs/>
                <w:color w:val="4A4A4A"/>
                <w:sz w:val="18"/>
                <w:szCs w:val="18"/>
                <w:lang w:val="de-DE" w:eastAsia="hu-HU"/>
              </w:rPr>
              <w:t>, Bd. I; München 2015</w:t>
            </w:r>
          </w:p>
          <w:p w:rsidR="00C6256C" w:rsidRPr="00C6256C" w:rsidRDefault="00C6256C" w:rsidP="00C6256C">
            <w:pPr>
              <w:spacing w:before="360" w:after="240" w:line="240" w:lineRule="auto"/>
              <w:jc w:val="both"/>
              <w:rPr>
                <w:rFonts w:ascii="Verdana" w:eastAsia="Times New Roman" w:hAnsi="Verdana" w:cs="Times New Roman"/>
                <w:bCs/>
                <w:color w:val="4A4A4A"/>
                <w:sz w:val="18"/>
                <w:szCs w:val="18"/>
                <w:lang w:eastAsia="hu-HU"/>
              </w:rPr>
            </w:pPr>
            <w:r w:rsidRPr="00C6256C">
              <w:rPr>
                <w:rFonts w:ascii="Verdana" w:eastAsia="Times New Roman" w:hAnsi="Verdana" w:cs="Times New Roman"/>
                <w:bCs/>
                <w:color w:val="4A4A4A"/>
                <w:sz w:val="18"/>
                <w:szCs w:val="18"/>
                <w:lang w:val="en-GB" w:eastAsia="hu-HU"/>
              </w:rPr>
              <w:t>With regard to Hungarian property law in English</w:t>
            </w:r>
          </w:p>
          <w:p w:rsidR="00C6256C" w:rsidRPr="00C6256C" w:rsidRDefault="00C6256C" w:rsidP="00C6256C">
            <w:pPr>
              <w:numPr>
                <w:ilvl w:val="0"/>
                <w:numId w:val="3"/>
              </w:numPr>
              <w:spacing w:before="360" w:after="240" w:line="240" w:lineRule="auto"/>
              <w:ind w:left="0"/>
              <w:jc w:val="both"/>
              <w:rPr>
                <w:rFonts w:ascii="Verdana" w:eastAsia="Times New Roman" w:hAnsi="Verdana" w:cs="Times New Roman"/>
                <w:bCs/>
                <w:color w:val="4A4A4A"/>
                <w:sz w:val="18"/>
                <w:szCs w:val="18"/>
                <w:lang w:eastAsia="hu-HU"/>
              </w:rPr>
            </w:pPr>
            <w:proofErr w:type="spellStart"/>
            <w:r w:rsidRPr="00C6256C">
              <w:rPr>
                <w:rFonts w:ascii="Verdana" w:eastAsia="Times New Roman" w:hAnsi="Verdana" w:cs="Times New Roman"/>
                <w:bCs/>
                <w:color w:val="4A4A4A"/>
                <w:sz w:val="18"/>
                <w:szCs w:val="18"/>
                <w:lang w:val="en-GB" w:eastAsia="hu-HU"/>
              </w:rPr>
              <w:t>Harmathy</w:t>
            </w:r>
            <w:proofErr w:type="spellEnd"/>
            <w:r w:rsidRPr="00C6256C">
              <w:rPr>
                <w:rFonts w:ascii="Verdana" w:eastAsia="Times New Roman" w:hAnsi="Verdana" w:cs="Times New Roman"/>
                <w:bCs/>
                <w:color w:val="4A4A4A"/>
                <w:sz w:val="18"/>
                <w:szCs w:val="18"/>
                <w:lang w:val="en-GB" w:eastAsia="hu-HU"/>
              </w:rPr>
              <w:t>, Attila (ed</w:t>
            </w:r>
            <w:r w:rsidRPr="00C6256C">
              <w:rPr>
                <w:rFonts w:ascii="Verdana" w:eastAsia="Times New Roman" w:hAnsi="Verdana" w:cs="Times New Roman"/>
                <w:bCs/>
                <w:smallCaps/>
                <w:color w:val="4A4A4A"/>
                <w:sz w:val="18"/>
                <w:szCs w:val="18"/>
                <w:lang w:val="en-GB" w:eastAsia="hu-HU"/>
              </w:rPr>
              <w:t>.):</w:t>
            </w:r>
            <w:r w:rsidRPr="00C6256C">
              <w:rPr>
                <w:rFonts w:ascii="Verdana" w:eastAsia="Times New Roman" w:hAnsi="Verdana" w:cs="Times New Roman"/>
                <w:bCs/>
                <w:i/>
                <w:iCs/>
                <w:smallCaps/>
                <w:color w:val="4A4A4A"/>
                <w:sz w:val="18"/>
                <w:szCs w:val="18"/>
                <w:lang w:val="en-GB" w:eastAsia="hu-HU"/>
              </w:rPr>
              <w:t> Introduction to Hungarian Law</w:t>
            </w:r>
            <w:r w:rsidRPr="00C6256C">
              <w:rPr>
                <w:rFonts w:ascii="Verdana" w:eastAsia="Times New Roman" w:hAnsi="Verdana" w:cs="Times New Roman"/>
                <w:bCs/>
                <w:i/>
                <w:iCs/>
                <w:color w:val="4A4A4A"/>
                <w:sz w:val="18"/>
                <w:szCs w:val="18"/>
                <w:lang w:val="en-GB" w:eastAsia="hu-HU"/>
              </w:rPr>
              <w:t>, </w:t>
            </w:r>
            <w:r w:rsidRPr="00C6256C">
              <w:rPr>
                <w:rFonts w:ascii="Verdana" w:eastAsia="Times New Roman" w:hAnsi="Verdana" w:cs="Times New Roman"/>
                <w:bCs/>
                <w:color w:val="4A4A4A"/>
                <w:sz w:val="18"/>
                <w:szCs w:val="18"/>
                <w:lang w:val="en-GB" w:eastAsia="hu-HU"/>
              </w:rPr>
              <w:t>The Hague 1998, pp 81-90 and pp 95-134.</w:t>
            </w:r>
          </w:p>
          <w:p w:rsidR="00C6256C" w:rsidRPr="00C6256C" w:rsidRDefault="00C6256C" w:rsidP="00C6256C">
            <w:pPr>
              <w:numPr>
                <w:ilvl w:val="0"/>
                <w:numId w:val="3"/>
              </w:numPr>
              <w:spacing w:before="360" w:after="240" w:line="240" w:lineRule="auto"/>
              <w:ind w:left="0"/>
              <w:jc w:val="both"/>
              <w:rPr>
                <w:rFonts w:ascii="Verdana" w:eastAsia="Times New Roman" w:hAnsi="Verdana" w:cs="Times New Roman"/>
                <w:bCs/>
                <w:color w:val="4A4A4A"/>
                <w:sz w:val="18"/>
                <w:szCs w:val="18"/>
                <w:lang w:eastAsia="hu-HU"/>
              </w:rPr>
            </w:pPr>
            <w:proofErr w:type="spellStart"/>
            <w:r w:rsidRPr="00C6256C">
              <w:rPr>
                <w:rFonts w:ascii="Verdana" w:eastAsia="Times New Roman" w:hAnsi="Verdana" w:cs="Times New Roman"/>
                <w:bCs/>
                <w:color w:val="4A4A4A"/>
                <w:sz w:val="18"/>
                <w:szCs w:val="18"/>
                <w:lang w:val="en-GB" w:eastAsia="hu-HU"/>
              </w:rPr>
              <w:t>Szilágyi</w:t>
            </w:r>
            <w:proofErr w:type="spellEnd"/>
            <w:r w:rsidRPr="00C6256C">
              <w:rPr>
                <w:rFonts w:ascii="Verdana" w:eastAsia="Times New Roman" w:hAnsi="Verdana" w:cs="Times New Roman"/>
                <w:bCs/>
                <w:color w:val="4A4A4A"/>
                <w:sz w:val="18"/>
                <w:szCs w:val="18"/>
                <w:lang w:val="en-GB" w:eastAsia="hu-HU"/>
              </w:rPr>
              <w:t xml:space="preserve">, </w:t>
            </w:r>
            <w:proofErr w:type="spellStart"/>
            <w:r w:rsidRPr="00C6256C">
              <w:rPr>
                <w:rFonts w:ascii="Verdana" w:eastAsia="Times New Roman" w:hAnsi="Verdana" w:cs="Times New Roman"/>
                <w:bCs/>
                <w:color w:val="4A4A4A"/>
                <w:sz w:val="18"/>
                <w:szCs w:val="18"/>
                <w:lang w:val="en-GB" w:eastAsia="hu-HU"/>
              </w:rPr>
              <w:t>Ferenc</w:t>
            </w:r>
            <w:proofErr w:type="spellEnd"/>
            <w:r w:rsidRPr="00C6256C">
              <w:rPr>
                <w:rFonts w:ascii="Verdana" w:eastAsia="Times New Roman" w:hAnsi="Verdana" w:cs="Times New Roman"/>
                <w:bCs/>
                <w:color w:val="4A4A4A"/>
                <w:sz w:val="18"/>
                <w:szCs w:val="18"/>
                <w:lang w:val="en-GB" w:eastAsia="hu-HU"/>
              </w:rPr>
              <w:t>: </w:t>
            </w:r>
            <w:r w:rsidRPr="00C6256C">
              <w:rPr>
                <w:rFonts w:ascii="Verdana" w:eastAsia="Times New Roman" w:hAnsi="Verdana" w:cs="Times New Roman"/>
                <w:bCs/>
                <w:i/>
                <w:iCs/>
                <w:color w:val="4A4A4A"/>
                <w:sz w:val="18"/>
                <w:szCs w:val="18"/>
                <w:lang w:val="en-GB" w:eastAsia="hu-HU"/>
              </w:rPr>
              <w:t>National Report on the Transfer of Movables in Hungary</w:t>
            </w:r>
            <w:r w:rsidRPr="00C6256C">
              <w:rPr>
                <w:rFonts w:ascii="Verdana" w:eastAsia="Times New Roman" w:hAnsi="Verdana" w:cs="Times New Roman"/>
                <w:bCs/>
                <w:color w:val="4A4A4A"/>
                <w:sz w:val="18"/>
                <w:szCs w:val="18"/>
                <w:lang w:val="en-GB" w:eastAsia="hu-HU"/>
              </w:rPr>
              <w:t>, in: Faber, Wolfgang/</w:t>
            </w:r>
            <w:proofErr w:type="spellStart"/>
            <w:r w:rsidRPr="00C6256C">
              <w:rPr>
                <w:rFonts w:ascii="Verdana" w:eastAsia="Times New Roman" w:hAnsi="Verdana" w:cs="Times New Roman"/>
                <w:bCs/>
                <w:color w:val="4A4A4A"/>
                <w:sz w:val="18"/>
                <w:szCs w:val="18"/>
                <w:lang w:val="en-GB" w:eastAsia="hu-HU"/>
              </w:rPr>
              <w:t>Lurger</w:t>
            </w:r>
            <w:proofErr w:type="spellEnd"/>
            <w:r w:rsidRPr="00C6256C">
              <w:rPr>
                <w:rFonts w:ascii="Verdana" w:eastAsia="Times New Roman" w:hAnsi="Verdana" w:cs="Times New Roman"/>
                <w:bCs/>
                <w:color w:val="4A4A4A"/>
                <w:sz w:val="18"/>
                <w:szCs w:val="18"/>
                <w:lang w:val="en-GB" w:eastAsia="hu-HU"/>
              </w:rPr>
              <w:t xml:space="preserve">, </w:t>
            </w:r>
            <w:proofErr w:type="spellStart"/>
            <w:r w:rsidRPr="00C6256C">
              <w:rPr>
                <w:rFonts w:ascii="Verdana" w:eastAsia="Times New Roman" w:hAnsi="Verdana" w:cs="Times New Roman"/>
                <w:bCs/>
                <w:color w:val="4A4A4A"/>
                <w:sz w:val="18"/>
                <w:szCs w:val="18"/>
                <w:lang w:val="en-GB" w:eastAsia="hu-HU"/>
              </w:rPr>
              <w:t>Brigitta</w:t>
            </w:r>
            <w:proofErr w:type="spellEnd"/>
            <w:r w:rsidRPr="00C6256C">
              <w:rPr>
                <w:rFonts w:ascii="Verdana" w:eastAsia="Times New Roman" w:hAnsi="Verdana" w:cs="Times New Roman"/>
                <w:bCs/>
                <w:color w:val="4A4A4A"/>
                <w:sz w:val="18"/>
                <w:szCs w:val="18"/>
                <w:lang w:val="en-GB" w:eastAsia="hu-HU"/>
              </w:rPr>
              <w:t xml:space="preserve"> (eds.): National Reports on the Transfer of Movables in Europe. Volume 3: Germany, Greece, Lithuania, Hungary, Munich 2011, pp 409-701.</w:t>
            </w:r>
            <w:r w:rsidRPr="00C6256C">
              <w:rPr>
                <w:rFonts w:ascii="Verdana" w:eastAsia="Times New Roman" w:hAnsi="Verdana" w:cs="Times New Roman"/>
                <w:bCs/>
                <w:i/>
                <w:iCs/>
                <w:color w:val="4A4A4A"/>
                <w:sz w:val="18"/>
                <w:szCs w:val="18"/>
                <w:lang w:val="en-GB" w:eastAsia="hu-HU"/>
              </w:rPr>
              <w:t> </w:t>
            </w:r>
          </w:p>
          <w:p w:rsidR="00C6256C" w:rsidRPr="00C6256C" w:rsidRDefault="00C6256C" w:rsidP="00C6256C">
            <w:pPr>
              <w:numPr>
                <w:ilvl w:val="0"/>
                <w:numId w:val="3"/>
              </w:numPr>
              <w:spacing w:before="360" w:after="240" w:line="240" w:lineRule="auto"/>
              <w:ind w:left="0"/>
              <w:jc w:val="both"/>
              <w:rPr>
                <w:rFonts w:ascii="Verdana" w:eastAsia="Times New Roman" w:hAnsi="Verdana" w:cs="Times New Roman"/>
                <w:bCs/>
                <w:color w:val="4A4A4A"/>
                <w:sz w:val="18"/>
                <w:szCs w:val="18"/>
                <w:lang w:eastAsia="hu-HU"/>
              </w:rPr>
            </w:pPr>
            <w:proofErr w:type="spellStart"/>
            <w:r w:rsidRPr="00C6256C">
              <w:rPr>
                <w:rFonts w:ascii="Verdana" w:eastAsia="Times New Roman" w:hAnsi="Verdana" w:cs="Times New Roman"/>
                <w:bCs/>
                <w:color w:val="4A4A4A"/>
                <w:sz w:val="18"/>
                <w:szCs w:val="18"/>
                <w:lang w:val="en-GB" w:eastAsia="hu-HU"/>
              </w:rPr>
              <w:t>Szilágyi</w:t>
            </w:r>
            <w:proofErr w:type="spellEnd"/>
            <w:r w:rsidRPr="00C6256C">
              <w:rPr>
                <w:rFonts w:ascii="Verdana" w:eastAsia="Times New Roman" w:hAnsi="Verdana" w:cs="Times New Roman"/>
                <w:bCs/>
                <w:color w:val="4A4A4A"/>
                <w:sz w:val="18"/>
                <w:szCs w:val="18"/>
                <w:lang w:val="en-GB" w:eastAsia="hu-HU"/>
              </w:rPr>
              <w:t xml:space="preserve">, </w:t>
            </w:r>
            <w:proofErr w:type="spellStart"/>
            <w:r w:rsidRPr="00C6256C">
              <w:rPr>
                <w:rFonts w:ascii="Verdana" w:eastAsia="Times New Roman" w:hAnsi="Verdana" w:cs="Times New Roman"/>
                <w:bCs/>
                <w:color w:val="4A4A4A"/>
                <w:sz w:val="18"/>
                <w:szCs w:val="18"/>
                <w:lang w:val="en-GB" w:eastAsia="hu-HU"/>
              </w:rPr>
              <w:t>Ferenc</w:t>
            </w:r>
            <w:proofErr w:type="spellEnd"/>
            <w:r w:rsidRPr="00C6256C">
              <w:rPr>
                <w:rFonts w:ascii="Verdana" w:eastAsia="Times New Roman" w:hAnsi="Verdana" w:cs="Times New Roman"/>
                <w:bCs/>
                <w:color w:val="4A4A4A"/>
                <w:sz w:val="18"/>
                <w:szCs w:val="18"/>
                <w:lang w:val="en-GB" w:eastAsia="hu-HU"/>
              </w:rPr>
              <w:t>: </w:t>
            </w:r>
            <w:r w:rsidRPr="00C6256C">
              <w:rPr>
                <w:rFonts w:ascii="Verdana" w:eastAsia="Times New Roman" w:hAnsi="Verdana" w:cs="Times New Roman"/>
                <w:bCs/>
                <w:i/>
                <w:iCs/>
                <w:color w:val="4A4A4A"/>
                <w:sz w:val="18"/>
                <w:szCs w:val="18"/>
                <w:lang w:val="en-GB" w:eastAsia="hu-HU"/>
              </w:rPr>
              <w:t>Wind Power under Hungarian Private Law</w:t>
            </w:r>
            <w:r w:rsidRPr="00C6256C">
              <w:rPr>
                <w:rFonts w:ascii="Verdana" w:eastAsia="Times New Roman" w:hAnsi="Verdana" w:cs="Times New Roman"/>
                <w:bCs/>
                <w:color w:val="4A4A4A"/>
                <w:sz w:val="18"/>
                <w:szCs w:val="18"/>
                <w:lang w:val="en-GB" w:eastAsia="hu-HU"/>
              </w:rPr>
              <w:t>, in European Review of Private Law, 2013/1,</w:t>
            </w:r>
            <w:r w:rsidRPr="00C6256C">
              <w:rPr>
                <w:rFonts w:ascii="Verdana" w:eastAsia="Times New Roman" w:hAnsi="Verdana" w:cs="Times New Roman"/>
                <w:bCs/>
                <w:smallCaps/>
                <w:color w:val="4A4A4A"/>
                <w:sz w:val="18"/>
                <w:szCs w:val="18"/>
                <w:lang w:val="en-GB" w:eastAsia="hu-HU"/>
              </w:rPr>
              <w:t> </w:t>
            </w:r>
            <w:r w:rsidRPr="00C6256C">
              <w:rPr>
                <w:rFonts w:ascii="Verdana" w:eastAsia="Times New Roman" w:hAnsi="Verdana" w:cs="Times New Roman"/>
                <w:bCs/>
                <w:color w:val="4A4A4A"/>
                <w:sz w:val="18"/>
                <w:szCs w:val="18"/>
                <w:lang w:val="en-GB" w:eastAsia="hu-HU"/>
              </w:rPr>
              <w:t>pp</w:t>
            </w:r>
            <w:r w:rsidRPr="00C6256C">
              <w:rPr>
                <w:rFonts w:ascii="Verdana" w:eastAsia="Times New Roman" w:hAnsi="Verdana" w:cs="Times New Roman"/>
                <w:bCs/>
                <w:smallCaps/>
                <w:color w:val="4A4A4A"/>
                <w:sz w:val="18"/>
                <w:szCs w:val="18"/>
                <w:lang w:val="en-GB" w:eastAsia="hu-HU"/>
              </w:rPr>
              <w:t> 371-386.</w:t>
            </w:r>
            <w:r w:rsidRPr="00C6256C">
              <w:rPr>
                <w:rFonts w:ascii="Verdana" w:eastAsia="Times New Roman" w:hAnsi="Verdana" w:cs="Times New Roman"/>
                <w:bCs/>
                <w:i/>
                <w:iCs/>
                <w:color w:val="4A4A4A"/>
                <w:sz w:val="18"/>
                <w:szCs w:val="18"/>
                <w:lang w:val="en-GB" w:eastAsia="hu-HU"/>
              </w:rPr>
              <w:t> </w:t>
            </w:r>
          </w:p>
          <w:p w:rsidR="00C6256C" w:rsidRPr="00C6256C" w:rsidRDefault="00C6256C" w:rsidP="00C6256C">
            <w:pPr>
              <w:spacing w:before="360" w:after="240" w:line="240" w:lineRule="auto"/>
              <w:jc w:val="both"/>
              <w:rPr>
                <w:rFonts w:ascii="Verdana" w:eastAsia="Times New Roman" w:hAnsi="Verdana" w:cs="Times New Roman"/>
                <w:b/>
                <w:bCs/>
                <w:color w:val="4A4A4A"/>
                <w:sz w:val="17"/>
                <w:szCs w:val="17"/>
                <w:lang w:eastAsia="hu-HU"/>
              </w:rPr>
            </w:pPr>
            <w:r w:rsidRPr="00C6256C">
              <w:rPr>
                <w:rFonts w:ascii="Verdana" w:eastAsia="Times New Roman" w:hAnsi="Verdana" w:cs="Times New Roman"/>
                <w:b/>
                <w:bCs/>
                <w:i/>
                <w:iCs/>
                <w:color w:val="4A4A4A"/>
                <w:lang w:val="en-GB" w:eastAsia="hu-HU"/>
              </w:rPr>
              <w:t> </w:t>
            </w:r>
          </w:p>
        </w:tc>
      </w:tr>
    </w:tbl>
    <w:p w:rsidR="00C6256C" w:rsidRPr="00C6256C" w:rsidRDefault="00C6256C" w:rsidP="00C6256C">
      <w:pPr>
        <w:spacing w:after="0" w:line="240" w:lineRule="auto"/>
        <w:rPr>
          <w:rFonts w:ascii="Verdana" w:eastAsia="Times New Roman" w:hAnsi="Verdana" w:cs="Times New Roman"/>
          <w:vanish/>
          <w:color w:val="222222"/>
          <w:sz w:val="18"/>
          <w:szCs w:val="18"/>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6256C" w:rsidRPr="00C6256C" w:rsidTr="00C6256C">
        <w:tc>
          <w:tcPr>
            <w:tcW w:w="0" w:type="auto"/>
            <w:vAlign w:val="center"/>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
        </w:tc>
      </w:tr>
    </w:tbl>
    <w:p w:rsidR="00C6256C" w:rsidRPr="00C6256C" w:rsidRDefault="00C6256C" w:rsidP="00C6256C">
      <w:pPr>
        <w:spacing w:after="0" w:line="240" w:lineRule="auto"/>
        <w:rPr>
          <w:rFonts w:ascii="Verdana" w:eastAsia="Times New Roman" w:hAnsi="Verdana" w:cs="Times New Roman"/>
          <w:vanish/>
          <w:color w:val="222222"/>
          <w:sz w:val="18"/>
          <w:szCs w:val="18"/>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6256C" w:rsidRPr="00C6256C" w:rsidTr="00C6256C">
        <w:tc>
          <w:tcPr>
            <w:tcW w:w="0" w:type="auto"/>
            <w:vAlign w:val="center"/>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
        </w:tc>
      </w:tr>
    </w:tbl>
    <w:p w:rsidR="00C6256C" w:rsidRPr="00C6256C" w:rsidRDefault="00C6256C" w:rsidP="00C6256C">
      <w:pPr>
        <w:spacing w:after="0" w:line="240" w:lineRule="auto"/>
        <w:rPr>
          <w:rFonts w:ascii="Verdana" w:eastAsia="Times New Roman" w:hAnsi="Verdana" w:cs="Times New Roman"/>
          <w:vanish/>
          <w:color w:val="222222"/>
          <w:sz w:val="18"/>
          <w:szCs w:val="18"/>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6256C" w:rsidRPr="00C6256C" w:rsidTr="00C6256C">
        <w:tc>
          <w:tcPr>
            <w:tcW w:w="0" w:type="auto"/>
            <w:vAlign w:val="center"/>
            <w:hideMark/>
          </w:tcPr>
          <w:p w:rsidR="00C6256C" w:rsidRPr="00C6256C" w:rsidRDefault="00C6256C" w:rsidP="00C6256C">
            <w:pPr>
              <w:spacing w:after="0" w:line="240" w:lineRule="auto"/>
              <w:rPr>
                <w:rFonts w:ascii="Verdana" w:eastAsia="Times New Roman" w:hAnsi="Verdana" w:cs="Times New Roman"/>
                <w:color w:val="222222"/>
                <w:sz w:val="18"/>
                <w:szCs w:val="18"/>
                <w:lang w:eastAsia="hu-HU"/>
              </w:rPr>
            </w:pPr>
          </w:p>
        </w:tc>
      </w:tr>
    </w:tbl>
    <w:p w:rsidR="00C6256C" w:rsidRDefault="00C6256C"/>
    <w:sectPr w:rsidR="00C6256C" w:rsidSect="00C62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1AB"/>
    <w:multiLevelType w:val="multilevel"/>
    <w:tmpl w:val="C9F0B1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ED768D"/>
    <w:multiLevelType w:val="multilevel"/>
    <w:tmpl w:val="B054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6973ED"/>
    <w:multiLevelType w:val="multilevel"/>
    <w:tmpl w:val="51A81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6C"/>
    <w:rsid w:val="008F5176"/>
    <w:rsid w:val="009453B6"/>
    <w:rsid w:val="00C625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0192"/>
  <w15:chartTrackingRefBased/>
  <w15:docId w15:val="{35BF2D5D-7738-45DB-9596-5222F900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C6256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6256C"/>
    <w:rPr>
      <w:rFonts w:ascii="Times New Roman" w:eastAsia="Times New Roman" w:hAnsi="Times New Roman" w:cs="Times New Roman"/>
      <w:b/>
      <w:bCs/>
      <w:sz w:val="36"/>
      <w:szCs w:val="36"/>
      <w:lang w:eastAsia="hu-HU"/>
    </w:rPr>
  </w:style>
  <w:style w:type="character" w:customStyle="1" w:styleId="titleleft">
    <w:name w:val="titleleft"/>
    <w:basedOn w:val="Bekezdsalapbettpusa"/>
    <w:rsid w:val="00C6256C"/>
  </w:style>
  <w:style w:type="character" w:customStyle="1" w:styleId="tablerowname">
    <w:name w:val="tablerowname"/>
    <w:basedOn w:val="Bekezdsalapbettpusa"/>
    <w:rsid w:val="00C6256C"/>
  </w:style>
  <w:style w:type="character" w:customStyle="1" w:styleId="tablerowdata">
    <w:name w:val="tablerowdata"/>
    <w:basedOn w:val="Bekezdsalapbettpusa"/>
    <w:rsid w:val="00C6256C"/>
  </w:style>
  <w:style w:type="character" w:styleId="Hiperhivatkozs">
    <w:name w:val="Hyperlink"/>
    <w:basedOn w:val="Bekezdsalapbettpusa"/>
    <w:uiPriority w:val="99"/>
    <w:semiHidden/>
    <w:unhideWhenUsed/>
    <w:rsid w:val="00C6256C"/>
    <w:rPr>
      <w:color w:val="0000FF"/>
      <w:u w:val="single"/>
    </w:rPr>
  </w:style>
  <w:style w:type="paragraph" w:styleId="Listaszerbekezds">
    <w:name w:val="List Paragraph"/>
    <w:basedOn w:val="Norml"/>
    <w:uiPriority w:val="34"/>
    <w:qFormat/>
    <w:rsid w:val="00C6256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9731">
      <w:bodyDiv w:val="1"/>
      <w:marLeft w:val="0"/>
      <w:marRight w:val="0"/>
      <w:marTop w:val="0"/>
      <w:marBottom w:val="0"/>
      <w:divBdr>
        <w:top w:val="none" w:sz="0" w:space="0" w:color="auto"/>
        <w:left w:val="none" w:sz="0" w:space="0" w:color="auto"/>
        <w:bottom w:val="none" w:sz="0" w:space="0" w:color="auto"/>
        <w:right w:val="none" w:sz="0" w:space="0" w:color="auto"/>
      </w:divBdr>
    </w:div>
    <w:div w:id="760492970">
      <w:bodyDiv w:val="1"/>
      <w:marLeft w:val="0"/>
      <w:marRight w:val="0"/>
      <w:marTop w:val="0"/>
      <w:marBottom w:val="0"/>
      <w:divBdr>
        <w:top w:val="none" w:sz="0" w:space="0" w:color="auto"/>
        <w:left w:val="none" w:sz="0" w:space="0" w:color="auto"/>
        <w:bottom w:val="none" w:sz="0" w:space="0" w:color="auto"/>
        <w:right w:val="none" w:sz="0" w:space="0" w:color="auto"/>
      </w:divBdr>
      <w:divsChild>
        <w:div w:id="1125805071">
          <w:marLeft w:val="0"/>
          <w:marRight w:val="0"/>
          <w:marTop w:val="0"/>
          <w:marBottom w:val="0"/>
          <w:divBdr>
            <w:top w:val="none" w:sz="0" w:space="0" w:color="auto"/>
            <w:left w:val="none" w:sz="0" w:space="0" w:color="auto"/>
            <w:bottom w:val="none" w:sz="0" w:space="0" w:color="auto"/>
            <w:right w:val="none" w:sz="0" w:space="0" w:color="auto"/>
          </w:divBdr>
          <w:divsChild>
            <w:div w:id="640430285">
              <w:marLeft w:val="0"/>
              <w:marRight w:val="0"/>
              <w:marTop w:val="0"/>
              <w:marBottom w:val="0"/>
              <w:divBdr>
                <w:top w:val="none" w:sz="0" w:space="0" w:color="auto"/>
                <w:left w:val="none" w:sz="0" w:space="0" w:color="auto"/>
                <w:bottom w:val="none" w:sz="0" w:space="0" w:color="auto"/>
                <w:right w:val="none" w:sz="0" w:space="0" w:color="auto"/>
              </w:divBdr>
              <w:divsChild>
                <w:div w:id="1498499188">
                  <w:marLeft w:val="0"/>
                  <w:marRight w:val="0"/>
                  <w:marTop w:val="0"/>
                  <w:marBottom w:val="0"/>
                  <w:divBdr>
                    <w:top w:val="none" w:sz="0" w:space="0" w:color="auto"/>
                    <w:left w:val="none" w:sz="0" w:space="0" w:color="auto"/>
                    <w:bottom w:val="none" w:sz="0" w:space="0" w:color="auto"/>
                    <w:right w:val="none" w:sz="0" w:space="0" w:color="auto"/>
                  </w:divBdr>
                  <w:divsChild>
                    <w:div w:id="1925340562">
                      <w:marLeft w:val="0"/>
                      <w:marRight w:val="0"/>
                      <w:marTop w:val="0"/>
                      <w:marBottom w:val="0"/>
                      <w:divBdr>
                        <w:top w:val="none" w:sz="0" w:space="0" w:color="auto"/>
                        <w:left w:val="none" w:sz="0" w:space="0" w:color="auto"/>
                        <w:bottom w:val="none" w:sz="0" w:space="0" w:color="auto"/>
                        <w:right w:val="none" w:sz="0" w:space="0" w:color="auto"/>
                      </w:divBdr>
                      <w:divsChild>
                        <w:div w:id="1334068635">
                          <w:marLeft w:val="0"/>
                          <w:marRight w:val="0"/>
                          <w:marTop w:val="0"/>
                          <w:marBottom w:val="0"/>
                          <w:divBdr>
                            <w:top w:val="none" w:sz="0" w:space="0" w:color="auto"/>
                            <w:left w:val="none" w:sz="0" w:space="0" w:color="auto"/>
                            <w:bottom w:val="none" w:sz="0" w:space="0" w:color="auto"/>
                            <w:right w:val="none" w:sz="0" w:space="0" w:color="auto"/>
                          </w:divBdr>
                          <w:divsChild>
                            <w:div w:id="1692760862">
                              <w:marLeft w:val="0"/>
                              <w:marRight w:val="0"/>
                              <w:marTop w:val="0"/>
                              <w:marBottom w:val="0"/>
                              <w:divBdr>
                                <w:top w:val="none" w:sz="0" w:space="0" w:color="auto"/>
                                <w:left w:val="none" w:sz="0" w:space="0" w:color="auto"/>
                                <w:bottom w:val="none" w:sz="0" w:space="0" w:color="auto"/>
                                <w:right w:val="none" w:sz="0" w:space="0" w:color="auto"/>
                              </w:divBdr>
                              <w:divsChild>
                                <w:div w:id="1142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765042">
      <w:bodyDiv w:val="1"/>
      <w:marLeft w:val="0"/>
      <w:marRight w:val="0"/>
      <w:marTop w:val="0"/>
      <w:marBottom w:val="0"/>
      <w:divBdr>
        <w:top w:val="none" w:sz="0" w:space="0" w:color="auto"/>
        <w:left w:val="none" w:sz="0" w:space="0" w:color="auto"/>
        <w:bottom w:val="none" w:sz="0" w:space="0" w:color="auto"/>
        <w:right w:val="none" w:sz="0" w:space="0" w:color="auto"/>
      </w:divBdr>
    </w:div>
    <w:div w:id="15928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ebooks.eu/propertylaw" TargetMode="External"/><Relationship Id="rId5" Type="http://schemas.openxmlformats.org/officeDocument/2006/relationships/hyperlink" Target="javascript:__doPostBack('upFunction$h_addsubjects$upModal$upmodal_subjectdata$ctl02$Subject_data_for_schedule$upParent$tab$ctl01$upSubjectData$dtbBaseData2$ctl15','')"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4216</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 Éva</dc:creator>
  <cp:keywords/>
  <dc:description/>
  <cp:lastModifiedBy>Pollák Zsuzsanna Éva</cp:lastModifiedBy>
  <cp:revision>1</cp:revision>
  <dcterms:created xsi:type="dcterms:W3CDTF">2022-01-11T20:13:00Z</dcterms:created>
  <dcterms:modified xsi:type="dcterms:W3CDTF">2022-01-11T20:16:00Z</dcterms:modified>
</cp:coreProperties>
</file>