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086" w:rsidRPr="00952BFD" w:rsidRDefault="00D124B6" w:rsidP="00952BFD">
      <w:pPr>
        <w:jc w:val="center"/>
        <w:rPr>
          <w:b/>
          <w:lang w:val="en-GB"/>
        </w:rPr>
      </w:pPr>
      <w:r>
        <w:rPr>
          <w:b/>
          <w:lang w:val="en-GB"/>
        </w:rPr>
        <w:t xml:space="preserve">JOEU489XA0 - </w:t>
      </w:r>
      <w:r w:rsidR="00F51C14">
        <w:rPr>
          <w:b/>
          <w:lang w:val="en-GB"/>
        </w:rPr>
        <w:t xml:space="preserve">Trademarks and Designs </w:t>
      </w:r>
      <w:r w:rsidR="006D2086" w:rsidRPr="00952BFD">
        <w:rPr>
          <w:b/>
          <w:lang w:val="en-GB"/>
        </w:rPr>
        <w:t>in the European Union</w:t>
      </w:r>
      <w:r>
        <w:rPr>
          <w:b/>
          <w:lang w:val="en-GB"/>
        </w:rPr>
        <w:t xml:space="preserve"> – ECTS 6</w:t>
      </w:r>
      <w:bookmarkStart w:id="0" w:name="_GoBack"/>
      <w:bookmarkEnd w:id="0"/>
    </w:p>
    <w:p w:rsidR="00952BFD" w:rsidRPr="00952BFD" w:rsidRDefault="00952BFD" w:rsidP="00952BFD">
      <w:pPr>
        <w:jc w:val="center"/>
        <w:rPr>
          <w:lang w:val="en-GB"/>
        </w:rPr>
      </w:pPr>
      <w:r w:rsidRPr="00952BFD">
        <w:rPr>
          <w:lang w:val="en-GB"/>
        </w:rPr>
        <w:t>Áron Márk LÁSZLÓ</w:t>
      </w:r>
    </w:p>
    <w:p w:rsidR="00206DCB" w:rsidRPr="00206DCB" w:rsidRDefault="00206DCB" w:rsidP="00952BFD">
      <w:pPr>
        <w:rPr>
          <w:lang w:val="en-GB"/>
        </w:rPr>
      </w:pPr>
      <w:r w:rsidRPr="00206DCB">
        <w:rPr>
          <w:lang w:val="en-GB"/>
        </w:rPr>
        <w:t xml:space="preserve">The seminar </w:t>
      </w:r>
      <w:r w:rsidR="00F51C14">
        <w:rPr>
          <w:lang w:val="en-GB"/>
        </w:rPr>
        <w:t xml:space="preserve">introduces </w:t>
      </w:r>
      <w:r w:rsidRPr="00206DCB">
        <w:rPr>
          <w:lang w:val="en-GB"/>
        </w:rPr>
        <w:t xml:space="preserve">students to the </w:t>
      </w:r>
      <w:r w:rsidR="00E71235">
        <w:rPr>
          <w:lang w:val="en-GB"/>
        </w:rPr>
        <w:t xml:space="preserve">rules </w:t>
      </w:r>
      <w:r w:rsidRPr="00206DCB">
        <w:rPr>
          <w:lang w:val="en-GB"/>
        </w:rPr>
        <w:t>of trademarks</w:t>
      </w:r>
      <w:r w:rsidR="00F51C14">
        <w:rPr>
          <w:lang w:val="en-GB"/>
        </w:rPr>
        <w:t xml:space="preserve"> and </w:t>
      </w:r>
      <w:r w:rsidR="008A1578" w:rsidRPr="00206DCB">
        <w:rPr>
          <w:lang w:val="en-GB"/>
        </w:rPr>
        <w:t xml:space="preserve">designs </w:t>
      </w:r>
      <w:r w:rsidR="00F51C14">
        <w:rPr>
          <w:lang w:val="en-GB"/>
        </w:rPr>
        <w:t xml:space="preserve">in the EU </w:t>
      </w:r>
      <w:r w:rsidRPr="00206DCB">
        <w:rPr>
          <w:lang w:val="en-GB"/>
        </w:rPr>
        <w:t xml:space="preserve">in an interactive way through practical examples and the respective </w:t>
      </w:r>
      <w:r w:rsidR="00F51C14">
        <w:rPr>
          <w:lang w:val="en-GB"/>
        </w:rPr>
        <w:t xml:space="preserve">case law </w:t>
      </w:r>
      <w:r w:rsidR="004907BD">
        <w:rPr>
          <w:lang w:val="en-GB"/>
        </w:rPr>
        <w:t>of the CJEU</w:t>
      </w:r>
      <w:r w:rsidRPr="00206DCB">
        <w:rPr>
          <w:lang w:val="en-GB"/>
        </w:rPr>
        <w:t xml:space="preserve">. </w:t>
      </w:r>
    </w:p>
    <w:p w:rsidR="00952BFD" w:rsidRPr="00952BFD" w:rsidRDefault="00952BFD" w:rsidP="00952BFD">
      <w:pPr>
        <w:rPr>
          <w:b/>
          <w:u w:val="single"/>
          <w:lang w:val="en-GB"/>
        </w:rPr>
      </w:pPr>
      <w:r w:rsidRPr="00952BFD">
        <w:rPr>
          <w:b/>
          <w:u w:val="single"/>
          <w:lang w:val="en-GB"/>
        </w:rPr>
        <w:t>General introduction</w:t>
      </w:r>
    </w:p>
    <w:p w:rsidR="00952BFD" w:rsidRPr="00952BFD" w:rsidRDefault="00952BFD" w:rsidP="00952BFD">
      <w:pPr>
        <w:numPr>
          <w:ilvl w:val="0"/>
          <w:numId w:val="1"/>
        </w:numPr>
        <w:rPr>
          <w:lang w:val="en-GB"/>
        </w:rPr>
      </w:pPr>
      <w:r w:rsidRPr="00952BFD">
        <w:rPr>
          <w:lang w:val="en-GB"/>
        </w:rPr>
        <w:t>Trade</w:t>
      </w:r>
      <w:r w:rsidR="004907BD">
        <w:rPr>
          <w:lang w:val="en-GB"/>
        </w:rPr>
        <w:t>m</w:t>
      </w:r>
      <w:r w:rsidRPr="00952BFD">
        <w:rPr>
          <w:lang w:val="en-GB"/>
        </w:rPr>
        <w:t>arks</w:t>
      </w:r>
      <w:r w:rsidR="00F51C14">
        <w:rPr>
          <w:lang w:val="en-GB"/>
        </w:rPr>
        <w:t xml:space="preserve"> and </w:t>
      </w:r>
      <w:r w:rsidRPr="00952BFD">
        <w:rPr>
          <w:lang w:val="en-GB"/>
        </w:rPr>
        <w:t xml:space="preserve">designs </w:t>
      </w:r>
      <w:r w:rsidR="00D712A0">
        <w:rPr>
          <w:lang w:val="en-GB"/>
        </w:rPr>
        <w:t>in the EU</w:t>
      </w:r>
    </w:p>
    <w:p w:rsidR="00952BFD" w:rsidRPr="00952BFD" w:rsidRDefault="008A1578" w:rsidP="00952BFD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>National, i</w:t>
      </w:r>
      <w:r w:rsidR="00952BFD" w:rsidRPr="00952BFD">
        <w:rPr>
          <w:lang w:val="en-GB"/>
        </w:rPr>
        <w:t xml:space="preserve">nternational and </w:t>
      </w:r>
      <w:r w:rsidR="00F51C14">
        <w:rPr>
          <w:lang w:val="en-GB"/>
        </w:rPr>
        <w:t xml:space="preserve">EU intellectual property law </w:t>
      </w:r>
      <w:r w:rsidR="00952BFD" w:rsidRPr="00952BFD">
        <w:rPr>
          <w:lang w:val="en-GB"/>
        </w:rPr>
        <w:t>systems</w:t>
      </w:r>
    </w:p>
    <w:p w:rsidR="00F51C14" w:rsidRPr="00F51C14" w:rsidRDefault="00F51C14" w:rsidP="00F51C14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>EU</w:t>
      </w:r>
      <w:r w:rsidR="00035C31">
        <w:rPr>
          <w:lang w:val="en-GB"/>
        </w:rPr>
        <w:t xml:space="preserve"> law</w:t>
      </w:r>
      <w:r>
        <w:rPr>
          <w:lang w:val="en-GB"/>
        </w:rPr>
        <w:t xml:space="preserve"> (</w:t>
      </w:r>
      <w:r w:rsidR="00035C31" w:rsidRPr="00952BFD">
        <w:rPr>
          <w:lang w:val="en-GB"/>
        </w:rPr>
        <w:t xml:space="preserve">regulations </w:t>
      </w:r>
      <w:r w:rsidR="00035C31">
        <w:rPr>
          <w:lang w:val="en-GB"/>
        </w:rPr>
        <w:t xml:space="preserve">and </w:t>
      </w:r>
      <w:r w:rsidR="004907BD">
        <w:rPr>
          <w:lang w:val="en-GB"/>
        </w:rPr>
        <w:t>directives</w:t>
      </w:r>
      <w:r>
        <w:rPr>
          <w:lang w:val="en-GB"/>
        </w:rPr>
        <w:t>)</w:t>
      </w:r>
      <w:r w:rsidR="004907BD">
        <w:rPr>
          <w:lang w:val="en-GB"/>
        </w:rPr>
        <w:t xml:space="preserve">, case law of the CJEU, </w:t>
      </w:r>
      <w:r w:rsidR="004907BD" w:rsidRPr="00952BFD">
        <w:rPr>
          <w:lang w:val="en-GB"/>
        </w:rPr>
        <w:t>national laws</w:t>
      </w:r>
    </w:p>
    <w:p w:rsidR="00952BFD" w:rsidRPr="00952BFD" w:rsidRDefault="00952BFD" w:rsidP="00952BFD">
      <w:pPr>
        <w:rPr>
          <w:b/>
          <w:u w:val="single"/>
          <w:lang w:val="en-GB"/>
        </w:rPr>
      </w:pPr>
      <w:r w:rsidRPr="00952BFD">
        <w:rPr>
          <w:b/>
          <w:u w:val="single"/>
          <w:lang w:val="en-GB"/>
        </w:rPr>
        <w:t>Trade Marks</w:t>
      </w:r>
    </w:p>
    <w:p w:rsidR="00952BFD" w:rsidRPr="00952BFD" w:rsidRDefault="00952BFD" w:rsidP="00952BFD">
      <w:pPr>
        <w:numPr>
          <w:ilvl w:val="0"/>
          <w:numId w:val="1"/>
        </w:numPr>
        <w:rPr>
          <w:lang w:val="en-GB"/>
        </w:rPr>
      </w:pPr>
      <w:proofErr w:type="spellStart"/>
      <w:r w:rsidRPr="00952BFD">
        <w:rPr>
          <w:lang w:val="en-GB"/>
        </w:rPr>
        <w:t>Registrability</w:t>
      </w:r>
      <w:proofErr w:type="spellEnd"/>
      <w:r w:rsidRPr="00952BFD">
        <w:rPr>
          <w:lang w:val="en-GB"/>
        </w:rPr>
        <w:t>: absolute and relative grounds for refusal</w:t>
      </w:r>
    </w:p>
    <w:p w:rsidR="00952BFD" w:rsidRPr="00952BFD" w:rsidRDefault="004907BD" w:rsidP="00952BFD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>Distinctive capacity (Maglite, Henkel cases)</w:t>
      </w:r>
      <w:r w:rsidR="00952BFD" w:rsidRPr="00952BFD">
        <w:rPr>
          <w:lang w:val="en-GB"/>
        </w:rPr>
        <w:t xml:space="preserve"> </w:t>
      </w:r>
    </w:p>
    <w:p w:rsidR="00952BFD" w:rsidRPr="00952BFD" w:rsidRDefault="00952BFD" w:rsidP="00952BFD">
      <w:pPr>
        <w:numPr>
          <w:ilvl w:val="0"/>
          <w:numId w:val="1"/>
        </w:numPr>
        <w:rPr>
          <w:lang w:val="en-GB"/>
        </w:rPr>
      </w:pPr>
      <w:r w:rsidRPr="00952BFD">
        <w:rPr>
          <w:lang w:val="en-GB"/>
        </w:rPr>
        <w:t>Graphical representation: non-traditional trademarks: sound, olfactory, position marks, etc.</w:t>
      </w:r>
    </w:p>
    <w:p w:rsidR="00952BFD" w:rsidRDefault="00952BFD" w:rsidP="00952BFD">
      <w:pPr>
        <w:numPr>
          <w:ilvl w:val="0"/>
          <w:numId w:val="1"/>
        </w:numPr>
        <w:rPr>
          <w:lang w:val="en-GB"/>
        </w:rPr>
      </w:pPr>
      <w:r w:rsidRPr="00952BFD">
        <w:rPr>
          <w:lang w:val="en-GB"/>
        </w:rPr>
        <w:t>Descrip</w:t>
      </w:r>
      <w:r w:rsidR="00035C31">
        <w:rPr>
          <w:lang w:val="en-GB"/>
        </w:rPr>
        <w:t>tiveness</w:t>
      </w:r>
      <w:r w:rsidR="004907BD">
        <w:rPr>
          <w:lang w:val="en-GB"/>
        </w:rPr>
        <w:t xml:space="preserve"> (</w:t>
      </w:r>
      <w:proofErr w:type="spellStart"/>
      <w:r w:rsidR="00035C31">
        <w:rPr>
          <w:lang w:val="en-GB"/>
        </w:rPr>
        <w:t>Postkantoor</w:t>
      </w:r>
      <w:proofErr w:type="spellEnd"/>
      <w:r w:rsidR="00035C31">
        <w:rPr>
          <w:lang w:val="en-GB"/>
        </w:rPr>
        <w:t xml:space="preserve">, </w:t>
      </w:r>
      <w:proofErr w:type="spellStart"/>
      <w:r w:rsidR="00035C31">
        <w:rPr>
          <w:lang w:val="en-GB"/>
        </w:rPr>
        <w:t>Biomild</w:t>
      </w:r>
      <w:proofErr w:type="spellEnd"/>
      <w:r w:rsidR="00035C31">
        <w:rPr>
          <w:lang w:val="en-GB"/>
        </w:rPr>
        <w:t xml:space="preserve"> </w:t>
      </w:r>
      <w:r>
        <w:rPr>
          <w:lang w:val="en-GB"/>
        </w:rPr>
        <w:t>cases</w:t>
      </w:r>
      <w:r w:rsidR="004907BD">
        <w:rPr>
          <w:lang w:val="en-GB"/>
        </w:rPr>
        <w:t>)</w:t>
      </w:r>
    </w:p>
    <w:p w:rsidR="00F51C14" w:rsidRPr="00952BFD" w:rsidRDefault="00F51C14" w:rsidP="00952BFD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>Immoral signs (Soviet coat of arms case)</w:t>
      </w:r>
    </w:p>
    <w:p w:rsidR="00952BFD" w:rsidRPr="00952BFD" w:rsidRDefault="00952BFD" w:rsidP="00952BFD">
      <w:pPr>
        <w:numPr>
          <w:ilvl w:val="0"/>
          <w:numId w:val="1"/>
        </w:numPr>
        <w:rPr>
          <w:lang w:val="en-GB"/>
        </w:rPr>
      </w:pPr>
      <w:r w:rsidRPr="00952BFD">
        <w:rPr>
          <w:lang w:val="en-GB"/>
        </w:rPr>
        <w:t>Likelihood of confusion: visual, aural and conceptual similarity, similarity of goods</w:t>
      </w:r>
    </w:p>
    <w:p w:rsidR="00952BFD" w:rsidRPr="00952BFD" w:rsidRDefault="00952BFD" w:rsidP="00952BFD">
      <w:pPr>
        <w:numPr>
          <w:ilvl w:val="0"/>
          <w:numId w:val="1"/>
        </w:numPr>
        <w:rPr>
          <w:lang w:val="en-GB"/>
        </w:rPr>
      </w:pPr>
      <w:r w:rsidRPr="00952BFD">
        <w:rPr>
          <w:lang w:val="en-GB"/>
        </w:rPr>
        <w:t>Marks with a reputation in the EU</w:t>
      </w:r>
      <w:r w:rsidR="004907BD">
        <w:rPr>
          <w:lang w:val="en-GB"/>
        </w:rPr>
        <w:t xml:space="preserve"> (Pago case</w:t>
      </w:r>
      <w:r w:rsidR="00D712A0">
        <w:rPr>
          <w:lang w:val="en-GB"/>
        </w:rPr>
        <w:t xml:space="preserve">, </w:t>
      </w:r>
      <w:r w:rsidR="00F51C14">
        <w:rPr>
          <w:lang w:val="en-GB"/>
        </w:rPr>
        <w:t xml:space="preserve">Impulse case, </w:t>
      </w:r>
      <w:r w:rsidR="00D712A0">
        <w:rPr>
          <w:lang w:val="en-GB"/>
        </w:rPr>
        <w:t>reputation limited in space</w:t>
      </w:r>
      <w:r w:rsidR="004907BD">
        <w:rPr>
          <w:lang w:val="en-GB"/>
        </w:rPr>
        <w:t>)</w:t>
      </w:r>
    </w:p>
    <w:p w:rsidR="00952BFD" w:rsidRPr="00952BFD" w:rsidRDefault="00952BFD" w:rsidP="00952BFD">
      <w:pPr>
        <w:numPr>
          <w:ilvl w:val="0"/>
          <w:numId w:val="1"/>
        </w:numPr>
        <w:rPr>
          <w:lang w:val="en-GB"/>
        </w:rPr>
      </w:pPr>
      <w:r w:rsidRPr="00952BFD">
        <w:rPr>
          <w:lang w:val="en-GB"/>
        </w:rPr>
        <w:t>Trade mark infringement</w:t>
      </w:r>
      <w:r w:rsidR="004907BD">
        <w:rPr>
          <w:lang w:val="en-GB"/>
        </w:rPr>
        <w:t xml:space="preserve"> (issue of EU wide jurisdiction, Pago, DHL/</w:t>
      </w:r>
      <w:proofErr w:type="spellStart"/>
      <w:r w:rsidR="004907BD">
        <w:rPr>
          <w:lang w:val="en-GB"/>
        </w:rPr>
        <w:t>Chronopost</w:t>
      </w:r>
      <w:proofErr w:type="spellEnd"/>
      <w:r w:rsidR="004907BD">
        <w:rPr>
          <w:lang w:val="en-GB"/>
        </w:rPr>
        <w:t xml:space="preserve"> cases)</w:t>
      </w:r>
    </w:p>
    <w:p w:rsidR="00952BFD" w:rsidRPr="00952BFD" w:rsidRDefault="004907BD" w:rsidP="00952BFD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>Free movement of goods in the EU</w:t>
      </w:r>
      <w:r w:rsidR="00D712A0">
        <w:rPr>
          <w:lang w:val="en-GB"/>
        </w:rPr>
        <w:t xml:space="preserve"> versus IP rights</w:t>
      </w:r>
      <w:r>
        <w:rPr>
          <w:lang w:val="en-GB"/>
        </w:rPr>
        <w:t>, p</w:t>
      </w:r>
      <w:r w:rsidR="00952BFD" w:rsidRPr="00952BFD">
        <w:rPr>
          <w:lang w:val="en-GB"/>
        </w:rPr>
        <w:t xml:space="preserve">arallel import: concept and cases </w:t>
      </w:r>
    </w:p>
    <w:p w:rsidR="00F51C14" w:rsidRDefault="00F51C14" w:rsidP="00F51C14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Genuine Use (use of a CTM in part of the EU, </w:t>
      </w:r>
      <w:proofErr w:type="spellStart"/>
      <w:r>
        <w:rPr>
          <w:lang w:val="en-GB"/>
        </w:rPr>
        <w:t>Ansul</w:t>
      </w:r>
      <w:proofErr w:type="spellEnd"/>
      <w:r>
        <w:rPr>
          <w:lang w:val="en-GB"/>
        </w:rPr>
        <w:t xml:space="preserve"> case, ONEL case)</w:t>
      </w:r>
    </w:p>
    <w:p w:rsidR="00952BFD" w:rsidRPr="00952BFD" w:rsidRDefault="00952BFD" w:rsidP="00952BFD">
      <w:pPr>
        <w:numPr>
          <w:ilvl w:val="0"/>
          <w:numId w:val="1"/>
        </w:numPr>
        <w:rPr>
          <w:lang w:val="en-GB"/>
        </w:rPr>
      </w:pPr>
      <w:r w:rsidRPr="00952BFD">
        <w:rPr>
          <w:lang w:val="en-GB"/>
        </w:rPr>
        <w:t>Trademarks and the Internet: domain names, infringement on the Internet</w:t>
      </w:r>
      <w:r w:rsidR="004907BD">
        <w:rPr>
          <w:lang w:val="en-GB"/>
        </w:rPr>
        <w:t xml:space="preserve"> (Google Adwords)</w:t>
      </w:r>
    </w:p>
    <w:p w:rsidR="00952BFD" w:rsidRDefault="00952BFD" w:rsidP="00952BFD">
      <w:pPr>
        <w:numPr>
          <w:ilvl w:val="0"/>
          <w:numId w:val="1"/>
        </w:numPr>
        <w:rPr>
          <w:lang w:val="en-GB"/>
        </w:rPr>
      </w:pPr>
      <w:r w:rsidRPr="00952BFD">
        <w:rPr>
          <w:lang w:val="en-GB"/>
        </w:rPr>
        <w:t xml:space="preserve">Extension of the </w:t>
      </w:r>
      <w:r w:rsidR="00F51C14">
        <w:rPr>
          <w:lang w:val="en-GB"/>
        </w:rPr>
        <w:t xml:space="preserve">EU </w:t>
      </w:r>
      <w:r w:rsidRPr="00952BFD">
        <w:rPr>
          <w:lang w:val="en-GB"/>
        </w:rPr>
        <w:t xml:space="preserve">trade mark system </w:t>
      </w:r>
    </w:p>
    <w:p w:rsidR="00F51C14" w:rsidRPr="00952BFD" w:rsidRDefault="00F51C14" w:rsidP="00952BFD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The reform of the EU trademark system </w:t>
      </w:r>
    </w:p>
    <w:p w:rsidR="00952BFD" w:rsidRPr="00952BFD" w:rsidRDefault="00952BFD" w:rsidP="00952BFD">
      <w:pPr>
        <w:rPr>
          <w:b/>
          <w:u w:val="single"/>
          <w:lang w:val="en-GB"/>
        </w:rPr>
      </w:pPr>
      <w:r w:rsidRPr="00952BFD">
        <w:rPr>
          <w:b/>
          <w:u w:val="single"/>
          <w:lang w:val="en-GB"/>
        </w:rPr>
        <w:t>Designs</w:t>
      </w:r>
    </w:p>
    <w:p w:rsidR="00952BFD" w:rsidRDefault="00952BFD" w:rsidP="00952BFD">
      <w:pPr>
        <w:numPr>
          <w:ilvl w:val="0"/>
          <w:numId w:val="1"/>
        </w:numPr>
        <w:rPr>
          <w:lang w:val="en-GB"/>
        </w:rPr>
      </w:pPr>
      <w:r w:rsidRPr="00952BFD">
        <w:rPr>
          <w:lang w:val="en-GB"/>
        </w:rPr>
        <w:t>Protection of designs in the EU, registered and non-registered designs</w:t>
      </w:r>
    </w:p>
    <w:p w:rsidR="001844A6" w:rsidRPr="00952BFD" w:rsidRDefault="001844A6" w:rsidP="001844A6">
      <w:pPr>
        <w:rPr>
          <w:b/>
          <w:u w:val="single"/>
          <w:lang w:val="en-GB"/>
        </w:rPr>
      </w:pPr>
      <w:r>
        <w:rPr>
          <w:b/>
          <w:u w:val="single"/>
          <w:lang w:val="en-GB"/>
        </w:rPr>
        <w:t>Recommended literature</w:t>
      </w:r>
    </w:p>
    <w:p w:rsidR="001844A6" w:rsidRDefault="001844A6" w:rsidP="001844A6">
      <w:pPr>
        <w:numPr>
          <w:ilvl w:val="0"/>
          <w:numId w:val="1"/>
        </w:numPr>
        <w:rPr>
          <w:lang w:val="en-GB"/>
        </w:rPr>
      </w:pPr>
      <w:proofErr w:type="spellStart"/>
      <w:r>
        <w:rPr>
          <w:lang w:val="en-GB"/>
        </w:rPr>
        <w:t>Hasselblatt</w:t>
      </w:r>
      <w:proofErr w:type="spellEnd"/>
      <w:r>
        <w:rPr>
          <w:lang w:val="en-GB"/>
        </w:rPr>
        <w:t xml:space="preserve"> (ed.) – Community Trademark Regulation. C.H. Beck Hart Nomos, 2015.</w:t>
      </w:r>
    </w:p>
    <w:p w:rsidR="001844A6" w:rsidRDefault="001844A6" w:rsidP="001844A6">
      <w:pPr>
        <w:numPr>
          <w:ilvl w:val="0"/>
          <w:numId w:val="1"/>
        </w:numPr>
        <w:rPr>
          <w:lang w:val="en-GB"/>
        </w:rPr>
      </w:pPr>
      <w:proofErr w:type="spellStart"/>
      <w:r w:rsidRPr="00B31731">
        <w:rPr>
          <w:lang w:val="en-GB"/>
        </w:rPr>
        <w:t>Jehoram</w:t>
      </w:r>
      <w:proofErr w:type="spellEnd"/>
      <w:r w:rsidRPr="00B31731">
        <w:rPr>
          <w:lang w:val="en-GB"/>
        </w:rPr>
        <w:t xml:space="preserve">, van </w:t>
      </w:r>
      <w:proofErr w:type="spellStart"/>
      <w:r w:rsidRPr="00B31731">
        <w:rPr>
          <w:lang w:val="en-GB"/>
        </w:rPr>
        <w:t>Nispen</w:t>
      </w:r>
      <w:proofErr w:type="spellEnd"/>
      <w:r w:rsidRPr="00B31731">
        <w:rPr>
          <w:lang w:val="en-GB"/>
        </w:rPr>
        <w:t xml:space="preserve">, </w:t>
      </w:r>
      <w:proofErr w:type="spellStart"/>
      <w:r w:rsidRPr="00B31731">
        <w:rPr>
          <w:lang w:val="en-GB"/>
        </w:rPr>
        <w:t>Huydecoper</w:t>
      </w:r>
      <w:proofErr w:type="spellEnd"/>
      <w:r w:rsidRPr="00B31731">
        <w:rPr>
          <w:lang w:val="en-GB"/>
        </w:rPr>
        <w:t xml:space="preserve"> – European Trademark Law. Kluwer, 2010.</w:t>
      </w:r>
    </w:p>
    <w:p w:rsidR="002F7AEE" w:rsidRDefault="002F7AEE" w:rsidP="002F7AEE">
      <w:pPr>
        <w:rPr>
          <w:lang w:val="en-GB"/>
        </w:rPr>
      </w:pPr>
    </w:p>
    <w:sectPr w:rsidR="002F7AEE" w:rsidSect="008A1578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277CF5"/>
    <w:multiLevelType w:val="hybridMultilevel"/>
    <w:tmpl w:val="3AA671E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086"/>
    <w:rsid w:val="00035C31"/>
    <w:rsid w:val="000C42F5"/>
    <w:rsid w:val="001844A6"/>
    <w:rsid w:val="00206DCB"/>
    <w:rsid w:val="002609CA"/>
    <w:rsid w:val="002F7AEE"/>
    <w:rsid w:val="00395443"/>
    <w:rsid w:val="004907BD"/>
    <w:rsid w:val="00543201"/>
    <w:rsid w:val="005D29E9"/>
    <w:rsid w:val="00622D5C"/>
    <w:rsid w:val="006333D3"/>
    <w:rsid w:val="006D2086"/>
    <w:rsid w:val="007C7812"/>
    <w:rsid w:val="007D5805"/>
    <w:rsid w:val="008A1578"/>
    <w:rsid w:val="00940232"/>
    <w:rsid w:val="00952BFD"/>
    <w:rsid w:val="00AE2CE5"/>
    <w:rsid w:val="00D1239C"/>
    <w:rsid w:val="00D124B6"/>
    <w:rsid w:val="00D209B5"/>
    <w:rsid w:val="00D26AD3"/>
    <w:rsid w:val="00D712A0"/>
    <w:rsid w:val="00DE1D7F"/>
    <w:rsid w:val="00E71235"/>
    <w:rsid w:val="00F51C14"/>
    <w:rsid w:val="00FC4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AA6A8F-A4A3-4C3B-A610-0F97E07C1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40232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E71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7123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199</Words>
  <Characters>1380</Characters>
  <Application>Microsoft Office Word</Application>
  <DocSecurity>0</DocSecurity>
  <Lines>11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SBGK</dc:creator>
  <cp:keywords/>
  <cp:lastModifiedBy>Pollák Zsuzsanna</cp:lastModifiedBy>
  <cp:revision>7</cp:revision>
  <cp:lastPrinted>2015-12-21T08:50:00Z</cp:lastPrinted>
  <dcterms:created xsi:type="dcterms:W3CDTF">2015-12-21T08:50:00Z</dcterms:created>
  <dcterms:modified xsi:type="dcterms:W3CDTF">2016-04-07T09:17:00Z</dcterms:modified>
</cp:coreProperties>
</file>