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96" w:rsidRDefault="00EC7696">
      <w:pPr>
        <w:rPr>
          <w:lang w:val="en-US"/>
        </w:rPr>
      </w:pPr>
      <w:bookmarkStart w:id="0" w:name="_GoBack"/>
      <w:bookmarkEnd w:id="0"/>
    </w:p>
    <w:p w:rsidR="00EC7696" w:rsidRPr="00325F46" w:rsidRDefault="00EC7696" w:rsidP="003C531B">
      <w:pPr>
        <w:rPr>
          <w:b/>
          <w:bCs/>
        </w:rPr>
      </w:pPr>
      <w:r w:rsidRPr="00325F46">
        <w:rPr>
          <w:b/>
          <w:bCs/>
        </w:rPr>
        <w:t>Az Európai Unió munkajoga</w:t>
      </w:r>
      <w:r>
        <w:rPr>
          <w:b/>
          <w:bCs/>
        </w:rPr>
        <w:t xml:space="preserve"> - </w:t>
      </w:r>
      <w:r w:rsidRPr="00E01181">
        <w:rPr>
          <w:b/>
          <w:bCs/>
        </w:rPr>
        <w:t>Kihívások és lehetőségek</w:t>
      </w:r>
    </w:p>
    <w:p w:rsidR="00EC7696" w:rsidRPr="00325F46" w:rsidRDefault="00EC7696" w:rsidP="003C531B">
      <w:pPr>
        <w:rPr>
          <w:b/>
          <w:bCs/>
          <w:u w:val="single"/>
        </w:rPr>
      </w:pPr>
      <w:r w:rsidRPr="00325F46">
        <w:rPr>
          <w:b/>
          <w:bCs/>
          <w:u w:val="single"/>
        </w:rPr>
        <w:t>Tárgyleírás:</w:t>
      </w:r>
    </w:p>
    <w:p w:rsidR="00EC7696" w:rsidRPr="00325F46" w:rsidRDefault="00EC7696" w:rsidP="00325F46">
      <w:pPr>
        <w:jc w:val="both"/>
        <w:rPr>
          <w:sz w:val="24"/>
          <w:szCs w:val="24"/>
        </w:rPr>
      </w:pPr>
      <w:r w:rsidRPr="00325F46">
        <w:rPr>
          <w:sz w:val="24"/>
          <w:szCs w:val="24"/>
        </w:rPr>
        <w:t xml:space="preserve">A kurzus célja, hogy megismertesse a hallgatókat az Európai Unió munkajogának lényegi alapjaival, és áttekintést adjon a terület múltjáról és jövőjéről, bemutatva a szabályozás érvényesítésére, végrehajtására vonatkozó mechanizmusokat is. A tantárgy egyaránt felölel elméleti és gyakorlati ismereteket, beleértve az európai munkajog legújabb fejleményeit és várható jövőbeli hatásait. A kurzus elsősorban az alábbi területekre fókuszál: egyenlő bánásmód, atipikus munkaviszonyok, vállalkozások strukturális átalakítása, munkaidő és más munkakörülmények, munkavállalók kiküldetése. A tematika érinti a kollektív munkajog és az európai szintű szociális párbeszéd kérdéseit. Foglalkozunk az Európai Unió Alapjogi </w:t>
      </w:r>
      <w:r>
        <w:rPr>
          <w:sz w:val="24"/>
          <w:szCs w:val="24"/>
        </w:rPr>
        <w:t>Ch</w:t>
      </w:r>
      <w:r w:rsidRPr="00325F46">
        <w:rPr>
          <w:sz w:val="24"/>
          <w:szCs w:val="24"/>
        </w:rPr>
        <w:t>artájával és a munkavállalói jogok hatékony védelmében játszott várható szerepével is.</w:t>
      </w:r>
    </w:p>
    <w:p w:rsidR="00EC7696" w:rsidRPr="00325F46" w:rsidRDefault="00EC7696" w:rsidP="00325F46">
      <w:pPr>
        <w:jc w:val="both"/>
        <w:rPr>
          <w:b/>
          <w:bCs/>
          <w:u w:val="single"/>
        </w:rPr>
      </w:pPr>
      <w:r w:rsidRPr="00325F46">
        <w:rPr>
          <w:b/>
          <w:bCs/>
          <w:u w:val="single"/>
        </w:rPr>
        <w:t>Tematika: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646"/>
      </w:tblGrid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1.</w:t>
            </w:r>
          </w:p>
        </w:tc>
        <w:tc>
          <w:tcPr>
            <w:tcW w:w="8646" w:type="dxa"/>
          </w:tcPr>
          <w:p w:rsidR="00EC7696" w:rsidRPr="00B9241A" w:rsidRDefault="00EC7696" w:rsidP="003C531B">
            <w:pPr>
              <w:spacing w:after="0" w:line="360" w:lineRule="auto"/>
            </w:pPr>
            <w:r w:rsidRPr="00B9241A">
              <w:t xml:space="preserve">Bevezetés az Európai Unió munkajogába 1. 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2.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Bevezetés az Európai Unió munkajogába 2.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3.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 xml:space="preserve">Vállalkozások strukturális átalakítása: csoportos létszámcsökkentés és fizetésképtelenség 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4.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Vállalkozások strukturális átalakítása: munkáltatói jogutódlás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5.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Egyenlő bánásmód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6.</w:t>
            </w:r>
          </w:p>
        </w:tc>
        <w:tc>
          <w:tcPr>
            <w:tcW w:w="8646" w:type="dxa"/>
          </w:tcPr>
          <w:p w:rsidR="00EC7696" w:rsidRPr="00B9241A" w:rsidRDefault="00EC7696" w:rsidP="003C531B">
            <w:pPr>
              <w:spacing w:after="0" w:line="360" w:lineRule="auto"/>
            </w:pPr>
            <w:r w:rsidRPr="00B9241A">
              <w:t>Munkafeltételek: a munkaviszony elején adandó tájékoztatás, szülői szabadság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7.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A munkaidő szervezéséről szóló irányelv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8.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Munkavállalók kiküldetése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9.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Atipikus munkaviszonyok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10.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Kollektív munkajogi kérdések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11.</w:t>
            </w:r>
          </w:p>
        </w:tc>
        <w:tc>
          <w:tcPr>
            <w:tcW w:w="8646" w:type="dxa"/>
          </w:tcPr>
          <w:p w:rsidR="00EC7696" w:rsidRPr="00B9241A" w:rsidRDefault="00EC7696" w:rsidP="00325F46">
            <w:pPr>
              <w:spacing w:after="0" w:line="360" w:lineRule="auto"/>
            </w:pPr>
            <w:r w:rsidRPr="00B9241A">
              <w:t>Az Európai Unió Alapjogi Chartája</w:t>
            </w:r>
          </w:p>
        </w:tc>
      </w:tr>
      <w:tr w:rsidR="00EC7696" w:rsidRPr="00B9241A">
        <w:tc>
          <w:tcPr>
            <w:tcW w:w="534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12.</w:t>
            </w:r>
          </w:p>
        </w:tc>
        <w:tc>
          <w:tcPr>
            <w:tcW w:w="8646" w:type="dxa"/>
          </w:tcPr>
          <w:p w:rsidR="00EC7696" w:rsidRPr="00B9241A" w:rsidRDefault="00EC7696" w:rsidP="00DF4B0A">
            <w:pPr>
              <w:spacing w:after="0" w:line="360" w:lineRule="auto"/>
            </w:pPr>
            <w:r w:rsidRPr="00B9241A">
              <w:t>Összegzés</w:t>
            </w:r>
          </w:p>
        </w:tc>
      </w:tr>
    </w:tbl>
    <w:p w:rsidR="00EC7696" w:rsidRPr="00AA6253" w:rsidRDefault="00EC7696" w:rsidP="003C531B">
      <w:pPr>
        <w:rPr>
          <w:lang w:val="en-US"/>
        </w:rPr>
      </w:pPr>
      <w:r w:rsidRPr="00AA6253">
        <w:rPr>
          <w:lang w:val="en-US"/>
        </w:rPr>
        <w:t xml:space="preserve"> </w:t>
      </w:r>
    </w:p>
    <w:p w:rsidR="00EC7696" w:rsidRPr="00AA6253" w:rsidRDefault="00EC7696">
      <w:pPr>
        <w:rPr>
          <w:lang w:val="en-US"/>
        </w:rPr>
      </w:pPr>
    </w:p>
    <w:p w:rsidR="00EC7696" w:rsidRPr="00AA6253" w:rsidRDefault="00EC7696">
      <w:pPr>
        <w:rPr>
          <w:lang w:val="en-US"/>
        </w:rPr>
      </w:pPr>
    </w:p>
    <w:sectPr w:rsidR="00EC7696" w:rsidRPr="00AA6253" w:rsidSect="00F0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AB2"/>
    <w:rsid w:val="00061516"/>
    <w:rsid w:val="001F5F24"/>
    <w:rsid w:val="00325F46"/>
    <w:rsid w:val="00377107"/>
    <w:rsid w:val="003C531B"/>
    <w:rsid w:val="006E4AB2"/>
    <w:rsid w:val="006E709C"/>
    <w:rsid w:val="0074392C"/>
    <w:rsid w:val="007F0446"/>
    <w:rsid w:val="00A2183B"/>
    <w:rsid w:val="00AA6253"/>
    <w:rsid w:val="00B70778"/>
    <w:rsid w:val="00B9241A"/>
    <w:rsid w:val="00DF4B0A"/>
    <w:rsid w:val="00E01181"/>
    <w:rsid w:val="00EC7696"/>
    <w:rsid w:val="00F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F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9"/>
    <w:qFormat/>
    <w:rsid w:val="0032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325F4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semiHidden/>
    <w:rsid w:val="00325F46"/>
    <w:rPr>
      <w:color w:val="0000FF"/>
      <w:u w:val="single"/>
    </w:rPr>
  </w:style>
  <w:style w:type="character" w:styleId="Kiemels">
    <w:name w:val="Emphasis"/>
    <w:uiPriority w:val="99"/>
    <w:qFormat/>
    <w:rsid w:val="00325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Kártyás Gábor</dc:creator>
  <cp:keywords/>
  <dc:description/>
  <cp:lastModifiedBy>x</cp:lastModifiedBy>
  <cp:revision>6</cp:revision>
  <cp:lastPrinted>2012-11-09T07:26:00Z</cp:lastPrinted>
  <dcterms:created xsi:type="dcterms:W3CDTF">2012-11-08T06:11:00Z</dcterms:created>
  <dcterms:modified xsi:type="dcterms:W3CDTF">2013-02-05T07:15:00Z</dcterms:modified>
</cp:coreProperties>
</file>