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837" w:rsidRPr="00BB6837" w:rsidRDefault="00BB6837" w:rsidP="00E63F93">
      <w:pPr>
        <w:jc w:val="both"/>
        <w:rPr>
          <w:rFonts w:ascii="Times New Roman" w:hAnsi="Times New Roman" w:cs="Times New Roman"/>
          <w:b/>
          <w:sz w:val="24"/>
          <w:szCs w:val="24"/>
        </w:rPr>
      </w:pPr>
      <w:r w:rsidRPr="00BB6837">
        <w:rPr>
          <w:rFonts w:ascii="Times New Roman" w:hAnsi="Times New Roman" w:cs="Times New Roman"/>
          <w:b/>
          <w:sz w:val="24"/>
          <w:szCs w:val="24"/>
        </w:rPr>
        <w:t>Tihamer Toth</w:t>
      </w:r>
      <w:r>
        <w:rPr>
          <w:rFonts w:ascii="Times New Roman" w:hAnsi="Times New Roman" w:cs="Times New Roman"/>
          <w:b/>
          <w:sz w:val="24"/>
          <w:szCs w:val="24"/>
        </w:rPr>
        <w:t xml:space="preserve"> (Pázmány)</w:t>
      </w:r>
    </w:p>
    <w:p w:rsidR="00305434" w:rsidRPr="00BB6837" w:rsidRDefault="00305434" w:rsidP="00E63F93">
      <w:pPr>
        <w:jc w:val="both"/>
        <w:rPr>
          <w:rFonts w:ascii="Times New Roman" w:hAnsi="Times New Roman" w:cs="Times New Roman"/>
          <w:b/>
          <w:sz w:val="24"/>
          <w:szCs w:val="24"/>
        </w:rPr>
      </w:pPr>
      <w:r w:rsidRPr="00BB6837">
        <w:rPr>
          <w:rFonts w:ascii="Times New Roman" w:hAnsi="Times New Roman" w:cs="Times New Roman"/>
          <w:b/>
          <w:sz w:val="24"/>
          <w:szCs w:val="24"/>
        </w:rPr>
        <w:t>Competition, consumers and sustainable development</w:t>
      </w:r>
    </w:p>
    <w:p w:rsidR="00BB6837" w:rsidRPr="00BB6837" w:rsidRDefault="00BB6837" w:rsidP="00E63F93">
      <w:pPr>
        <w:jc w:val="both"/>
        <w:rPr>
          <w:rFonts w:ascii="Times New Roman" w:hAnsi="Times New Roman" w:cs="Times New Roman"/>
          <w:b/>
          <w:sz w:val="24"/>
          <w:szCs w:val="24"/>
        </w:rPr>
      </w:pPr>
    </w:p>
    <w:p w:rsidR="00305434" w:rsidRPr="00BB6837" w:rsidRDefault="00305434" w:rsidP="00E63F93">
      <w:pPr>
        <w:pStyle w:val="Listaszerbekezds"/>
        <w:numPr>
          <w:ilvl w:val="0"/>
          <w:numId w:val="1"/>
        </w:numPr>
        <w:jc w:val="both"/>
        <w:rPr>
          <w:rFonts w:ascii="Times New Roman" w:hAnsi="Times New Roman" w:cs="Times New Roman"/>
          <w:b/>
          <w:sz w:val="24"/>
          <w:szCs w:val="24"/>
          <w:u w:val="single"/>
        </w:rPr>
      </w:pPr>
      <w:r w:rsidRPr="00BB6837">
        <w:rPr>
          <w:rFonts w:ascii="Times New Roman" w:hAnsi="Times New Roman" w:cs="Times New Roman"/>
          <w:b/>
          <w:sz w:val="24"/>
          <w:szCs w:val="24"/>
          <w:u w:val="single"/>
        </w:rPr>
        <w:t>Course plan</w:t>
      </w:r>
    </w:p>
    <w:p w:rsidR="00305434" w:rsidRDefault="00305434" w:rsidP="00E63F93">
      <w:pPr>
        <w:jc w:val="both"/>
        <w:rPr>
          <w:rFonts w:ascii="Times New Roman" w:hAnsi="Times New Roman" w:cs="Times New Roman"/>
          <w:sz w:val="24"/>
          <w:szCs w:val="24"/>
        </w:rPr>
      </w:pPr>
      <w:r w:rsidRPr="00BB6837">
        <w:rPr>
          <w:rFonts w:ascii="Times New Roman" w:hAnsi="Times New Roman" w:cs="Times New Roman"/>
          <w:sz w:val="24"/>
          <w:szCs w:val="24"/>
        </w:rPr>
        <w:t>This short course (8 lecturing hours, including consultation) looks at the interactions and potential conflicts of competition (antitrust and state aid) policy, and consumer policy (including misleading advertising law) in an EU context. Students will learn the basic principles of EU competition and consumer laws, and how these policies incor</w:t>
      </w:r>
      <w:r w:rsidR="00BB6837">
        <w:rPr>
          <w:rFonts w:ascii="Times New Roman" w:hAnsi="Times New Roman" w:cs="Times New Roman"/>
          <w:sz w:val="24"/>
          <w:szCs w:val="24"/>
        </w:rPr>
        <w:t>porate environmental (or more b</w:t>
      </w:r>
      <w:r w:rsidRPr="00BB6837">
        <w:rPr>
          <w:rFonts w:ascii="Times New Roman" w:hAnsi="Times New Roman" w:cs="Times New Roman"/>
          <w:sz w:val="24"/>
          <w:szCs w:val="24"/>
        </w:rPr>
        <w:t>r</w:t>
      </w:r>
      <w:r w:rsidR="00BB6837">
        <w:rPr>
          <w:rFonts w:ascii="Times New Roman" w:hAnsi="Times New Roman" w:cs="Times New Roman"/>
          <w:sz w:val="24"/>
          <w:szCs w:val="24"/>
        </w:rPr>
        <w:t>o</w:t>
      </w:r>
      <w:r w:rsidRPr="00BB6837">
        <w:rPr>
          <w:rFonts w:ascii="Times New Roman" w:hAnsi="Times New Roman" w:cs="Times New Roman"/>
          <w:sz w:val="24"/>
          <w:szCs w:val="24"/>
        </w:rPr>
        <w:t>adly, sustainable development) policy goals.</w:t>
      </w:r>
    </w:p>
    <w:p w:rsidR="00BB6837" w:rsidRDefault="00BB6837" w:rsidP="00E63F93">
      <w:pPr>
        <w:jc w:val="both"/>
        <w:rPr>
          <w:rFonts w:ascii="Times New Roman" w:hAnsi="Times New Roman" w:cs="Times New Roman"/>
          <w:sz w:val="24"/>
          <w:szCs w:val="24"/>
        </w:rPr>
      </w:pPr>
      <w:r>
        <w:rPr>
          <w:rFonts w:ascii="Times New Roman" w:hAnsi="Times New Roman" w:cs="Times New Roman"/>
          <w:sz w:val="24"/>
          <w:szCs w:val="24"/>
        </w:rPr>
        <w:t xml:space="preserve">Students can reach me at </w:t>
      </w:r>
      <w:hyperlink r:id="rId7" w:history="1">
        <w:r w:rsidRPr="00706395">
          <w:rPr>
            <w:rStyle w:val="Hiperhivatkozs"/>
            <w:rFonts w:ascii="Times New Roman" w:hAnsi="Times New Roman" w:cs="Times New Roman"/>
            <w:sz w:val="24"/>
            <w:szCs w:val="24"/>
          </w:rPr>
          <w:t>toth.tihamer@jak.ppke.hu</w:t>
        </w:r>
      </w:hyperlink>
      <w:r>
        <w:rPr>
          <w:rFonts w:ascii="Times New Roman" w:hAnsi="Times New Roman" w:cs="Times New Roman"/>
          <w:sz w:val="24"/>
          <w:szCs w:val="24"/>
        </w:rPr>
        <w:t>.</w:t>
      </w:r>
    </w:p>
    <w:p w:rsidR="00BB6837" w:rsidRDefault="00F160B8" w:rsidP="00E63F93">
      <w:pPr>
        <w:jc w:val="both"/>
        <w:rPr>
          <w:rFonts w:ascii="Times New Roman" w:hAnsi="Times New Roman" w:cs="Times New Roman"/>
          <w:sz w:val="24"/>
          <w:szCs w:val="24"/>
        </w:rPr>
      </w:pPr>
      <w:hyperlink r:id="rId8" w:history="1">
        <w:r w:rsidR="00BB6837" w:rsidRPr="00706395">
          <w:rPr>
            <w:rStyle w:val="Hiperhivatkozs"/>
            <w:rFonts w:ascii="Times New Roman" w:hAnsi="Times New Roman" w:cs="Times New Roman"/>
            <w:sz w:val="24"/>
            <w:szCs w:val="24"/>
          </w:rPr>
          <w:t>https://jak.ppke.hu/en/teaching/faculty-members-and-researchers/toth-tihamer-208a0</w:t>
        </w:r>
      </w:hyperlink>
    </w:p>
    <w:p w:rsidR="00305434" w:rsidRPr="00BB6837" w:rsidRDefault="00305434" w:rsidP="00E63F93">
      <w:pPr>
        <w:jc w:val="both"/>
        <w:rPr>
          <w:rFonts w:ascii="Times New Roman" w:hAnsi="Times New Roman" w:cs="Times New Roman"/>
          <w:b/>
          <w:sz w:val="24"/>
          <w:szCs w:val="24"/>
        </w:rPr>
      </w:pPr>
    </w:p>
    <w:p w:rsidR="00305434" w:rsidRPr="00BB6837" w:rsidRDefault="00305434" w:rsidP="00E63F93">
      <w:pPr>
        <w:pStyle w:val="Listaszerbekezds"/>
        <w:numPr>
          <w:ilvl w:val="0"/>
          <w:numId w:val="1"/>
        </w:numPr>
        <w:jc w:val="both"/>
        <w:rPr>
          <w:rFonts w:ascii="Times New Roman" w:hAnsi="Times New Roman" w:cs="Times New Roman"/>
          <w:b/>
          <w:sz w:val="24"/>
          <w:szCs w:val="24"/>
          <w:u w:val="single"/>
        </w:rPr>
      </w:pPr>
      <w:r w:rsidRPr="00BB6837">
        <w:rPr>
          <w:rFonts w:ascii="Times New Roman" w:hAnsi="Times New Roman" w:cs="Times New Roman"/>
          <w:b/>
          <w:sz w:val="24"/>
          <w:szCs w:val="24"/>
          <w:u w:val="single"/>
        </w:rPr>
        <w:t>Plan of the course with obligatory and opti</w:t>
      </w:r>
      <w:r w:rsidR="00F160B8">
        <w:rPr>
          <w:rFonts w:ascii="Times New Roman" w:hAnsi="Times New Roman" w:cs="Times New Roman"/>
          <w:b/>
          <w:sz w:val="24"/>
          <w:szCs w:val="24"/>
          <w:u w:val="single"/>
        </w:rPr>
        <w:t>o</w:t>
      </w:r>
      <w:bookmarkStart w:id="0" w:name="_GoBack"/>
      <w:bookmarkEnd w:id="0"/>
      <w:r w:rsidRPr="00BB6837">
        <w:rPr>
          <w:rFonts w:ascii="Times New Roman" w:hAnsi="Times New Roman" w:cs="Times New Roman"/>
          <w:b/>
          <w:sz w:val="24"/>
          <w:szCs w:val="24"/>
          <w:u w:val="single"/>
        </w:rPr>
        <w:t>nal readings</w:t>
      </w:r>
    </w:p>
    <w:p w:rsidR="00E63F93" w:rsidRPr="00BB6837" w:rsidRDefault="00BB6837" w:rsidP="00E63F93">
      <w:pPr>
        <w:ind w:left="360"/>
        <w:jc w:val="both"/>
        <w:rPr>
          <w:rFonts w:ascii="Times New Roman" w:hAnsi="Times New Roman" w:cs="Times New Roman"/>
          <w:sz w:val="24"/>
          <w:szCs w:val="24"/>
        </w:rPr>
      </w:pPr>
      <w:r w:rsidRPr="00BB6837">
        <w:rPr>
          <w:rFonts w:ascii="Times New Roman" w:hAnsi="Times New Roman" w:cs="Times New Roman"/>
          <w:sz w:val="24"/>
          <w:szCs w:val="24"/>
        </w:rPr>
        <w:t>Students are kindly requested to read the documents, with special attention to the relevant pages. A sho</w:t>
      </w:r>
      <w:r>
        <w:rPr>
          <w:rFonts w:ascii="Times New Roman" w:hAnsi="Times New Roman" w:cs="Times New Roman"/>
          <w:sz w:val="24"/>
          <w:szCs w:val="24"/>
        </w:rPr>
        <w:t>rt home assign</w:t>
      </w:r>
      <w:r w:rsidRPr="00BB6837">
        <w:rPr>
          <w:rFonts w:ascii="Times New Roman" w:hAnsi="Times New Roman" w:cs="Times New Roman"/>
          <w:sz w:val="24"/>
          <w:szCs w:val="24"/>
        </w:rPr>
        <w:t>ment (2-3 question, with responses totaling about one page) will be circulated one week before the summer school starts.</w:t>
      </w:r>
    </w:p>
    <w:p w:rsidR="00B35C24" w:rsidRPr="00BB6837" w:rsidRDefault="00B35C24" w:rsidP="00E63F93">
      <w:pPr>
        <w:pStyle w:val="Listaszerbekezds"/>
        <w:numPr>
          <w:ilvl w:val="0"/>
          <w:numId w:val="2"/>
        </w:numPr>
        <w:jc w:val="both"/>
        <w:rPr>
          <w:rFonts w:ascii="Times New Roman" w:hAnsi="Times New Roman" w:cs="Times New Roman"/>
          <w:b/>
          <w:sz w:val="24"/>
          <w:szCs w:val="24"/>
        </w:rPr>
      </w:pPr>
      <w:r w:rsidRPr="00BB6837">
        <w:rPr>
          <w:rFonts w:ascii="Times New Roman" w:hAnsi="Times New Roman" w:cs="Times New Roman"/>
          <w:b/>
          <w:sz w:val="24"/>
          <w:szCs w:val="24"/>
        </w:rPr>
        <w:t>Conflicting aims?</w:t>
      </w:r>
    </w:p>
    <w:p w:rsidR="00B35C24" w:rsidRPr="00BB6837" w:rsidRDefault="00B35C24" w:rsidP="00E63F93">
      <w:pPr>
        <w:jc w:val="both"/>
        <w:rPr>
          <w:rFonts w:ascii="Times New Roman" w:hAnsi="Times New Roman" w:cs="Times New Roman"/>
          <w:b/>
          <w:sz w:val="24"/>
          <w:szCs w:val="24"/>
        </w:rPr>
      </w:pPr>
      <w:r w:rsidRPr="00BB6837">
        <w:rPr>
          <w:rFonts w:ascii="Times New Roman" w:eastAsia="Times New Roman" w:hAnsi="Times New Roman" w:cs="Times New Roman"/>
          <w:sz w:val="24"/>
          <w:szCs w:val="24"/>
          <w:u w:val="single"/>
        </w:rPr>
        <w:t>Sustainable development</w:t>
      </w:r>
      <w:r w:rsidRPr="00BB6837">
        <w:rPr>
          <w:rFonts w:ascii="Times New Roman" w:eastAsia="Times New Roman" w:hAnsi="Times New Roman" w:cs="Times New Roman"/>
          <w:sz w:val="24"/>
          <w:szCs w:val="24"/>
        </w:rPr>
        <w:t xml:space="preserve"> strives to meet the needs of the present without compromising the ability of future generations to meet their own needs, based on three pillars: economic development, environmental protection and social responsibility.</w:t>
      </w:r>
    </w:p>
    <w:p w:rsidR="00B35C24" w:rsidRPr="00BB6837" w:rsidRDefault="00B35C24" w:rsidP="00E63F93">
      <w:pPr>
        <w:jc w:val="both"/>
        <w:rPr>
          <w:rFonts w:ascii="Times New Roman" w:hAnsi="Times New Roman" w:cs="Times New Roman"/>
          <w:sz w:val="24"/>
          <w:szCs w:val="24"/>
        </w:rPr>
      </w:pPr>
      <w:r w:rsidRPr="00BB6837">
        <w:rPr>
          <w:rFonts w:ascii="Times New Roman" w:hAnsi="Times New Roman" w:cs="Times New Roman"/>
          <w:sz w:val="24"/>
          <w:szCs w:val="24"/>
          <w:u w:val="single"/>
        </w:rPr>
        <w:t>EU competition policy</w:t>
      </w:r>
      <w:r w:rsidRPr="00BB6837">
        <w:rPr>
          <w:rFonts w:ascii="Times New Roman" w:hAnsi="Times New Roman" w:cs="Times New Roman"/>
          <w:sz w:val="24"/>
          <w:szCs w:val="24"/>
        </w:rPr>
        <w:t xml:space="preserve"> goals: increasing (consumer) welfare, more choice, market integration, etc.</w:t>
      </w:r>
    </w:p>
    <w:p w:rsidR="00B35C24" w:rsidRPr="00BB6837" w:rsidRDefault="00B35C24" w:rsidP="00E63F93">
      <w:pPr>
        <w:jc w:val="both"/>
        <w:rPr>
          <w:rFonts w:ascii="Times New Roman" w:hAnsi="Times New Roman" w:cs="Times New Roman"/>
          <w:b/>
          <w:sz w:val="24"/>
          <w:szCs w:val="24"/>
        </w:rPr>
      </w:pPr>
    </w:p>
    <w:p w:rsidR="00B35C24" w:rsidRPr="00BB6837" w:rsidRDefault="00B35C24" w:rsidP="00E63F93">
      <w:pPr>
        <w:pStyle w:val="Listaszerbekezds"/>
        <w:numPr>
          <w:ilvl w:val="0"/>
          <w:numId w:val="2"/>
        </w:numPr>
        <w:jc w:val="both"/>
        <w:rPr>
          <w:rFonts w:ascii="Times New Roman" w:hAnsi="Times New Roman" w:cs="Times New Roman"/>
          <w:b/>
          <w:sz w:val="24"/>
          <w:szCs w:val="24"/>
        </w:rPr>
      </w:pPr>
      <w:r w:rsidRPr="00BB6837">
        <w:rPr>
          <w:rFonts w:ascii="Times New Roman" w:hAnsi="Times New Roman" w:cs="Times New Roman"/>
          <w:b/>
          <w:sz w:val="24"/>
          <w:szCs w:val="24"/>
        </w:rPr>
        <w:t>Co-operation agreements between competitors</w:t>
      </w:r>
    </w:p>
    <w:p w:rsidR="00B35C24" w:rsidRPr="00BB6837" w:rsidRDefault="00F160B8" w:rsidP="00E63F93">
      <w:pPr>
        <w:jc w:val="both"/>
        <w:rPr>
          <w:rFonts w:ascii="Times New Roman" w:hAnsi="Times New Roman" w:cs="Times New Roman"/>
          <w:sz w:val="24"/>
          <w:szCs w:val="24"/>
        </w:rPr>
      </w:pPr>
      <w:hyperlink r:id="rId9" w:history="1">
        <w:r w:rsidR="00B35C24" w:rsidRPr="00BB6837">
          <w:rPr>
            <w:rStyle w:val="Hiperhivatkozs"/>
            <w:rFonts w:ascii="Times New Roman" w:hAnsi="Times New Roman" w:cs="Times New Roman"/>
            <w:color w:val="auto"/>
            <w:sz w:val="24"/>
            <w:szCs w:val="24"/>
          </w:rPr>
          <w:t>http://eur-lex.europa.eu/legal-content/EN/TXT/PDF/?uri=CELEX:52011XC0114(04)&amp;from=EN</w:t>
        </w:r>
      </w:hyperlink>
    </w:p>
    <w:p w:rsidR="00B35C24" w:rsidRPr="00BB6837" w:rsidRDefault="00B35C24" w:rsidP="00E63F93">
      <w:pPr>
        <w:jc w:val="both"/>
        <w:rPr>
          <w:rFonts w:ascii="Times New Roman" w:hAnsi="Times New Roman" w:cs="Times New Roman"/>
          <w:sz w:val="24"/>
          <w:szCs w:val="24"/>
        </w:rPr>
      </w:pPr>
      <w:r w:rsidRPr="00BB6837">
        <w:rPr>
          <w:rFonts w:ascii="Times New Roman" w:hAnsi="Times New Roman" w:cs="Times New Roman"/>
          <w:sz w:val="24"/>
          <w:szCs w:val="24"/>
        </w:rPr>
        <w:t>Points 149, 329., the rest is optional (about 3 pages)</w:t>
      </w:r>
    </w:p>
    <w:p w:rsidR="00B35C24" w:rsidRPr="00BB6837" w:rsidRDefault="00B35C24" w:rsidP="00E63F93">
      <w:pPr>
        <w:jc w:val="both"/>
        <w:rPr>
          <w:rFonts w:ascii="Times New Roman" w:hAnsi="Times New Roman" w:cs="Times New Roman"/>
          <w:sz w:val="24"/>
          <w:szCs w:val="24"/>
        </w:rPr>
      </w:pPr>
      <w:r w:rsidRPr="00BB6837">
        <w:rPr>
          <w:rFonts w:ascii="Times New Roman" w:hAnsi="Times New Roman" w:cs="Times New Roman"/>
          <w:sz w:val="24"/>
          <w:szCs w:val="24"/>
        </w:rPr>
        <w:t xml:space="preserve">The EU commission “horizontal guidelines” do not contain a separate chapter on ‘environmental agreements’ as was the case in the previous guidelines. Standard-setting in the environment sector, which was the main focus of the former chapter on environmental agreements, is more appropriately dealt with in the standardisation chapter of these guidelines. In general, depending on the competition issues ‘environmental agreements’ give rise to, they are to be assessed under </w:t>
      </w:r>
      <w:r w:rsidRPr="00BB6837">
        <w:rPr>
          <w:rFonts w:ascii="Times New Roman" w:hAnsi="Times New Roman" w:cs="Times New Roman"/>
          <w:sz w:val="24"/>
          <w:szCs w:val="24"/>
        </w:rPr>
        <w:lastRenderedPageBreak/>
        <w:t>the relevant chapter of these guidelines, be it the chapter on R&amp;D, production, commercialisation or standardisation agreements.</w:t>
      </w:r>
    </w:p>
    <w:p w:rsidR="00B35C24" w:rsidRPr="00BB6837" w:rsidRDefault="00B35C24" w:rsidP="00E63F93">
      <w:pPr>
        <w:jc w:val="both"/>
        <w:rPr>
          <w:rFonts w:ascii="Times New Roman" w:hAnsi="Times New Roman" w:cs="Times New Roman"/>
          <w:sz w:val="24"/>
          <w:szCs w:val="24"/>
        </w:rPr>
      </w:pPr>
    </w:p>
    <w:p w:rsidR="00B35C24" w:rsidRPr="00BB6837" w:rsidRDefault="00B35C24" w:rsidP="00E63F93">
      <w:pPr>
        <w:pStyle w:val="Default"/>
        <w:numPr>
          <w:ilvl w:val="0"/>
          <w:numId w:val="2"/>
        </w:numPr>
        <w:jc w:val="both"/>
        <w:rPr>
          <w:b/>
          <w:iCs/>
          <w:color w:val="auto"/>
        </w:rPr>
      </w:pPr>
      <w:r w:rsidRPr="00BB6837">
        <w:rPr>
          <w:b/>
          <w:iCs/>
          <w:color w:val="auto"/>
        </w:rPr>
        <w:t>Supporting recycling and renewable energy sources through antitrust enforcement</w:t>
      </w:r>
    </w:p>
    <w:p w:rsidR="00B35C24" w:rsidRPr="00BB6837" w:rsidRDefault="00B35C24" w:rsidP="00E63F93">
      <w:pPr>
        <w:pStyle w:val="Default"/>
        <w:jc w:val="both"/>
        <w:rPr>
          <w:color w:val="auto"/>
        </w:rPr>
      </w:pPr>
    </w:p>
    <w:p w:rsidR="00B35C24" w:rsidRPr="00BB6837" w:rsidRDefault="00B35C24" w:rsidP="00E63F93">
      <w:pPr>
        <w:pStyle w:val="Default"/>
        <w:jc w:val="both"/>
        <w:rPr>
          <w:color w:val="auto"/>
        </w:rPr>
      </w:pPr>
      <w:r w:rsidRPr="00BB6837">
        <w:rPr>
          <w:color w:val="auto"/>
        </w:rPr>
        <w:t>"Closing the loop" of product lifecycles through greater recycling and re-use brings benefits for both the environment and the economy. Effective competition in the waste management sector contributes to tackling the challenge by making recycling affordable for consumers. In September, the Commission fined Altstoff Recycling Austria (ARA) EUR 6 million for blocking competitors from entering the Austrian market for management of household packaging waste from 2008 to 2012, in breach of Article 102 TFEU which prohibits the abuse of a dominant market position.</w:t>
      </w:r>
    </w:p>
    <w:p w:rsidR="00B35C24" w:rsidRPr="00BB6837" w:rsidRDefault="00B35C24" w:rsidP="00E63F93">
      <w:pPr>
        <w:jc w:val="both"/>
        <w:rPr>
          <w:rFonts w:ascii="Times New Roman" w:hAnsi="Times New Roman" w:cs="Times New Roman"/>
          <w:sz w:val="24"/>
          <w:szCs w:val="24"/>
        </w:rPr>
      </w:pPr>
      <w:r w:rsidRPr="00BB6837">
        <w:rPr>
          <w:rFonts w:ascii="Times New Roman" w:hAnsi="Times New Roman" w:cs="Times New Roman"/>
          <w:sz w:val="24"/>
          <w:szCs w:val="24"/>
        </w:rPr>
        <w:t>Commission’s press release:</w:t>
      </w:r>
    </w:p>
    <w:p w:rsidR="00B35C24" w:rsidRPr="00BB6837" w:rsidRDefault="00F160B8" w:rsidP="00E63F93">
      <w:pPr>
        <w:jc w:val="both"/>
        <w:rPr>
          <w:rFonts w:ascii="Times New Roman" w:hAnsi="Times New Roman" w:cs="Times New Roman"/>
          <w:sz w:val="24"/>
          <w:szCs w:val="24"/>
        </w:rPr>
      </w:pPr>
      <w:hyperlink r:id="rId10" w:history="1">
        <w:r w:rsidR="00B35C24" w:rsidRPr="00BB6837">
          <w:rPr>
            <w:rStyle w:val="Hiperhivatkozs"/>
            <w:rFonts w:ascii="Times New Roman" w:hAnsi="Times New Roman" w:cs="Times New Roman"/>
            <w:color w:val="auto"/>
            <w:sz w:val="24"/>
            <w:szCs w:val="24"/>
          </w:rPr>
          <w:t>http://europa.eu/rapid/press-release_IP-16-3116_en.htm</w:t>
        </w:r>
      </w:hyperlink>
    </w:p>
    <w:p w:rsidR="00B35C24" w:rsidRPr="00BB6837" w:rsidRDefault="00B35C24" w:rsidP="00E63F93">
      <w:pPr>
        <w:jc w:val="both"/>
        <w:rPr>
          <w:rFonts w:ascii="Times New Roman" w:hAnsi="Times New Roman" w:cs="Times New Roman"/>
          <w:sz w:val="24"/>
          <w:szCs w:val="24"/>
        </w:rPr>
      </w:pPr>
    </w:p>
    <w:p w:rsidR="00E10002" w:rsidRPr="00BB6837" w:rsidRDefault="00E10002" w:rsidP="00E63F93">
      <w:pPr>
        <w:pStyle w:val="Listaszerbekezds"/>
        <w:numPr>
          <w:ilvl w:val="0"/>
          <w:numId w:val="2"/>
        </w:numPr>
        <w:jc w:val="both"/>
        <w:rPr>
          <w:rFonts w:ascii="Times New Roman" w:hAnsi="Times New Roman" w:cs="Times New Roman"/>
          <w:b/>
          <w:sz w:val="24"/>
          <w:szCs w:val="24"/>
        </w:rPr>
      </w:pPr>
      <w:r w:rsidRPr="00BB6837">
        <w:rPr>
          <w:rFonts w:ascii="Times New Roman" w:hAnsi="Times New Roman" w:cs="Times New Roman"/>
          <w:b/>
          <w:sz w:val="24"/>
          <w:szCs w:val="24"/>
        </w:rPr>
        <w:t xml:space="preserve">State aid </w:t>
      </w:r>
      <w:r w:rsidR="00E63F93" w:rsidRPr="00BB6837">
        <w:rPr>
          <w:rFonts w:ascii="Times New Roman" w:hAnsi="Times New Roman" w:cs="Times New Roman"/>
          <w:b/>
          <w:sz w:val="24"/>
          <w:szCs w:val="24"/>
        </w:rPr>
        <w:t>law issues</w:t>
      </w:r>
    </w:p>
    <w:p w:rsidR="00A616B4" w:rsidRPr="00BB6837" w:rsidRDefault="00A616B4" w:rsidP="00E63F93">
      <w:pPr>
        <w:jc w:val="both"/>
        <w:rPr>
          <w:rFonts w:ascii="Times New Roman" w:hAnsi="Times New Roman" w:cs="Times New Roman"/>
          <w:sz w:val="24"/>
          <w:szCs w:val="24"/>
        </w:rPr>
      </w:pPr>
      <w:r w:rsidRPr="00BB6837">
        <w:rPr>
          <w:rFonts w:ascii="Times New Roman" w:hAnsi="Times New Roman" w:cs="Times New Roman"/>
          <w:sz w:val="24"/>
          <w:szCs w:val="24"/>
        </w:rPr>
        <w:t>State aid, generally, pp 3-10, (the rest is optional reading)</w:t>
      </w:r>
    </w:p>
    <w:p w:rsidR="00A616B4" w:rsidRPr="00BB6837" w:rsidRDefault="00F160B8" w:rsidP="00E63F93">
      <w:pPr>
        <w:jc w:val="both"/>
        <w:rPr>
          <w:rFonts w:ascii="Times New Roman" w:hAnsi="Times New Roman" w:cs="Times New Roman"/>
          <w:sz w:val="24"/>
          <w:szCs w:val="24"/>
        </w:rPr>
      </w:pPr>
      <w:hyperlink r:id="rId11" w:history="1">
        <w:r w:rsidR="00A616B4" w:rsidRPr="00BB6837">
          <w:rPr>
            <w:rStyle w:val="Hiperhivatkozs"/>
            <w:rFonts w:ascii="Times New Roman" w:hAnsi="Times New Roman" w:cs="Times New Roman"/>
            <w:color w:val="auto"/>
            <w:sz w:val="24"/>
            <w:szCs w:val="24"/>
          </w:rPr>
          <w:t>https://www.gov.uk/government/uploads/system/uploads/attachment_data/file/15277/National_State_Aid_Law_Requirements.pdf</w:t>
        </w:r>
      </w:hyperlink>
    </w:p>
    <w:p w:rsidR="00E63F93" w:rsidRPr="00BB6837" w:rsidRDefault="00E63F93" w:rsidP="00E63F93">
      <w:pPr>
        <w:jc w:val="both"/>
        <w:rPr>
          <w:rFonts w:ascii="Times New Roman" w:hAnsi="Times New Roman" w:cs="Times New Roman"/>
          <w:sz w:val="24"/>
          <w:szCs w:val="24"/>
        </w:rPr>
      </w:pPr>
    </w:p>
    <w:p w:rsidR="00A616B4" w:rsidRPr="00BB6837" w:rsidRDefault="00A616B4" w:rsidP="00E63F93">
      <w:pPr>
        <w:jc w:val="both"/>
        <w:rPr>
          <w:rFonts w:ascii="Times New Roman" w:hAnsi="Times New Roman" w:cs="Times New Roman"/>
          <w:sz w:val="24"/>
          <w:szCs w:val="24"/>
        </w:rPr>
      </w:pPr>
      <w:r w:rsidRPr="00BB6837">
        <w:rPr>
          <w:rFonts w:ascii="Times New Roman" w:hAnsi="Times New Roman" w:cs="Times New Roman"/>
          <w:sz w:val="24"/>
          <w:szCs w:val="24"/>
        </w:rPr>
        <w:t>Chart on p. 6, and pp 8-10 (the rest is optional reading)</w:t>
      </w:r>
    </w:p>
    <w:p w:rsidR="00A616B4" w:rsidRPr="00BB6837" w:rsidRDefault="00F160B8" w:rsidP="00E63F93">
      <w:pPr>
        <w:jc w:val="both"/>
        <w:rPr>
          <w:rFonts w:ascii="Times New Roman" w:hAnsi="Times New Roman" w:cs="Times New Roman"/>
          <w:sz w:val="24"/>
          <w:szCs w:val="24"/>
        </w:rPr>
      </w:pPr>
      <w:hyperlink r:id="rId12" w:history="1">
        <w:r w:rsidR="00A616B4" w:rsidRPr="00BB6837">
          <w:rPr>
            <w:rStyle w:val="Hiperhivatkozs"/>
            <w:rFonts w:ascii="Times New Roman" w:hAnsi="Times New Roman" w:cs="Times New Roman"/>
            <w:color w:val="auto"/>
            <w:sz w:val="24"/>
            <w:szCs w:val="24"/>
          </w:rPr>
          <w:t>https://www.gov.uk/government/uploads/system/uploads/attachment_data/file/443686/BIS-15-417-state-aid-the-basics-guide.pdf</w:t>
        </w:r>
      </w:hyperlink>
    </w:p>
    <w:p w:rsidR="00E63F93" w:rsidRPr="00BB6837" w:rsidRDefault="00E63F93" w:rsidP="00E63F93">
      <w:pPr>
        <w:jc w:val="both"/>
        <w:rPr>
          <w:rFonts w:ascii="Times New Roman" w:hAnsi="Times New Roman" w:cs="Times New Roman"/>
          <w:sz w:val="24"/>
          <w:szCs w:val="24"/>
        </w:rPr>
      </w:pPr>
    </w:p>
    <w:p w:rsidR="00B35C24" w:rsidRPr="00BB6837" w:rsidRDefault="00B35C24" w:rsidP="00E63F93">
      <w:pPr>
        <w:jc w:val="both"/>
        <w:rPr>
          <w:rFonts w:ascii="Times New Roman" w:hAnsi="Times New Roman" w:cs="Times New Roman"/>
          <w:sz w:val="24"/>
          <w:szCs w:val="24"/>
        </w:rPr>
      </w:pPr>
      <w:r w:rsidRPr="00BB6837">
        <w:rPr>
          <w:rFonts w:ascii="Times New Roman" w:hAnsi="Times New Roman" w:cs="Times New Roman"/>
          <w:sz w:val="24"/>
          <w:szCs w:val="24"/>
        </w:rPr>
        <w:t>EU competition policy and environmental protection: the case of recycling (anti-competitive agreements and state aid), 1-7 pp.</w:t>
      </w:r>
    </w:p>
    <w:p w:rsidR="00B35C24" w:rsidRPr="00BB6837" w:rsidRDefault="00F160B8" w:rsidP="00E63F93">
      <w:pPr>
        <w:jc w:val="both"/>
        <w:rPr>
          <w:rFonts w:ascii="Times New Roman" w:hAnsi="Times New Roman" w:cs="Times New Roman"/>
          <w:sz w:val="24"/>
          <w:szCs w:val="24"/>
        </w:rPr>
      </w:pPr>
      <w:hyperlink r:id="rId13" w:history="1">
        <w:r w:rsidR="00B35C24" w:rsidRPr="00BB6837">
          <w:rPr>
            <w:rStyle w:val="Hiperhivatkozs"/>
            <w:rFonts w:ascii="Times New Roman" w:hAnsi="Times New Roman" w:cs="Times New Roman"/>
            <w:color w:val="auto"/>
            <w:sz w:val="24"/>
            <w:szCs w:val="24"/>
          </w:rPr>
          <w:t>http://ec.europa.eu/competition/speeches/text/sp2001_015_en.pdf</w:t>
        </w:r>
      </w:hyperlink>
    </w:p>
    <w:p w:rsidR="00E63F93" w:rsidRPr="00BB6837" w:rsidRDefault="00E63F93" w:rsidP="00E63F93">
      <w:pPr>
        <w:jc w:val="both"/>
        <w:rPr>
          <w:rFonts w:ascii="Times New Roman" w:hAnsi="Times New Roman" w:cs="Times New Roman"/>
          <w:sz w:val="24"/>
          <w:szCs w:val="24"/>
        </w:rPr>
      </w:pPr>
    </w:p>
    <w:p w:rsidR="00E10002" w:rsidRPr="00BB6837" w:rsidRDefault="00E10002" w:rsidP="00E63F93">
      <w:pPr>
        <w:jc w:val="both"/>
        <w:rPr>
          <w:rFonts w:ascii="Times New Roman" w:hAnsi="Times New Roman" w:cs="Times New Roman"/>
          <w:sz w:val="24"/>
          <w:szCs w:val="24"/>
        </w:rPr>
      </w:pPr>
      <w:r w:rsidRPr="00BB6837">
        <w:rPr>
          <w:rFonts w:ascii="Times New Roman" w:hAnsi="Times New Roman" w:cs="Times New Roman"/>
          <w:sz w:val="24"/>
          <w:szCs w:val="24"/>
        </w:rPr>
        <w:t>Explaining the new state aid guidelines (2014), 1-5 pp</w:t>
      </w:r>
    </w:p>
    <w:p w:rsidR="00E10002" w:rsidRPr="00BB6837" w:rsidRDefault="00F160B8" w:rsidP="00E63F93">
      <w:pPr>
        <w:jc w:val="both"/>
        <w:rPr>
          <w:rFonts w:ascii="Times New Roman" w:hAnsi="Times New Roman" w:cs="Times New Roman"/>
          <w:sz w:val="24"/>
          <w:szCs w:val="24"/>
        </w:rPr>
      </w:pPr>
      <w:hyperlink r:id="rId14" w:history="1">
        <w:r w:rsidR="00E10002" w:rsidRPr="00BB6837">
          <w:rPr>
            <w:rStyle w:val="Hiperhivatkozs"/>
            <w:rFonts w:ascii="Times New Roman" w:hAnsi="Times New Roman" w:cs="Times New Roman"/>
            <w:color w:val="auto"/>
            <w:sz w:val="24"/>
            <w:szCs w:val="24"/>
          </w:rPr>
          <w:t>http://ec.europa.eu/competition/publications/cpb/2014/016_en.pdf</w:t>
        </w:r>
      </w:hyperlink>
    </w:p>
    <w:p w:rsidR="00E10002" w:rsidRPr="00BB6837" w:rsidRDefault="00E10002" w:rsidP="00E63F93">
      <w:pPr>
        <w:jc w:val="both"/>
        <w:rPr>
          <w:rFonts w:ascii="Times New Roman" w:hAnsi="Times New Roman" w:cs="Times New Roman"/>
          <w:sz w:val="24"/>
          <w:szCs w:val="24"/>
        </w:rPr>
      </w:pPr>
    </w:p>
    <w:p w:rsidR="00B35C24" w:rsidRPr="00BB6837" w:rsidRDefault="00B35C24" w:rsidP="00E63F93">
      <w:pPr>
        <w:pStyle w:val="Listaszerbekezds"/>
        <w:numPr>
          <w:ilvl w:val="0"/>
          <w:numId w:val="2"/>
        </w:numPr>
        <w:jc w:val="both"/>
        <w:rPr>
          <w:rFonts w:ascii="Times New Roman" w:hAnsi="Times New Roman" w:cs="Times New Roman"/>
          <w:b/>
          <w:sz w:val="24"/>
          <w:szCs w:val="24"/>
        </w:rPr>
      </w:pPr>
      <w:r w:rsidRPr="00BB6837">
        <w:rPr>
          <w:rFonts w:ascii="Times New Roman" w:hAnsi="Times New Roman" w:cs="Times New Roman"/>
          <w:b/>
          <w:sz w:val="24"/>
          <w:szCs w:val="24"/>
        </w:rPr>
        <w:lastRenderedPageBreak/>
        <w:t>Consumer protection, advertising</w:t>
      </w:r>
    </w:p>
    <w:p w:rsidR="00305434" w:rsidRPr="00BB6837" w:rsidRDefault="00305434" w:rsidP="00E63F93">
      <w:pPr>
        <w:jc w:val="both"/>
        <w:rPr>
          <w:rFonts w:ascii="Times New Roman" w:hAnsi="Times New Roman" w:cs="Times New Roman"/>
          <w:sz w:val="24"/>
          <w:szCs w:val="24"/>
        </w:rPr>
      </w:pPr>
      <w:r w:rsidRPr="00BB6837">
        <w:rPr>
          <w:rFonts w:ascii="Times New Roman" w:hAnsi="Times New Roman" w:cs="Times New Roman"/>
          <w:sz w:val="24"/>
          <w:szCs w:val="24"/>
        </w:rPr>
        <w:t>Link to the UCP Directive</w:t>
      </w:r>
      <w:r w:rsidR="00E63F93" w:rsidRPr="00BB6837">
        <w:rPr>
          <w:rFonts w:ascii="Times New Roman" w:hAnsi="Times New Roman" w:cs="Times New Roman"/>
          <w:sz w:val="24"/>
          <w:szCs w:val="24"/>
        </w:rPr>
        <w:t xml:space="preserve"> (optional reading)</w:t>
      </w:r>
      <w:r w:rsidRPr="00BB6837">
        <w:rPr>
          <w:rFonts w:ascii="Times New Roman" w:hAnsi="Times New Roman" w:cs="Times New Roman"/>
          <w:sz w:val="24"/>
          <w:szCs w:val="24"/>
        </w:rPr>
        <w:t>:</w:t>
      </w:r>
    </w:p>
    <w:p w:rsidR="00305434" w:rsidRPr="00BB6837" w:rsidRDefault="00F160B8" w:rsidP="00E63F93">
      <w:pPr>
        <w:jc w:val="both"/>
        <w:rPr>
          <w:rFonts w:ascii="Times New Roman" w:hAnsi="Times New Roman" w:cs="Times New Roman"/>
          <w:sz w:val="24"/>
          <w:szCs w:val="24"/>
        </w:rPr>
      </w:pPr>
      <w:hyperlink r:id="rId15" w:history="1">
        <w:r w:rsidR="00305434" w:rsidRPr="00BB6837">
          <w:rPr>
            <w:rStyle w:val="Hiperhivatkozs"/>
            <w:rFonts w:ascii="Times New Roman" w:hAnsi="Times New Roman" w:cs="Times New Roman"/>
            <w:color w:val="auto"/>
            <w:sz w:val="24"/>
            <w:szCs w:val="24"/>
          </w:rPr>
          <w:t>http://eur-lex.europa.eu/legal-content/EN/TXT/PDF/?uri=CELEX:32005L0029&amp;from=en</w:t>
        </w:r>
      </w:hyperlink>
    </w:p>
    <w:p w:rsidR="00E63F93" w:rsidRPr="00BB6837" w:rsidRDefault="00E63F93" w:rsidP="00E63F93">
      <w:pPr>
        <w:jc w:val="both"/>
        <w:rPr>
          <w:rFonts w:ascii="Times New Roman" w:hAnsi="Times New Roman" w:cs="Times New Roman"/>
          <w:sz w:val="24"/>
          <w:szCs w:val="24"/>
        </w:rPr>
      </w:pPr>
    </w:p>
    <w:p w:rsidR="00884B14" w:rsidRPr="00BB6837" w:rsidRDefault="00884B14" w:rsidP="00E63F93">
      <w:pPr>
        <w:jc w:val="both"/>
        <w:rPr>
          <w:rFonts w:ascii="Times New Roman" w:hAnsi="Times New Roman" w:cs="Times New Roman"/>
          <w:sz w:val="24"/>
          <w:szCs w:val="24"/>
        </w:rPr>
      </w:pPr>
      <w:r w:rsidRPr="00BB6837">
        <w:rPr>
          <w:rFonts w:ascii="Times New Roman" w:hAnsi="Times New Roman" w:cs="Times New Roman"/>
          <w:sz w:val="24"/>
          <w:szCs w:val="24"/>
        </w:rPr>
        <w:t>Commission guidance to the UCPD, pp 105-120.</w:t>
      </w:r>
    </w:p>
    <w:p w:rsidR="00884B14" w:rsidRPr="00BB6837" w:rsidRDefault="00F160B8" w:rsidP="00E63F93">
      <w:pPr>
        <w:jc w:val="both"/>
        <w:rPr>
          <w:rFonts w:ascii="Times New Roman" w:hAnsi="Times New Roman" w:cs="Times New Roman"/>
          <w:sz w:val="24"/>
          <w:szCs w:val="24"/>
        </w:rPr>
      </w:pPr>
      <w:hyperlink r:id="rId16" w:history="1">
        <w:r w:rsidR="00884B14" w:rsidRPr="00BB6837">
          <w:rPr>
            <w:rStyle w:val="Hiperhivatkozs"/>
            <w:rFonts w:ascii="Times New Roman" w:hAnsi="Times New Roman" w:cs="Times New Roman"/>
            <w:sz w:val="24"/>
            <w:szCs w:val="24"/>
          </w:rPr>
          <w:t>http://ec.europa.eu/justice/consumer-marketing/files/ucp_guidance_en.pdf</w:t>
        </w:r>
      </w:hyperlink>
    </w:p>
    <w:p w:rsidR="00884B14" w:rsidRPr="00BB6837" w:rsidRDefault="00884B14" w:rsidP="00E63F93">
      <w:pPr>
        <w:jc w:val="both"/>
        <w:rPr>
          <w:rFonts w:ascii="Times New Roman" w:hAnsi="Times New Roman" w:cs="Times New Roman"/>
          <w:sz w:val="24"/>
          <w:szCs w:val="24"/>
        </w:rPr>
      </w:pPr>
    </w:p>
    <w:p w:rsidR="00305434" w:rsidRPr="00BB6837" w:rsidRDefault="00305434" w:rsidP="00E63F93">
      <w:pPr>
        <w:jc w:val="both"/>
        <w:rPr>
          <w:rFonts w:ascii="Times New Roman" w:hAnsi="Times New Roman" w:cs="Times New Roman"/>
          <w:sz w:val="24"/>
          <w:szCs w:val="24"/>
        </w:rPr>
      </w:pPr>
      <w:r w:rsidRPr="00BB6837">
        <w:rPr>
          <w:rFonts w:ascii="Times New Roman" w:hAnsi="Times New Roman" w:cs="Times New Roman"/>
          <w:sz w:val="24"/>
          <w:szCs w:val="24"/>
        </w:rPr>
        <w:t>UN guidelines, pp 18-20.</w:t>
      </w:r>
    </w:p>
    <w:p w:rsidR="00305434" w:rsidRPr="00BB6837" w:rsidRDefault="00F160B8" w:rsidP="00E63F93">
      <w:pPr>
        <w:jc w:val="both"/>
        <w:rPr>
          <w:rFonts w:ascii="Times New Roman" w:hAnsi="Times New Roman" w:cs="Times New Roman"/>
          <w:sz w:val="24"/>
          <w:szCs w:val="24"/>
        </w:rPr>
      </w:pPr>
      <w:hyperlink r:id="rId17" w:history="1">
        <w:r w:rsidR="00305434" w:rsidRPr="00BB6837">
          <w:rPr>
            <w:rStyle w:val="Hiperhivatkozs"/>
            <w:rFonts w:ascii="Times New Roman" w:hAnsi="Times New Roman" w:cs="Times New Roman"/>
            <w:color w:val="auto"/>
            <w:sz w:val="24"/>
            <w:szCs w:val="24"/>
          </w:rPr>
          <w:t>http://unctad.org/en/PublicationsLibrary/ditccplpmisc2016d1_en.pdf</w:t>
        </w:r>
      </w:hyperlink>
    </w:p>
    <w:p w:rsidR="00E63F93" w:rsidRPr="00BB6837" w:rsidRDefault="00E63F93" w:rsidP="00E63F93">
      <w:pPr>
        <w:jc w:val="both"/>
        <w:rPr>
          <w:rFonts w:ascii="Times New Roman" w:hAnsi="Times New Roman" w:cs="Times New Roman"/>
          <w:sz w:val="24"/>
          <w:szCs w:val="24"/>
        </w:rPr>
      </w:pPr>
    </w:p>
    <w:p w:rsidR="00305434" w:rsidRPr="00BB6837" w:rsidRDefault="00305434" w:rsidP="00E63F93">
      <w:pPr>
        <w:jc w:val="both"/>
        <w:rPr>
          <w:rFonts w:ascii="Times New Roman" w:hAnsi="Times New Roman" w:cs="Times New Roman"/>
          <w:sz w:val="24"/>
          <w:szCs w:val="24"/>
        </w:rPr>
      </w:pPr>
      <w:r w:rsidRPr="00BB6837">
        <w:rPr>
          <w:rFonts w:ascii="Times New Roman" w:hAnsi="Times New Roman" w:cs="Times New Roman"/>
          <w:sz w:val="24"/>
          <w:szCs w:val="24"/>
        </w:rPr>
        <w:t>EU study on green claims, pp 15-32, the rest is optional</w:t>
      </w:r>
    </w:p>
    <w:p w:rsidR="00305434" w:rsidRPr="00BB6837" w:rsidRDefault="00F160B8" w:rsidP="00E63F93">
      <w:pPr>
        <w:jc w:val="both"/>
        <w:rPr>
          <w:rFonts w:ascii="Times New Roman" w:hAnsi="Times New Roman" w:cs="Times New Roman"/>
          <w:sz w:val="24"/>
          <w:szCs w:val="24"/>
        </w:rPr>
      </w:pPr>
      <w:hyperlink r:id="rId18" w:history="1">
        <w:r w:rsidR="00305434" w:rsidRPr="00BB6837">
          <w:rPr>
            <w:rStyle w:val="Hiperhivatkozs"/>
            <w:rFonts w:ascii="Times New Roman" w:hAnsi="Times New Roman" w:cs="Times New Roman"/>
            <w:color w:val="auto"/>
            <w:sz w:val="24"/>
            <w:szCs w:val="24"/>
          </w:rPr>
          <w:t>http://ec.europa.eu/consumers/consumer_evidence/market_studies/docs/green-claims-report.pdf</w:t>
        </w:r>
      </w:hyperlink>
    </w:p>
    <w:p w:rsidR="00305434" w:rsidRPr="00BB6837" w:rsidRDefault="00305434" w:rsidP="00E63F93">
      <w:pPr>
        <w:jc w:val="both"/>
        <w:rPr>
          <w:rFonts w:ascii="Times New Roman" w:hAnsi="Times New Roman" w:cs="Times New Roman"/>
          <w:i/>
          <w:sz w:val="24"/>
          <w:szCs w:val="24"/>
        </w:rPr>
      </w:pPr>
    </w:p>
    <w:p w:rsidR="00B35C24" w:rsidRPr="00BB6837" w:rsidRDefault="00305434" w:rsidP="00E63F93">
      <w:pPr>
        <w:jc w:val="both"/>
        <w:rPr>
          <w:rFonts w:ascii="Times New Roman" w:hAnsi="Times New Roman" w:cs="Times New Roman"/>
          <w:i/>
          <w:sz w:val="24"/>
          <w:szCs w:val="24"/>
        </w:rPr>
      </w:pPr>
      <w:r w:rsidRPr="00BB6837">
        <w:rPr>
          <w:rFonts w:ascii="Times New Roman" w:hAnsi="Times New Roman" w:cs="Times New Roman"/>
          <w:i/>
          <w:sz w:val="24"/>
          <w:szCs w:val="24"/>
        </w:rPr>
        <w:t xml:space="preserve">Optional: </w:t>
      </w:r>
      <w:r w:rsidR="00B35C24" w:rsidRPr="00BB6837">
        <w:rPr>
          <w:rFonts w:ascii="Times New Roman" w:hAnsi="Times New Roman" w:cs="Times New Roman"/>
          <w:i/>
          <w:sz w:val="24"/>
          <w:szCs w:val="24"/>
        </w:rPr>
        <w:t>Cosmetics Europe</w:t>
      </w:r>
      <w:r w:rsidRPr="00BB6837">
        <w:rPr>
          <w:rFonts w:ascii="Times New Roman" w:hAnsi="Times New Roman" w:cs="Times New Roman"/>
          <w:i/>
          <w:sz w:val="24"/>
          <w:szCs w:val="24"/>
        </w:rPr>
        <w:t xml:space="preserve"> homepage, see links to documents and videos on the right side, i.e.</w:t>
      </w:r>
      <w:r w:rsidR="00B35C24" w:rsidRPr="00BB6837">
        <w:rPr>
          <w:rFonts w:ascii="Times New Roman" w:hAnsi="Times New Roman" w:cs="Times New Roman"/>
          <w:i/>
          <w:sz w:val="24"/>
          <w:szCs w:val="24"/>
        </w:rPr>
        <w:t>:</w:t>
      </w:r>
    </w:p>
    <w:p w:rsidR="00B35C24" w:rsidRPr="00BB6837" w:rsidRDefault="00F160B8" w:rsidP="00E63F93">
      <w:pPr>
        <w:jc w:val="both"/>
        <w:rPr>
          <w:rFonts w:ascii="Times New Roman" w:hAnsi="Times New Roman" w:cs="Times New Roman"/>
          <w:sz w:val="24"/>
          <w:szCs w:val="24"/>
        </w:rPr>
      </w:pPr>
      <w:hyperlink r:id="rId19" w:history="1">
        <w:r w:rsidR="00B35C24" w:rsidRPr="00BB6837">
          <w:rPr>
            <w:rStyle w:val="Hiperhivatkozs"/>
            <w:rFonts w:ascii="Times New Roman" w:hAnsi="Times New Roman" w:cs="Times New Roman"/>
            <w:color w:val="auto"/>
            <w:sz w:val="24"/>
            <w:szCs w:val="24"/>
          </w:rPr>
          <w:t>https://www.cosmeticseurope.eu/cosmetics-industry/</w:t>
        </w:r>
      </w:hyperlink>
    </w:p>
    <w:p w:rsidR="00305434" w:rsidRPr="00BB6837" w:rsidRDefault="00F160B8" w:rsidP="00E63F93">
      <w:pPr>
        <w:jc w:val="both"/>
        <w:rPr>
          <w:rFonts w:ascii="Times New Roman" w:hAnsi="Times New Roman" w:cs="Times New Roman"/>
          <w:sz w:val="24"/>
          <w:szCs w:val="24"/>
        </w:rPr>
      </w:pPr>
      <w:hyperlink r:id="rId20" w:history="1">
        <w:r w:rsidR="00305434" w:rsidRPr="00BB6837">
          <w:rPr>
            <w:rStyle w:val="Hiperhivatkozs"/>
            <w:rFonts w:ascii="Times New Roman" w:hAnsi="Times New Roman" w:cs="Times New Roman"/>
            <w:color w:val="auto"/>
            <w:sz w:val="24"/>
            <w:szCs w:val="24"/>
          </w:rPr>
          <w:t>https://www.cosmeticseurope.eu/files/4214/6521/4452/GSP_Brochure.pdf</w:t>
        </w:r>
      </w:hyperlink>
    </w:p>
    <w:p w:rsidR="00305434" w:rsidRPr="00BB6837" w:rsidRDefault="00305434" w:rsidP="00E63F93">
      <w:pPr>
        <w:jc w:val="both"/>
        <w:rPr>
          <w:rFonts w:ascii="Times New Roman" w:hAnsi="Times New Roman" w:cs="Times New Roman"/>
          <w:sz w:val="24"/>
          <w:szCs w:val="24"/>
        </w:rPr>
      </w:pPr>
    </w:p>
    <w:p w:rsidR="00B35C24" w:rsidRPr="00BB6837" w:rsidRDefault="00884B14" w:rsidP="00E63F93">
      <w:pPr>
        <w:spacing w:before="100" w:beforeAutospacing="1" w:after="100" w:afterAutospacing="1" w:line="240" w:lineRule="auto"/>
        <w:jc w:val="both"/>
        <w:rPr>
          <w:rFonts w:ascii="Times New Roman" w:eastAsia="Times New Roman" w:hAnsi="Times New Roman" w:cs="Times New Roman"/>
          <w:sz w:val="24"/>
          <w:szCs w:val="24"/>
          <w:u w:val="single"/>
        </w:rPr>
      </w:pPr>
      <w:r w:rsidRPr="00BB6837">
        <w:rPr>
          <w:rFonts w:ascii="Times New Roman" w:eastAsia="Times New Roman" w:hAnsi="Times New Roman" w:cs="Times New Roman"/>
          <w:sz w:val="24"/>
          <w:szCs w:val="24"/>
          <w:u w:val="single"/>
        </w:rPr>
        <w:t>Grading</w:t>
      </w:r>
    </w:p>
    <w:p w:rsidR="00B35C24" w:rsidRPr="00BB6837" w:rsidRDefault="00884B14" w:rsidP="00E63F93">
      <w:pPr>
        <w:jc w:val="both"/>
        <w:rPr>
          <w:rFonts w:ascii="Times New Roman" w:hAnsi="Times New Roman" w:cs="Times New Roman"/>
          <w:sz w:val="24"/>
          <w:szCs w:val="24"/>
        </w:rPr>
      </w:pPr>
      <w:r w:rsidRPr="00BB6837">
        <w:rPr>
          <w:rFonts w:ascii="Times New Roman" w:hAnsi="Times New Roman" w:cs="Times New Roman"/>
          <w:sz w:val="24"/>
          <w:szCs w:val="24"/>
        </w:rPr>
        <w:t>Students will write an open book test at the last lecture which will take about 30-40 minutes and will include some basic facts related questions and a problem/case solving exercise. (60%)</w:t>
      </w:r>
    </w:p>
    <w:p w:rsidR="00884B14" w:rsidRPr="00BB6837" w:rsidRDefault="00884B14" w:rsidP="00E63F93">
      <w:pPr>
        <w:jc w:val="both"/>
        <w:rPr>
          <w:rFonts w:ascii="Times New Roman" w:hAnsi="Times New Roman" w:cs="Times New Roman"/>
          <w:sz w:val="24"/>
          <w:szCs w:val="24"/>
        </w:rPr>
      </w:pPr>
      <w:r w:rsidRPr="00BB6837">
        <w:rPr>
          <w:rFonts w:ascii="Times New Roman" w:hAnsi="Times New Roman" w:cs="Times New Roman"/>
          <w:sz w:val="24"/>
          <w:szCs w:val="24"/>
        </w:rPr>
        <w:t xml:space="preserve">Presence, activity in class room, including responses to assignments before the lecture day will also be taken into account. (40%) </w:t>
      </w:r>
    </w:p>
    <w:p w:rsidR="00884B14" w:rsidRPr="00BB6837" w:rsidRDefault="00884B14" w:rsidP="00E63F93">
      <w:pPr>
        <w:jc w:val="both"/>
        <w:rPr>
          <w:rFonts w:ascii="Times New Roman" w:hAnsi="Times New Roman" w:cs="Times New Roman"/>
          <w:sz w:val="24"/>
          <w:szCs w:val="24"/>
        </w:rPr>
      </w:pPr>
    </w:p>
    <w:p w:rsidR="00B35C24" w:rsidRPr="00BB6837" w:rsidRDefault="00B35C24" w:rsidP="00E63F93">
      <w:pPr>
        <w:jc w:val="both"/>
        <w:rPr>
          <w:rFonts w:ascii="Times New Roman" w:hAnsi="Times New Roman" w:cs="Times New Roman"/>
          <w:sz w:val="24"/>
          <w:szCs w:val="24"/>
        </w:rPr>
      </w:pPr>
    </w:p>
    <w:sectPr w:rsidR="00B35C24" w:rsidRPr="00BB6837">
      <w:footerReference w:type="default" r:id="rId2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03A" w:rsidRDefault="0042003A" w:rsidP="0006569C">
      <w:pPr>
        <w:spacing w:after="0" w:line="240" w:lineRule="auto"/>
      </w:pPr>
      <w:r>
        <w:separator/>
      </w:r>
    </w:p>
  </w:endnote>
  <w:endnote w:type="continuationSeparator" w:id="0">
    <w:p w:rsidR="0042003A" w:rsidRDefault="0042003A" w:rsidP="0006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Fira Sans">
    <w:altName w:val="Times New Roman"/>
    <w:charset w:val="00"/>
    <w:family w:val="auto"/>
    <w:pitch w:val="default"/>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804287"/>
      <w:docPartObj>
        <w:docPartGallery w:val="Page Numbers (Bottom of Page)"/>
        <w:docPartUnique/>
      </w:docPartObj>
    </w:sdtPr>
    <w:sdtEndPr>
      <w:rPr>
        <w:noProof/>
      </w:rPr>
    </w:sdtEndPr>
    <w:sdtContent>
      <w:p w:rsidR="0006569C" w:rsidRDefault="0006569C">
        <w:pPr>
          <w:pStyle w:val="llb"/>
          <w:jc w:val="center"/>
        </w:pPr>
        <w:r>
          <w:fldChar w:fldCharType="begin"/>
        </w:r>
        <w:r>
          <w:instrText xml:space="preserve"> PAGE   \* MERGEFORMAT </w:instrText>
        </w:r>
        <w:r>
          <w:fldChar w:fldCharType="separate"/>
        </w:r>
        <w:r w:rsidR="00F160B8">
          <w:rPr>
            <w:noProof/>
          </w:rPr>
          <w:t>3</w:t>
        </w:r>
        <w:r>
          <w:rPr>
            <w:noProof/>
          </w:rPr>
          <w:fldChar w:fldCharType="end"/>
        </w:r>
      </w:p>
    </w:sdtContent>
  </w:sdt>
  <w:p w:rsidR="0006569C" w:rsidRDefault="0006569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03A" w:rsidRDefault="0042003A" w:rsidP="0006569C">
      <w:pPr>
        <w:spacing w:after="0" w:line="240" w:lineRule="auto"/>
      </w:pPr>
      <w:r>
        <w:separator/>
      </w:r>
    </w:p>
  </w:footnote>
  <w:footnote w:type="continuationSeparator" w:id="0">
    <w:p w:rsidR="0042003A" w:rsidRDefault="0042003A" w:rsidP="0006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5119E"/>
    <w:multiLevelType w:val="hybridMultilevel"/>
    <w:tmpl w:val="8564B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240C77"/>
    <w:multiLevelType w:val="hybridMultilevel"/>
    <w:tmpl w:val="7EFE3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07E"/>
    <w:rsid w:val="0006569C"/>
    <w:rsid w:val="0011490B"/>
    <w:rsid w:val="001501E1"/>
    <w:rsid w:val="001F307E"/>
    <w:rsid w:val="00305434"/>
    <w:rsid w:val="0042003A"/>
    <w:rsid w:val="0053373E"/>
    <w:rsid w:val="006B4253"/>
    <w:rsid w:val="006D3349"/>
    <w:rsid w:val="00884B14"/>
    <w:rsid w:val="00A616B4"/>
    <w:rsid w:val="00B35C24"/>
    <w:rsid w:val="00BB6837"/>
    <w:rsid w:val="00DE03BD"/>
    <w:rsid w:val="00E10002"/>
    <w:rsid w:val="00E63F93"/>
    <w:rsid w:val="00F16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04A76"/>
  <w15:docId w15:val="{6B04D51B-E3BE-442D-8842-FB221885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5">
    <w:name w:val="heading 5"/>
    <w:basedOn w:val="Norml"/>
    <w:link w:val="Cmsor5Char"/>
    <w:uiPriority w:val="9"/>
    <w:qFormat/>
    <w:rsid w:val="0011490B"/>
    <w:pPr>
      <w:spacing w:before="100" w:beforeAutospacing="1" w:after="100" w:afterAutospacing="1" w:line="240" w:lineRule="auto"/>
      <w:outlineLvl w:val="4"/>
    </w:pPr>
    <w:rPr>
      <w:rFonts w:ascii="Fira Sans" w:eastAsia="Times New Roman" w:hAnsi="Fira Sans" w:cs="Times New Roman"/>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1F307E"/>
    <w:rPr>
      <w:color w:val="0000FF" w:themeColor="hyperlink"/>
      <w:u w:val="single"/>
    </w:rPr>
  </w:style>
  <w:style w:type="character" w:customStyle="1" w:styleId="Cmsor5Char">
    <w:name w:val="Címsor 5 Char"/>
    <w:basedOn w:val="Bekezdsalapbettpusa"/>
    <w:link w:val="Cmsor5"/>
    <w:uiPriority w:val="9"/>
    <w:rsid w:val="0011490B"/>
    <w:rPr>
      <w:rFonts w:ascii="Fira Sans" w:eastAsia="Times New Roman" w:hAnsi="Fira Sans" w:cs="Times New Roman"/>
      <w:sz w:val="20"/>
      <w:szCs w:val="20"/>
    </w:rPr>
  </w:style>
  <w:style w:type="paragraph" w:styleId="NormlWeb">
    <w:name w:val="Normal (Web)"/>
    <w:basedOn w:val="Norml"/>
    <w:uiPriority w:val="99"/>
    <w:semiHidden/>
    <w:unhideWhenUsed/>
    <w:rsid w:val="001149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35C24"/>
    <w:pPr>
      <w:autoSpaceDE w:val="0"/>
      <w:autoSpaceDN w:val="0"/>
      <w:adjustRightInd w:val="0"/>
      <w:spacing w:after="0" w:line="240" w:lineRule="auto"/>
    </w:pPr>
    <w:rPr>
      <w:rFonts w:ascii="Times New Roman" w:hAnsi="Times New Roman" w:cs="Times New Roman"/>
      <w:color w:val="000000"/>
      <w:sz w:val="24"/>
      <w:szCs w:val="24"/>
    </w:rPr>
  </w:style>
  <w:style w:type="character" w:styleId="Mrltotthiperhivatkozs">
    <w:name w:val="FollowedHyperlink"/>
    <w:basedOn w:val="Bekezdsalapbettpusa"/>
    <w:uiPriority w:val="99"/>
    <w:semiHidden/>
    <w:unhideWhenUsed/>
    <w:rsid w:val="00305434"/>
    <w:rPr>
      <w:color w:val="800080" w:themeColor="followedHyperlink"/>
      <w:u w:val="single"/>
    </w:rPr>
  </w:style>
  <w:style w:type="paragraph" w:styleId="Listaszerbekezds">
    <w:name w:val="List Paragraph"/>
    <w:basedOn w:val="Norml"/>
    <w:uiPriority w:val="34"/>
    <w:qFormat/>
    <w:rsid w:val="00E63F93"/>
    <w:pPr>
      <w:ind w:left="720"/>
      <w:contextualSpacing/>
    </w:pPr>
  </w:style>
  <w:style w:type="paragraph" w:styleId="lfej">
    <w:name w:val="header"/>
    <w:basedOn w:val="Norml"/>
    <w:link w:val="lfejChar"/>
    <w:uiPriority w:val="99"/>
    <w:unhideWhenUsed/>
    <w:rsid w:val="0006569C"/>
    <w:pPr>
      <w:tabs>
        <w:tab w:val="center" w:pos="4703"/>
        <w:tab w:val="right" w:pos="9406"/>
      </w:tabs>
      <w:spacing w:after="0" w:line="240" w:lineRule="auto"/>
    </w:pPr>
  </w:style>
  <w:style w:type="character" w:customStyle="1" w:styleId="lfejChar">
    <w:name w:val="Élőfej Char"/>
    <w:basedOn w:val="Bekezdsalapbettpusa"/>
    <w:link w:val="lfej"/>
    <w:uiPriority w:val="99"/>
    <w:rsid w:val="0006569C"/>
  </w:style>
  <w:style w:type="paragraph" w:styleId="llb">
    <w:name w:val="footer"/>
    <w:basedOn w:val="Norml"/>
    <w:link w:val="llbChar"/>
    <w:uiPriority w:val="99"/>
    <w:unhideWhenUsed/>
    <w:rsid w:val="0006569C"/>
    <w:pPr>
      <w:tabs>
        <w:tab w:val="center" w:pos="4703"/>
        <w:tab w:val="right" w:pos="9406"/>
      </w:tabs>
      <w:spacing w:after="0" w:line="240" w:lineRule="auto"/>
    </w:pPr>
  </w:style>
  <w:style w:type="character" w:customStyle="1" w:styleId="llbChar">
    <w:name w:val="Élőláb Char"/>
    <w:basedOn w:val="Bekezdsalapbettpusa"/>
    <w:link w:val="llb"/>
    <w:uiPriority w:val="99"/>
    <w:rsid w:val="00065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323164">
      <w:bodyDiv w:val="1"/>
      <w:marLeft w:val="0"/>
      <w:marRight w:val="0"/>
      <w:marTop w:val="0"/>
      <w:marBottom w:val="0"/>
      <w:divBdr>
        <w:top w:val="none" w:sz="0" w:space="0" w:color="auto"/>
        <w:left w:val="none" w:sz="0" w:space="0" w:color="auto"/>
        <w:bottom w:val="none" w:sz="0" w:space="0" w:color="auto"/>
        <w:right w:val="none" w:sz="0" w:space="0" w:color="auto"/>
      </w:divBdr>
      <w:divsChild>
        <w:div w:id="1643998778">
          <w:marLeft w:val="0"/>
          <w:marRight w:val="0"/>
          <w:marTop w:val="0"/>
          <w:marBottom w:val="0"/>
          <w:divBdr>
            <w:top w:val="none" w:sz="0" w:space="0" w:color="auto"/>
            <w:left w:val="none" w:sz="0" w:space="0" w:color="auto"/>
            <w:bottom w:val="none" w:sz="0" w:space="0" w:color="auto"/>
            <w:right w:val="none" w:sz="0" w:space="0" w:color="auto"/>
          </w:divBdr>
          <w:divsChild>
            <w:div w:id="476848149">
              <w:marLeft w:val="0"/>
              <w:marRight w:val="0"/>
              <w:marTop w:val="0"/>
              <w:marBottom w:val="0"/>
              <w:divBdr>
                <w:top w:val="none" w:sz="0" w:space="0" w:color="auto"/>
                <w:left w:val="none" w:sz="0" w:space="0" w:color="auto"/>
                <w:bottom w:val="none" w:sz="0" w:space="0" w:color="auto"/>
                <w:right w:val="none" w:sz="0" w:space="0" w:color="auto"/>
              </w:divBdr>
              <w:divsChild>
                <w:div w:id="575551789">
                  <w:marLeft w:val="0"/>
                  <w:marRight w:val="0"/>
                  <w:marTop w:val="0"/>
                  <w:marBottom w:val="0"/>
                  <w:divBdr>
                    <w:top w:val="none" w:sz="0" w:space="0" w:color="auto"/>
                    <w:left w:val="none" w:sz="0" w:space="0" w:color="auto"/>
                    <w:bottom w:val="none" w:sz="0" w:space="0" w:color="auto"/>
                    <w:right w:val="none" w:sz="0" w:space="0" w:color="auto"/>
                  </w:divBdr>
                  <w:divsChild>
                    <w:div w:id="5107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k.ppke.hu/en/teaching/faculty-members-and-researchers/toth-tihamer-208a0" TargetMode="External"/><Relationship Id="rId13" Type="http://schemas.openxmlformats.org/officeDocument/2006/relationships/hyperlink" Target="http://ec.europa.eu/competition/speeches/text/sp2001_015_en.pdf" TargetMode="External"/><Relationship Id="rId18" Type="http://schemas.openxmlformats.org/officeDocument/2006/relationships/hyperlink" Target="http://ec.europa.eu/consumers/consumer_evidence/market_studies/docs/green-claims-report.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toth.tihamer@jak.ppke.hu" TargetMode="External"/><Relationship Id="rId12" Type="http://schemas.openxmlformats.org/officeDocument/2006/relationships/hyperlink" Target="https://www.gov.uk/government/uploads/system/uploads/attachment_data/file/443686/BIS-15-417-state-aid-the-basics-guide.pdf" TargetMode="External"/><Relationship Id="rId17" Type="http://schemas.openxmlformats.org/officeDocument/2006/relationships/hyperlink" Target="http://unctad.org/en/PublicationsLibrary/ditccplpmisc2016d1_en.pdf" TargetMode="External"/><Relationship Id="rId2" Type="http://schemas.openxmlformats.org/officeDocument/2006/relationships/styles" Target="styles.xml"/><Relationship Id="rId16" Type="http://schemas.openxmlformats.org/officeDocument/2006/relationships/hyperlink" Target="http://ec.europa.eu/justice/consumer-marketing/files/ucp_guidance_en.pdf" TargetMode="External"/><Relationship Id="rId20" Type="http://schemas.openxmlformats.org/officeDocument/2006/relationships/hyperlink" Target="https://www.cosmeticseurope.eu/files/4214/6521/4452/GSP_Brochur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15277/National_State_Aid_Law_Requirements.pdf" TargetMode="External"/><Relationship Id="rId5" Type="http://schemas.openxmlformats.org/officeDocument/2006/relationships/footnotes" Target="footnotes.xml"/><Relationship Id="rId15" Type="http://schemas.openxmlformats.org/officeDocument/2006/relationships/hyperlink" Target="http://eur-lex.europa.eu/legal-content/EN/TXT/PDF/?uri=CELEX:32005L0029&amp;from=en" TargetMode="External"/><Relationship Id="rId23" Type="http://schemas.openxmlformats.org/officeDocument/2006/relationships/theme" Target="theme/theme1.xml"/><Relationship Id="rId10" Type="http://schemas.openxmlformats.org/officeDocument/2006/relationships/hyperlink" Target="http://europa.eu/rapid/press-release_IP-16-3116_en.htm" TargetMode="External"/><Relationship Id="rId19" Type="http://schemas.openxmlformats.org/officeDocument/2006/relationships/hyperlink" Target="https://www.cosmeticseurope.eu/cosmetics-industry/" TargetMode="External"/><Relationship Id="rId4" Type="http://schemas.openxmlformats.org/officeDocument/2006/relationships/webSettings" Target="webSettings.xml"/><Relationship Id="rId9" Type="http://schemas.openxmlformats.org/officeDocument/2006/relationships/hyperlink" Target="http://eur-lex.europa.eu/legal-content/EN/TXT/PDF/?uri=CELEX:52011XC0114(04)&amp;from=EN" TargetMode="External"/><Relationship Id="rId14" Type="http://schemas.openxmlformats.org/officeDocument/2006/relationships/hyperlink" Target="http://ec.europa.eu/competition/publications/cpb/2014/016_en.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5127</Characters>
  <Application>Microsoft Office Word</Application>
  <DocSecurity>0</DocSecurity>
  <Lines>42</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Dentons</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Tihamer Toth</dc:creator>
  <cp:lastModifiedBy>Pollák Zsuzsanna</cp:lastModifiedBy>
  <cp:revision>2</cp:revision>
  <dcterms:created xsi:type="dcterms:W3CDTF">2017-06-02T16:38:00Z</dcterms:created>
  <dcterms:modified xsi:type="dcterms:W3CDTF">2017-06-02T16:38:00Z</dcterms:modified>
</cp:coreProperties>
</file>