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90" w:rsidRDefault="004251D5">
      <w:pPr>
        <w:jc w:val="center"/>
      </w:pPr>
      <w:r>
        <w:rPr>
          <w:b/>
          <w:bCs/>
          <w:sz w:val="28"/>
          <w:szCs w:val="28"/>
        </w:rPr>
        <w:t xml:space="preserve">Közigazgatási jog IV. </w:t>
      </w:r>
    </w:p>
    <w:p w:rsidR="006B7D90" w:rsidRDefault="004251D5">
      <w:pPr>
        <w:jc w:val="center"/>
      </w:pPr>
      <w:r>
        <w:rPr>
          <w:b/>
          <w:bCs/>
        </w:rPr>
        <w:t>(Jogász szak) 2017/2018. tanév II. félév</w:t>
      </w:r>
    </w:p>
    <w:p w:rsidR="006B7D90" w:rsidRDefault="006B7D90"/>
    <w:p w:rsidR="006B7D90" w:rsidRDefault="004251D5">
      <w:r>
        <w:t>A Közigazgatási jog IV. tantárgy két – A és B – részből áll, melyeket külön órákon (nappali tagozaton a Közigazgatási jog IV-A tárgyat hétfőn reggel, a Közigazgatási jog IV-B tárgyat szerdán</w:t>
      </w:r>
      <w:r>
        <w:t xml:space="preserve"> délben, levelező tagozaton az órarend szerint) tanítjuk. A Közigazgatási jog IV-B tárgyat ebben a félévben tanítjuk először, az írásbeli tananyag ehhez várhatóan a félév második felében ingyenesen letölthető e-könyv formájában lesz elérhető. A tananyag el</w:t>
      </w:r>
      <w:r>
        <w:t>sajátítása önmagában ezért is intenzívebb előadás-látogatást igényel. A vizsga egységes, mindkét részt tudni kell. A megajánlott jegyeket az első órán meghatározott feltételekkel a két részből külön-külön lehet megszerezni, tehát lehetséges az is, hogy a v</w:t>
      </w:r>
      <w:r>
        <w:t>égleges jegybe csak az egyik részből megszerzett megajánlott jegyet számítjuk be.</w:t>
      </w:r>
    </w:p>
    <w:p w:rsidR="006B7D90" w:rsidRDefault="006B7D90"/>
    <w:p w:rsidR="006B7D90" w:rsidRDefault="004251D5">
      <w:pPr>
        <w:jc w:val="center"/>
      </w:pPr>
      <w:r>
        <w:rPr>
          <w:b/>
          <w:bCs/>
        </w:rPr>
        <w:t>Közigazgatási jog IV-A.</w:t>
      </w:r>
    </w:p>
    <w:p w:rsidR="006B7D90" w:rsidRDefault="006B7D90">
      <w:pPr>
        <w:jc w:val="both"/>
      </w:pPr>
    </w:p>
    <w:p w:rsidR="006B7D90" w:rsidRDefault="004251D5">
      <w:pPr>
        <w:jc w:val="both"/>
      </w:pPr>
      <w:r>
        <w:rPr>
          <w:b/>
          <w:bCs/>
        </w:rPr>
        <w:t>Előadás helye, időpontja:</w:t>
      </w:r>
      <w:r>
        <w:t xml:space="preserve"> E1 előadó (Prof. Dr. </w:t>
      </w:r>
      <w:proofErr w:type="spellStart"/>
      <w:r>
        <w:t>Zlinszky</w:t>
      </w:r>
      <w:proofErr w:type="spellEnd"/>
      <w:r>
        <w:t xml:space="preserve"> János terem), hétfő 8.00-10.00</w:t>
      </w:r>
    </w:p>
    <w:p w:rsidR="006B7D90" w:rsidRDefault="004251D5">
      <w:pPr>
        <w:jc w:val="both"/>
      </w:pPr>
      <w:r>
        <w:rPr>
          <w:b/>
          <w:bCs/>
        </w:rPr>
        <w:t>Tantárgyfelelős:</w:t>
      </w:r>
      <w:r>
        <w:t xml:space="preserve"> Gerencsér Balázs egyetemi docens</w:t>
      </w:r>
    </w:p>
    <w:p w:rsidR="006B7D90" w:rsidRDefault="006B7D90">
      <w:pPr>
        <w:rPr>
          <w:b/>
          <w:bCs/>
          <w:u w:val="single"/>
        </w:rPr>
      </w:pPr>
    </w:p>
    <w:p w:rsidR="006B7D90" w:rsidRDefault="004251D5">
      <w:r>
        <w:rPr>
          <w:b/>
          <w:bCs/>
          <w:u w:val="single"/>
        </w:rPr>
        <w:t>Előadás-te</w:t>
      </w:r>
      <w:r>
        <w:rPr>
          <w:b/>
          <w:bCs/>
          <w:u w:val="single"/>
        </w:rPr>
        <w:t>matika</w:t>
      </w:r>
    </w:p>
    <w:p w:rsidR="006B7D90" w:rsidRDefault="006B7D90"/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12.</w:t>
      </w:r>
    </w:p>
    <w:p w:rsidR="006B7D90" w:rsidRDefault="004251D5">
      <w:pPr>
        <w:pStyle w:val="Szvegtrzsbehzsa"/>
        <w:ind w:left="0"/>
        <w:jc w:val="both"/>
      </w:pPr>
      <w:r>
        <w:t>Jogösszehasonlító módszer a közigazgatásban</w:t>
      </w:r>
    </w:p>
    <w:p w:rsidR="006B7D90" w:rsidRDefault="006B7D90">
      <w:pPr>
        <w:pStyle w:val="Szvegtrzsbehzsa"/>
        <w:ind w:left="0"/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19.</w:t>
      </w:r>
    </w:p>
    <w:p w:rsidR="006B7D90" w:rsidRDefault="004251D5">
      <w:pPr>
        <w:pStyle w:val="Szvegtrzs"/>
      </w:pPr>
      <w:r>
        <w:t xml:space="preserve">Központi közigazgatási rendszerek 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26.</w:t>
      </w:r>
    </w:p>
    <w:p w:rsidR="006B7D90" w:rsidRDefault="004251D5">
      <w:pPr>
        <w:pStyle w:val="Szvegtrzs"/>
      </w:pPr>
      <w:r>
        <w:t xml:space="preserve">Területi közigazgatási rendszerek, a „metropolisz” jelenség 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5.</w:t>
      </w:r>
    </w:p>
    <w:p w:rsidR="006B7D90" w:rsidRDefault="004251D5">
      <w:pPr>
        <w:jc w:val="both"/>
      </w:pPr>
      <w:r>
        <w:t>Eljárásjog Európa egyes államaiban – kitekintés az Egyesül</w:t>
      </w:r>
      <w:r>
        <w:t>t Államokra</w:t>
      </w:r>
    </w:p>
    <w:p w:rsidR="006B7D90" w:rsidRDefault="006B7D90">
      <w:pPr>
        <w:pStyle w:val="Szvegtrzs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12. </w:t>
      </w:r>
    </w:p>
    <w:p w:rsidR="006B7D90" w:rsidRDefault="004251D5">
      <w:pPr>
        <w:jc w:val="both"/>
      </w:pPr>
      <w:r>
        <w:t>Az európai közös közigazgatási gondolkodás kezdetei: Európai Közigazgatási Térség (EAS)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19.</w:t>
      </w:r>
    </w:p>
    <w:p w:rsidR="006B7D90" w:rsidRDefault="004251D5">
      <w:pPr>
        <w:jc w:val="both"/>
      </w:pPr>
      <w:r>
        <w:t xml:space="preserve">Európai Közigazgatási Jog – van-e </w:t>
      </w:r>
      <w:proofErr w:type="gramStart"/>
      <w:r>
        <w:t>ilyen</w:t>
      </w:r>
      <w:proofErr w:type="gramEnd"/>
      <w:r>
        <w:t xml:space="preserve"> és ha nincs, miért mégis?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9.</w:t>
      </w:r>
    </w:p>
    <w:p w:rsidR="006B7D90" w:rsidRDefault="004251D5">
      <w:pPr>
        <w:jc w:val="both"/>
      </w:pPr>
      <w:r>
        <w:t xml:space="preserve">Tagállam és az Európai Unió közötti közigazgatás </w:t>
      </w:r>
      <w:r>
        <w:t>kapcsolódási pontjai – kint és bent a Mátrixban.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16.</w:t>
      </w:r>
    </w:p>
    <w:p w:rsidR="006B7D90" w:rsidRDefault="004251D5">
      <w:pPr>
        <w:jc w:val="both"/>
      </w:pPr>
      <w:r>
        <w:t>Statisztikai területi nomenklatúra, azaz a NUTS fogalma és jelentősége</w:t>
      </w:r>
    </w:p>
    <w:p w:rsidR="006B7D90" w:rsidRDefault="006B7D90">
      <w:pPr>
        <w:jc w:val="both"/>
      </w:pPr>
    </w:p>
    <w:p w:rsidR="006B7D90" w:rsidRDefault="006B7D90">
      <w:pPr>
        <w:jc w:val="both"/>
      </w:pP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23.</w:t>
      </w:r>
    </w:p>
    <w:p w:rsidR="006B7D90" w:rsidRDefault="004251D5">
      <w:pPr>
        <w:jc w:val="both"/>
      </w:pPr>
      <w:r>
        <w:t xml:space="preserve">Uniós kormányzati koordináció – I. 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lastRenderedPageBreak/>
        <w:t>május</w:t>
      </w:r>
      <w:proofErr w:type="gramEnd"/>
      <w:r>
        <w:rPr>
          <w:b/>
          <w:bCs/>
        </w:rPr>
        <w:t xml:space="preserve"> 7.</w:t>
      </w:r>
    </w:p>
    <w:p w:rsidR="006B7D90" w:rsidRDefault="004251D5">
      <w:pPr>
        <w:jc w:val="both"/>
      </w:pPr>
      <w:r>
        <w:t xml:space="preserve">Uniós kormányzati koordináció – II. 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május</w:t>
      </w:r>
      <w:proofErr w:type="gramEnd"/>
      <w:r>
        <w:rPr>
          <w:b/>
          <w:bCs/>
        </w:rPr>
        <w:t xml:space="preserve"> 14.</w:t>
      </w:r>
    </w:p>
    <w:p w:rsidR="006B7D90" w:rsidRDefault="004251D5">
      <w:pPr>
        <w:jc w:val="both"/>
      </w:pPr>
      <w:r>
        <w:t>Konzultáció</w:t>
      </w:r>
    </w:p>
    <w:p w:rsidR="006B7D90" w:rsidRDefault="006B7D90">
      <w:pPr>
        <w:jc w:val="both"/>
      </w:pPr>
    </w:p>
    <w:p w:rsidR="006B7D90" w:rsidRDefault="004251D5">
      <w:pPr>
        <w:jc w:val="both"/>
      </w:pPr>
      <w:r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kötelező tananyag:</w:t>
      </w:r>
    </w:p>
    <w:p w:rsidR="006B7D90" w:rsidRDefault="004251D5">
      <w:pPr>
        <w:jc w:val="both"/>
      </w:pPr>
      <w:r>
        <w:t>1.) Gerencsér Balázs (</w:t>
      </w:r>
      <w:proofErr w:type="spellStart"/>
      <w:r>
        <w:t>szerk</w:t>
      </w:r>
      <w:proofErr w:type="spellEnd"/>
      <w:r>
        <w:t>): Összehasonlító és Európai Uniós Közigazgatási Jog - Közigazgatási jog IV. Pázmány Press, 2015.</w:t>
      </w:r>
    </w:p>
    <w:p w:rsidR="006B7D90" w:rsidRDefault="004251D5">
      <w:pPr>
        <w:jc w:val="both"/>
      </w:pPr>
      <w:r>
        <w:t>2) Az Európai Parlament és a Tanács 1059/2003/EK Rendelete (2003. május 26.) a statisztikai célú területi egysé</w:t>
      </w:r>
      <w:r>
        <w:t>gek nómenklatúrájának (NUTS) létrehozásáról.</w:t>
      </w:r>
    </w:p>
    <w:p w:rsidR="006B7D90" w:rsidRDefault="004251D5">
      <w:pPr>
        <w:jc w:val="both"/>
      </w:pPr>
      <w:r>
        <w:t>3) A Bizottság jelentése az Európai Parlamentnek és a Tanácsnak a NUTS-rendelet végrehajtásáról (1059/2003/EK rendelet)</w:t>
      </w:r>
    </w:p>
    <w:p w:rsidR="006B7D90" w:rsidRDefault="004251D5">
      <w:pPr>
        <w:jc w:val="both"/>
      </w:pPr>
      <w:r>
        <w:t>4) 1169/2010. (VIII. 18.) Korm. határozat az Európai Unió döntéshozatali tevékenységében va</w:t>
      </w:r>
      <w:r>
        <w:t xml:space="preserve">ló kormányzati részvétel összehangolásáról és az Európai Koordinációs Tárcaközi Bizottságról </w:t>
      </w:r>
    </w:p>
    <w:p w:rsidR="006B7D90" w:rsidRDefault="004251D5">
      <w:pPr>
        <w:jc w:val="both"/>
      </w:pPr>
      <w:r>
        <w:t>5) 152/2014. (VI. 6.) Korm. rendelet a Kormány tagjainak feladat- és hatásköréről:</w:t>
      </w:r>
    </w:p>
    <w:p w:rsidR="006B7D90" w:rsidRDefault="004251D5">
      <w:pPr>
        <w:jc w:val="both"/>
      </w:pPr>
      <w:r>
        <w:t>• Miniszterelnökség: 4.§, 11/A.§, 12.§ (korábbi KÜM koordinációs hatáskör)</w:t>
      </w:r>
    </w:p>
    <w:p w:rsidR="006B7D90" w:rsidRDefault="004251D5">
      <w:pPr>
        <w:jc w:val="both"/>
      </w:pPr>
      <w:r>
        <w:t>• FM</w:t>
      </w:r>
      <w:r>
        <w:t>: 66.§</w:t>
      </w:r>
    </w:p>
    <w:p w:rsidR="006B7D90" w:rsidRDefault="004251D5">
      <w:pPr>
        <w:jc w:val="both"/>
      </w:pPr>
      <w:r>
        <w:t>• IM: 82.§ (8)</w:t>
      </w:r>
    </w:p>
    <w:p w:rsidR="006B7D90" w:rsidRDefault="004251D5">
      <w:pPr>
        <w:jc w:val="both"/>
      </w:pPr>
      <w:r>
        <w:t xml:space="preserve">• </w:t>
      </w:r>
      <w:proofErr w:type="spellStart"/>
      <w:r>
        <w:t>KüKüM</w:t>
      </w:r>
      <w:proofErr w:type="spellEnd"/>
      <w:r>
        <w:t>: 88.§ (2): Európai Unió közös kereskedelempolitikája, 89.§ (2): uniós külkapcsolatok, vízum</w:t>
      </w:r>
    </w:p>
    <w:p w:rsidR="006B7D90" w:rsidRDefault="004251D5">
      <w:pPr>
        <w:jc w:val="both"/>
      </w:pPr>
      <w:r>
        <w:t xml:space="preserve">• NGM: 91-92.§§: </w:t>
      </w:r>
      <w:proofErr w:type="spellStart"/>
      <w:r>
        <w:t>vámúnió</w:t>
      </w:r>
      <w:proofErr w:type="spellEnd"/>
      <w:r>
        <w:t xml:space="preserve">, pénzügyi kapcsolatok, </w:t>
      </w:r>
      <w:proofErr w:type="spellStart"/>
      <w:r>
        <w:t>kgvt</w:t>
      </w:r>
      <w:proofErr w:type="spellEnd"/>
      <w:r>
        <w:t>, turisztika</w:t>
      </w:r>
    </w:p>
    <w:p w:rsidR="006B7D90" w:rsidRDefault="004251D5">
      <w:pPr>
        <w:jc w:val="both"/>
      </w:pPr>
      <w:r>
        <w:t xml:space="preserve">• </w:t>
      </w:r>
      <w:proofErr w:type="gramStart"/>
      <w:r>
        <w:t>miniszterek</w:t>
      </w:r>
      <w:proofErr w:type="gramEnd"/>
      <w:r>
        <w:t xml:space="preserve"> általában: 20.§ (1) f), h)</w:t>
      </w:r>
    </w:p>
    <w:p w:rsidR="006B7D90" w:rsidRDefault="006B7D90">
      <w:pPr>
        <w:jc w:val="both"/>
      </w:pPr>
    </w:p>
    <w:p w:rsidR="006B7D90" w:rsidRDefault="004251D5">
      <w:pPr>
        <w:jc w:val="both"/>
      </w:pPr>
      <w:r>
        <w:t xml:space="preserve">A fenti jogszabályok, </w:t>
      </w:r>
      <w:r>
        <w:t xml:space="preserve">valamint az ajánlott irodalom a tantárgyi internetes honlapon érhető el. </w:t>
      </w:r>
    </w:p>
    <w:p w:rsidR="006B7D90" w:rsidRDefault="006B7D90">
      <w:pPr>
        <w:jc w:val="both"/>
      </w:pPr>
    </w:p>
    <w:p w:rsidR="006B7D90" w:rsidRDefault="004251D5">
      <w:pPr>
        <w:jc w:val="center"/>
      </w:pPr>
      <w:r>
        <w:rPr>
          <w:b/>
          <w:bCs/>
        </w:rPr>
        <w:t>Közigazgatási jog IV-B.</w:t>
      </w:r>
    </w:p>
    <w:p w:rsidR="006B7D90" w:rsidRDefault="006B7D90"/>
    <w:p w:rsidR="006B7D90" w:rsidRDefault="004251D5">
      <w:pPr>
        <w:jc w:val="both"/>
      </w:pPr>
      <w:r>
        <w:rPr>
          <w:b/>
          <w:bCs/>
        </w:rPr>
        <w:t>Előadás helye, időpontja:</w:t>
      </w:r>
      <w:r>
        <w:t xml:space="preserve"> E1 előadó (Prof. Dr. </w:t>
      </w:r>
      <w:proofErr w:type="spellStart"/>
      <w:r>
        <w:t>Zlinszky</w:t>
      </w:r>
      <w:proofErr w:type="spellEnd"/>
      <w:r>
        <w:t xml:space="preserve"> János terem), szerda 12.00-14.00</w:t>
      </w:r>
    </w:p>
    <w:p w:rsidR="006B7D90" w:rsidRDefault="004251D5">
      <w:pPr>
        <w:jc w:val="both"/>
      </w:pPr>
      <w:r>
        <w:rPr>
          <w:b/>
          <w:bCs/>
        </w:rPr>
        <w:t>Tantárgyfelelős:</w:t>
      </w:r>
      <w:r>
        <w:t xml:space="preserve"> Varga </w:t>
      </w:r>
      <w:proofErr w:type="spellStart"/>
      <w:r>
        <w:t>Zs</w:t>
      </w:r>
      <w:proofErr w:type="spellEnd"/>
      <w:r>
        <w:t>. András tanszékvezető egyetemi tanár</w:t>
      </w:r>
    </w:p>
    <w:p w:rsidR="006B7D90" w:rsidRDefault="006B7D90"/>
    <w:p w:rsidR="006B7D90" w:rsidRDefault="004251D5">
      <w:r>
        <w:rPr>
          <w:b/>
          <w:bCs/>
          <w:u w:val="single"/>
        </w:rPr>
        <w:t>Elő</w:t>
      </w:r>
      <w:r>
        <w:rPr>
          <w:b/>
          <w:bCs/>
          <w:u w:val="single"/>
        </w:rPr>
        <w:t>adás-tematika</w:t>
      </w:r>
    </w:p>
    <w:p w:rsidR="006B7D90" w:rsidRDefault="006B7D90"/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14.</w:t>
      </w:r>
    </w:p>
    <w:p w:rsidR="006B7D90" w:rsidRDefault="004251D5">
      <w:pPr>
        <w:pStyle w:val="Szvegtrzsbehzsa"/>
        <w:ind w:left="0"/>
        <w:jc w:val="both"/>
      </w:pPr>
      <w:r>
        <w:t>A közigazgatás kontroll-mechanizmusai</w:t>
      </w:r>
    </w:p>
    <w:p w:rsidR="006B7D90" w:rsidRDefault="006B7D90">
      <w:pPr>
        <w:pStyle w:val="Szvegtrzsbehzsa"/>
        <w:ind w:left="0"/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21.</w:t>
      </w:r>
    </w:p>
    <w:p w:rsidR="006B7D90" w:rsidRDefault="004251D5">
      <w:pPr>
        <w:pStyle w:val="Szvegtrzs"/>
      </w:pPr>
      <w:r>
        <w:t>A közigazgatási bíráskodás története és modelljei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február</w:t>
      </w:r>
      <w:proofErr w:type="gramEnd"/>
      <w:r>
        <w:rPr>
          <w:b/>
          <w:bCs/>
        </w:rPr>
        <w:t xml:space="preserve"> 28.</w:t>
      </w:r>
    </w:p>
    <w:p w:rsidR="006B7D90" w:rsidRDefault="004251D5">
      <w:pPr>
        <w:pStyle w:val="Szvegtrzs"/>
      </w:pPr>
      <w:r>
        <w:t>Az 1/2017. (I. 17.) AB határozat. A közigazgatási jogvita – a generál-klauzula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7.</w:t>
      </w:r>
    </w:p>
    <w:p w:rsidR="006B7D90" w:rsidRDefault="004251D5">
      <w:pPr>
        <w:jc w:val="both"/>
      </w:pPr>
      <w:r>
        <w:t>A közigazgatási bíróságo</w:t>
      </w:r>
      <w:r>
        <w:t>k. Alapelvek. Hatáskör és illetékesség. Felek és érdekeltek</w:t>
      </w:r>
    </w:p>
    <w:p w:rsidR="006B7D90" w:rsidRDefault="006B7D90">
      <w:pPr>
        <w:pStyle w:val="Szvegtrzs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14. </w:t>
      </w:r>
    </w:p>
    <w:p w:rsidR="006B7D90" w:rsidRDefault="004251D5">
      <w:pPr>
        <w:jc w:val="both"/>
      </w:pPr>
      <w:r>
        <w:t>A kereset és az elsőfokú eljárás. A Pp. szabályainak alkalmazása.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március</w:t>
      </w:r>
      <w:proofErr w:type="gramEnd"/>
      <w:r>
        <w:rPr>
          <w:b/>
          <w:bCs/>
        </w:rPr>
        <w:t xml:space="preserve"> 21.</w:t>
      </w:r>
    </w:p>
    <w:p w:rsidR="006B7D90" w:rsidRDefault="004251D5">
      <w:pPr>
        <w:jc w:val="both"/>
      </w:pPr>
      <w:r>
        <w:lastRenderedPageBreak/>
        <w:t>A bizonyítás elmélete. Bizonyítási szabályok a közigazgatási perben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11.</w:t>
      </w:r>
    </w:p>
    <w:p w:rsidR="006B7D90" w:rsidRDefault="004251D5">
      <w:pPr>
        <w:jc w:val="both"/>
      </w:pPr>
      <w:r>
        <w:t>A bíróság határozata.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18.</w:t>
      </w:r>
    </w:p>
    <w:p w:rsidR="006B7D90" w:rsidRDefault="004251D5">
      <w:pPr>
        <w:jc w:val="both"/>
      </w:pPr>
      <w:r>
        <w:t xml:space="preserve"> A jogerő elmélete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április</w:t>
      </w:r>
      <w:proofErr w:type="gramEnd"/>
      <w:r>
        <w:rPr>
          <w:b/>
          <w:bCs/>
        </w:rPr>
        <w:t xml:space="preserve"> 25.</w:t>
      </w:r>
    </w:p>
    <w:p w:rsidR="006B7D90" w:rsidRDefault="004251D5">
      <w:pPr>
        <w:jc w:val="both"/>
      </w:pPr>
      <w:r>
        <w:t>Jogorvoslatok a közigazgatási perben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május</w:t>
      </w:r>
      <w:proofErr w:type="gramEnd"/>
      <w:r>
        <w:rPr>
          <w:b/>
          <w:bCs/>
        </w:rPr>
        <w:t xml:space="preserve"> 2.</w:t>
      </w:r>
    </w:p>
    <w:p w:rsidR="006B7D90" w:rsidRDefault="004251D5">
      <w:pPr>
        <w:jc w:val="both"/>
      </w:pPr>
      <w:r>
        <w:t>Az alkotmányjogi panasz általában és a közigazgatási perben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május</w:t>
      </w:r>
      <w:proofErr w:type="gramEnd"/>
      <w:r>
        <w:rPr>
          <w:b/>
          <w:bCs/>
        </w:rPr>
        <w:t xml:space="preserve"> 9.</w:t>
      </w:r>
    </w:p>
    <w:p w:rsidR="006B7D90" w:rsidRDefault="004251D5">
      <w:pPr>
        <w:jc w:val="both"/>
      </w:pPr>
      <w:bookmarkStart w:id="0" w:name="_GoBack"/>
      <w:bookmarkEnd w:id="0"/>
      <w:r>
        <w:t>Különös közigazgatási perek és egyéb közigazgatási bírósági eljárások</w:t>
      </w:r>
    </w:p>
    <w:p w:rsidR="006B7D90" w:rsidRDefault="006B7D90">
      <w:pPr>
        <w:jc w:val="both"/>
      </w:pPr>
    </w:p>
    <w:p w:rsidR="006B7D90" w:rsidRDefault="004251D5">
      <w:pPr>
        <w:jc w:val="both"/>
      </w:pPr>
      <w:proofErr w:type="gramStart"/>
      <w:r>
        <w:rPr>
          <w:b/>
          <w:bCs/>
        </w:rPr>
        <w:t>május</w:t>
      </w:r>
      <w:proofErr w:type="gramEnd"/>
      <w:r>
        <w:rPr>
          <w:b/>
          <w:bCs/>
        </w:rPr>
        <w:t xml:space="preserve"> 16.</w:t>
      </w:r>
    </w:p>
    <w:p w:rsidR="006B7D90" w:rsidRDefault="004251D5">
      <w:pPr>
        <w:jc w:val="both"/>
      </w:pPr>
      <w:r>
        <w:t>Konzultáció</w:t>
      </w:r>
    </w:p>
    <w:p w:rsidR="006B7D90" w:rsidRDefault="006B7D90">
      <w:pPr>
        <w:jc w:val="both"/>
        <w:rPr>
          <w:b/>
          <w:bCs/>
          <w:u w:val="single"/>
        </w:rPr>
      </w:pPr>
    </w:p>
    <w:p w:rsidR="006B7D90" w:rsidRDefault="004251D5">
      <w:pPr>
        <w:jc w:val="both"/>
      </w:pPr>
      <w:r>
        <w:rPr>
          <w:b/>
          <w:bCs/>
          <w:u w:val="single"/>
        </w:rPr>
        <w:t>A kötelező tananyag:</w:t>
      </w:r>
    </w:p>
    <w:p w:rsidR="006B7D90" w:rsidRDefault="004251D5">
      <w:r>
        <w:t>1.) Az új jogszabályi környezet miatt az előadások anyaga kötelező tananyag.</w:t>
      </w:r>
    </w:p>
    <w:p w:rsidR="006B7D90" w:rsidRDefault="004251D5">
      <w:r>
        <w:t>2.) Patyi András (</w:t>
      </w:r>
      <w:proofErr w:type="spellStart"/>
      <w:r>
        <w:t>szerk</w:t>
      </w:r>
      <w:proofErr w:type="spellEnd"/>
      <w:r>
        <w:t>.): A magyar közigazgatás és közigazgatási jog általános tanai. Budapest, Dialóg-Campus, 2018. (e-könyv, a félév folyamán lesz elérhető</w:t>
      </w:r>
      <w:r>
        <w:t xml:space="preserve">), </w:t>
      </w:r>
      <w:r>
        <w:rPr>
          <w:b/>
          <w:bCs/>
        </w:rPr>
        <w:t>kijelölt részei</w:t>
      </w:r>
      <w:r>
        <w:t>:</w:t>
      </w:r>
    </w:p>
    <w:p w:rsidR="006B7D90" w:rsidRDefault="004251D5">
      <w:r>
        <w:tab/>
        <w:t xml:space="preserve">V. Patyi András – Varga </w:t>
      </w:r>
      <w:proofErr w:type="spellStart"/>
      <w:r>
        <w:t>Zs</w:t>
      </w:r>
      <w:proofErr w:type="spellEnd"/>
      <w:r>
        <w:t xml:space="preserve">. András: Általános közigazgatási eljárásjogi alapok </w:t>
      </w:r>
    </w:p>
    <w:p w:rsidR="006B7D90" w:rsidRDefault="004251D5">
      <w:r>
        <w:tab/>
        <w:t xml:space="preserve">VII. Varga </w:t>
      </w:r>
      <w:proofErr w:type="spellStart"/>
      <w:r>
        <w:t>Zs</w:t>
      </w:r>
      <w:proofErr w:type="spellEnd"/>
      <w:r>
        <w:t>. András: A közigazgatás kontrolleszközei</w:t>
      </w:r>
    </w:p>
    <w:p w:rsidR="006B7D90" w:rsidRDefault="004251D5">
      <w:r>
        <w:tab/>
        <w:t xml:space="preserve">VIII. Patyi András: A közigazgatási bíráskodás elmélete </w:t>
      </w:r>
    </w:p>
    <w:p w:rsidR="006B7D90" w:rsidRDefault="004251D5">
      <w:r>
        <w:tab/>
        <w:t xml:space="preserve">IX. </w:t>
      </w:r>
      <w:proofErr w:type="spellStart"/>
      <w:r>
        <w:t>Wopera</w:t>
      </w:r>
      <w:proofErr w:type="spellEnd"/>
      <w:r>
        <w:t xml:space="preserve"> Zsuzsa – Horváth E. Írisz – </w:t>
      </w:r>
      <w:r>
        <w:t>Patyi András: Közigazgatási perjog</w:t>
      </w:r>
    </w:p>
    <w:p w:rsidR="006B7D90" w:rsidRDefault="004251D5">
      <w:r>
        <w:t xml:space="preserve">3.) A közigazgatási perrendtartásról szóló 2017. évi I. törvény (Kp.) </w:t>
      </w:r>
    </w:p>
    <w:p w:rsidR="006B7D90" w:rsidRDefault="006B7D90">
      <w:pPr>
        <w:jc w:val="both"/>
      </w:pPr>
    </w:p>
    <w:p w:rsidR="006B7D90" w:rsidRDefault="004251D5">
      <w:pPr>
        <w:jc w:val="both"/>
      </w:pPr>
      <w:r>
        <w:t>Budapest, 2018. február 4.</w:t>
      </w:r>
    </w:p>
    <w:p w:rsidR="006B7D90" w:rsidRDefault="006B7D90">
      <w:pPr>
        <w:jc w:val="center"/>
        <w:rPr>
          <w:b/>
          <w:bCs/>
        </w:rPr>
      </w:pPr>
    </w:p>
    <w:p w:rsidR="006B7D90" w:rsidRDefault="006B7D90">
      <w:pPr>
        <w:jc w:val="center"/>
        <w:rPr>
          <w:b/>
          <w:bCs/>
        </w:rPr>
      </w:pPr>
    </w:p>
    <w:p w:rsidR="006B7D90" w:rsidRDefault="006B7D90">
      <w:pPr>
        <w:jc w:val="center"/>
        <w:rPr>
          <w:b/>
          <w:bCs/>
        </w:rPr>
      </w:pPr>
    </w:p>
    <w:p w:rsidR="006B7D90" w:rsidRDefault="004251D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772159</wp:posOffset>
                </wp:positionH>
                <wp:positionV relativeFrom="line">
                  <wp:posOffset>8254</wp:posOffset>
                </wp:positionV>
                <wp:extent cx="1607820" cy="4908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4908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7D90" w:rsidRDefault="004251D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1"/>
                              </w:rPr>
                              <w:t xml:space="preserve">Gerencsér Balázs </w:t>
                            </w:r>
                            <w:r>
                              <w:rPr>
                                <w:rFonts w:ascii="Arial Unicode MS" w:hAnsi="Arial Unicode MS"/>
                                <w:kern w:val="1"/>
                              </w:rPr>
                              <w:sym w:font="Arial Unicode MS" w:char="0001"/>
                            </w:r>
                            <w:r>
                              <w:rPr>
                                <w:kern w:val="1"/>
                              </w:rPr>
                              <w:t>egyetemi docens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0.8pt;margin-top:0.6pt;width:126.6pt;height:38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Gerencs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é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r Bal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 xml:space="preserve">zs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kern w:val="1"/>
                          <w:u w:color="000000"/>
                          <w:rtl w:val="0"/>
                        </w:rPr>
                        <w:sym w:font="Arial Unicode MS" w:char="1"/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egyetemi docens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3572509</wp:posOffset>
                </wp:positionH>
                <wp:positionV relativeFrom="line">
                  <wp:posOffset>7619</wp:posOffset>
                </wp:positionV>
                <wp:extent cx="1856105" cy="52641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5264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7D90" w:rsidRDefault="004251D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1"/>
                              </w:rPr>
                              <w:t xml:space="preserve">Varga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kern w:val="1"/>
                              </w:rPr>
                              <w:t>Zs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kern w:val="1"/>
                              </w:rPr>
                              <w:t xml:space="preserve">. András </w:t>
                            </w:r>
                            <w:r>
                              <w:rPr>
                                <w:rFonts w:ascii="Arial Unicode MS" w:hAnsi="Arial Unicode MS"/>
                                <w:kern w:val="1"/>
                              </w:rPr>
                              <w:sym w:font="Arial Unicode MS" w:char="0001"/>
                            </w:r>
                            <w:r>
                              <w:rPr>
                                <w:kern w:val="1"/>
                              </w:rPr>
                              <w:t>tanszékvezető egyetemi tanár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1.3pt;margin-top:0.6pt;width:146.1pt;height:4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Varga Zs. Andr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>á</w:t>
                      </w:r>
                      <w:r>
                        <w:rPr>
                          <w:b w:val="1"/>
                          <w:bCs w:val="1"/>
                          <w:color w:val="000000"/>
                          <w:kern w:val="1"/>
                          <w:u w:color="000000"/>
                          <w:rtl w:val="0"/>
                        </w:rPr>
                        <w:t xml:space="preserve">s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kern w:val="1"/>
                          <w:u w:color="000000"/>
                          <w:rtl w:val="0"/>
                        </w:rPr>
                        <w:sym w:font="Arial Unicode MS" w:char="1"/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tansz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é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kvezet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 xml:space="preserve">ő 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egyetemi tan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á</w:t>
                      </w:r>
                      <w:r>
                        <w:rPr>
                          <w:color w:val="000000"/>
                          <w:kern w:val="1"/>
                          <w:u w:color="000000"/>
                          <w:rtl w:val="0"/>
                        </w:rPr>
                        <w:t>r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6B7D90" w:rsidRDefault="006B7D90">
      <w:pPr>
        <w:jc w:val="center"/>
      </w:pPr>
    </w:p>
    <w:sectPr w:rsidR="006B7D90">
      <w:headerReference w:type="default" r:id="rId6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D5" w:rsidRDefault="004251D5">
      <w:r>
        <w:separator/>
      </w:r>
    </w:p>
  </w:endnote>
  <w:endnote w:type="continuationSeparator" w:id="0">
    <w:p w:rsidR="004251D5" w:rsidRDefault="004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D5" w:rsidRDefault="004251D5">
      <w:r>
        <w:separator/>
      </w:r>
    </w:p>
  </w:footnote>
  <w:footnote w:type="continuationSeparator" w:id="0">
    <w:p w:rsidR="004251D5" w:rsidRDefault="0042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90" w:rsidRDefault="004251D5">
    <w:pPr>
      <w:pStyle w:val="lfej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896619</wp:posOffset>
              </wp:positionH>
              <wp:positionV relativeFrom="page">
                <wp:posOffset>635000</wp:posOffset>
              </wp:positionV>
              <wp:extent cx="57531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70.6pt;margin-top:50.0pt;width:453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808080" opacity="100.0%" weight="0.7pt" dashstyle="solid" endcap="square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>Pázmány Péter Katolikus Egyetem</w:t>
    </w:r>
  </w:p>
  <w:p w:rsidR="006B7D90" w:rsidRDefault="004251D5">
    <w:pPr>
      <w:pStyle w:val="lfej"/>
      <w:tabs>
        <w:tab w:val="clear" w:pos="9072"/>
        <w:tab w:val="right" w:pos="9046"/>
      </w:tabs>
    </w:pPr>
    <w:r>
      <w:t>Jog- és Állam tudományi Kar</w:t>
    </w:r>
  </w:p>
  <w:p w:rsidR="006B7D90" w:rsidRDefault="004251D5">
    <w:pPr>
      <w:pStyle w:val="lfej"/>
      <w:tabs>
        <w:tab w:val="clear" w:pos="9072"/>
        <w:tab w:val="right" w:pos="9046"/>
      </w:tabs>
    </w:pPr>
    <w:r>
      <w:t>Közigazgatási Jogi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90"/>
    <w:rsid w:val="004251D5"/>
    <w:rsid w:val="006B7D90"/>
    <w:rsid w:val="00A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D010A-8D52-42DC-8541-8D0D8F6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zvegtrzsbehzsa">
    <w:name w:val="Szövegtörzs behúzása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paragraph" w:styleId="Szvegtrzs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Mónika</dc:creator>
  <cp:lastModifiedBy>Varga Mónika</cp:lastModifiedBy>
  <cp:revision>2</cp:revision>
  <dcterms:created xsi:type="dcterms:W3CDTF">2018-02-15T07:06:00Z</dcterms:created>
  <dcterms:modified xsi:type="dcterms:W3CDTF">2018-02-15T07:06:00Z</dcterms:modified>
</cp:coreProperties>
</file>