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774" w:rsidRPr="009932E2" w:rsidRDefault="009932E2" w:rsidP="009932E2">
      <w:pPr>
        <w:jc w:val="center"/>
        <w:rPr>
          <w:sz w:val="28"/>
          <w:lang w:val="en-GB"/>
        </w:rPr>
      </w:pPr>
      <w:r w:rsidRPr="009932E2">
        <w:rPr>
          <w:sz w:val="28"/>
          <w:lang w:val="en-GB"/>
        </w:rPr>
        <w:t>Course outline</w:t>
      </w:r>
    </w:p>
    <w:p w:rsidR="009932E2" w:rsidRPr="009932E2" w:rsidRDefault="009932E2" w:rsidP="009932E2">
      <w:pPr>
        <w:jc w:val="center"/>
        <w:rPr>
          <w:rFonts w:cstheme="minorHAnsi"/>
          <w:b/>
          <w:smallCaps/>
          <w:sz w:val="28"/>
          <w:lang w:val="en-GB"/>
        </w:rPr>
      </w:pPr>
      <w:r w:rsidRPr="009932E2">
        <w:rPr>
          <w:rFonts w:cstheme="minorHAnsi"/>
          <w:b/>
          <w:smallCaps/>
          <w:sz w:val="28"/>
          <w:lang w:val="en-GB"/>
        </w:rPr>
        <w:t>European Union Law II.</w:t>
      </w:r>
    </w:p>
    <w:p w:rsidR="009932E2" w:rsidRPr="009932E2" w:rsidRDefault="009932E2" w:rsidP="009932E2">
      <w:pPr>
        <w:jc w:val="center"/>
        <w:rPr>
          <w:sz w:val="28"/>
          <w:lang w:val="en-GB"/>
        </w:rPr>
      </w:pPr>
      <w:r w:rsidRPr="009932E2">
        <w:rPr>
          <w:sz w:val="28"/>
          <w:lang w:val="en-GB"/>
        </w:rPr>
        <w:t>EU Internal Market Law</w:t>
      </w:r>
    </w:p>
    <w:p w:rsidR="009932E2" w:rsidRDefault="009932E2" w:rsidP="009932E2">
      <w:pPr>
        <w:jc w:val="center"/>
        <w:rPr>
          <w:lang w:val="en-GB"/>
        </w:rPr>
      </w:pPr>
    </w:p>
    <w:p w:rsidR="009932E2" w:rsidRDefault="009932E2" w:rsidP="009932E2">
      <w:pPr>
        <w:jc w:val="center"/>
        <w:rPr>
          <w:lang w:val="en-GB"/>
        </w:rPr>
      </w:pPr>
      <w:proofErr w:type="spellStart"/>
      <w:r>
        <w:rPr>
          <w:lang w:val="en-GB"/>
        </w:rPr>
        <w:t>Pázmány</w:t>
      </w:r>
      <w:proofErr w:type="spellEnd"/>
      <w:r>
        <w:rPr>
          <w:lang w:val="en-GB"/>
        </w:rPr>
        <w:t xml:space="preserve"> </w:t>
      </w:r>
      <w:proofErr w:type="spellStart"/>
      <w:r>
        <w:rPr>
          <w:lang w:val="en-GB"/>
        </w:rPr>
        <w:t>Péter</w:t>
      </w:r>
      <w:proofErr w:type="spellEnd"/>
      <w:r>
        <w:rPr>
          <w:lang w:val="en-GB"/>
        </w:rPr>
        <w:t xml:space="preserve"> Catholic University, Faculty of Law and Political Sciences</w:t>
      </w:r>
    </w:p>
    <w:p w:rsidR="009932E2" w:rsidRDefault="009932E2" w:rsidP="009932E2">
      <w:pPr>
        <w:jc w:val="center"/>
        <w:rPr>
          <w:lang w:val="en-GB"/>
        </w:rPr>
      </w:pPr>
    </w:p>
    <w:p w:rsidR="005A09F3" w:rsidRDefault="009932E2" w:rsidP="009932E2">
      <w:pPr>
        <w:jc w:val="both"/>
        <w:rPr>
          <w:lang w:val="en-GB"/>
        </w:rPr>
      </w:pPr>
      <w:r>
        <w:rPr>
          <w:lang w:val="en-GB"/>
        </w:rPr>
        <w:t>Lecturers:</w:t>
      </w:r>
      <w:r>
        <w:rPr>
          <w:lang w:val="en-GB"/>
        </w:rPr>
        <w:tab/>
      </w:r>
      <w:proofErr w:type="gramStart"/>
      <w:r>
        <w:rPr>
          <w:lang w:val="en-GB"/>
        </w:rPr>
        <w:t>dr</w:t>
      </w:r>
      <w:proofErr w:type="gramEnd"/>
      <w:r>
        <w:rPr>
          <w:lang w:val="en-GB"/>
        </w:rPr>
        <w:t xml:space="preserve">. Petra Lea LÁNCOS: </w:t>
      </w:r>
      <w:r>
        <w:rPr>
          <w:lang w:val="en-GB"/>
        </w:rPr>
        <w:tab/>
      </w:r>
      <w:hyperlink r:id="rId5" w:history="1">
        <w:r w:rsidR="005A09F3" w:rsidRPr="00225EF7">
          <w:rPr>
            <w:rStyle w:val="Hiperhivatkozs"/>
            <w:lang w:val="en-GB"/>
          </w:rPr>
          <w:t>lancos.petra.lea@jak.ppke.hu</w:t>
        </w:r>
      </w:hyperlink>
    </w:p>
    <w:p w:rsidR="009932E2" w:rsidRDefault="009932E2" w:rsidP="009932E2">
      <w:pPr>
        <w:ind w:left="708" w:firstLine="708"/>
        <w:jc w:val="both"/>
        <w:rPr>
          <w:lang w:val="en-GB"/>
        </w:rPr>
      </w:pPr>
      <w:proofErr w:type="gramStart"/>
      <w:r>
        <w:rPr>
          <w:lang w:val="en-GB"/>
        </w:rPr>
        <w:t>dr</w:t>
      </w:r>
      <w:proofErr w:type="gramEnd"/>
      <w:r>
        <w:rPr>
          <w:lang w:val="en-GB"/>
        </w:rPr>
        <w:t xml:space="preserve">. </w:t>
      </w:r>
      <w:proofErr w:type="spellStart"/>
      <w:r>
        <w:rPr>
          <w:lang w:val="en-GB"/>
        </w:rPr>
        <w:t>Pál</w:t>
      </w:r>
      <w:proofErr w:type="spellEnd"/>
      <w:r>
        <w:rPr>
          <w:lang w:val="en-GB"/>
        </w:rPr>
        <w:t xml:space="preserve"> SZILÁGYI:</w:t>
      </w:r>
      <w:r>
        <w:rPr>
          <w:lang w:val="en-GB"/>
        </w:rPr>
        <w:tab/>
      </w:r>
      <w:hyperlink r:id="rId6" w:history="1">
        <w:r w:rsidR="005A09F3" w:rsidRPr="00225EF7">
          <w:rPr>
            <w:rStyle w:val="Hiperhivatkozs"/>
            <w:lang w:val="en-GB"/>
          </w:rPr>
          <w:t>szilagyi.pal@jak.ppke.hu</w:t>
        </w:r>
      </w:hyperlink>
    </w:p>
    <w:p w:rsidR="009932E2" w:rsidRDefault="009932E2" w:rsidP="009932E2">
      <w:pPr>
        <w:jc w:val="both"/>
        <w:rPr>
          <w:lang w:val="en-GB"/>
        </w:rPr>
      </w:pPr>
    </w:p>
    <w:p w:rsidR="009932E2" w:rsidRDefault="009932E2" w:rsidP="009932E2">
      <w:pPr>
        <w:jc w:val="both"/>
        <w:rPr>
          <w:lang w:val="en-US"/>
        </w:rPr>
      </w:pPr>
      <w:r>
        <w:rPr>
          <w:lang w:val="en-GB"/>
        </w:rPr>
        <w:t xml:space="preserve">Webpage: </w:t>
      </w:r>
      <w:r>
        <w:rPr>
          <w:lang w:val="en-GB"/>
        </w:rPr>
        <w:tab/>
        <w:t xml:space="preserve">You might </w:t>
      </w:r>
      <w:r>
        <w:rPr>
          <w:lang w:val="en-US"/>
        </w:rPr>
        <w:t xml:space="preserve">also want to consult the webpage of the course on </w:t>
      </w:r>
      <w:hyperlink r:id="rId7" w:history="1">
        <w:r w:rsidRPr="0070037D">
          <w:rPr>
            <w:rStyle w:val="Hiperhivatkozs"/>
            <w:lang w:val="en-US"/>
          </w:rPr>
          <w:t>www.europaijog.com</w:t>
        </w:r>
      </w:hyperlink>
      <w:r>
        <w:rPr>
          <w:lang w:val="en-US"/>
        </w:rPr>
        <w:t xml:space="preserve">. </w:t>
      </w:r>
    </w:p>
    <w:p w:rsidR="009932E2" w:rsidRDefault="009932E2" w:rsidP="009932E2">
      <w:pPr>
        <w:jc w:val="both"/>
        <w:rPr>
          <w:lang w:val="en-GB"/>
        </w:rPr>
      </w:pPr>
      <w:r>
        <w:rPr>
          <w:lang w:val="en-GB"/>
        </w:rPr>
        <w:t>Lectures:</w:t>
      </w:r>
      <w:r>
        <w:rPr>
          <w:lang w:val="en-GB"/>
        </w:rPr>
        <w:tab/>
        <w:t xml:space="preserve">Every week </w:t>
      </w:r>
      <w:bookmarkStart w:id="0" w:name="_GoBack"/>
      <w:bookmarkEnd w:id="0"/>
    </w:p>
    <w:p w:rsidR="009932E2" w:rsidRDefault="009932E2" w:rsidP="009932E2">
      <w:pPr>
        <w:jc w:val="both"/>
        <w:rPr>
          <w:lang w:val="en-GB"/>
        </w:rPr>
      </w:pPr>
      <w:r>
        <w:rPr>
          <w:lang w:val="en-GB"/>
        </w:rPr>
        <w:t>Seminars:</w:t>
      </w:r>
      <w:r>
        <w:rPr>
          <w:lang w:val="en-GB"/>
        </w:rPr>
        <w:tab/>
        <w:t xml:space="preserve">Every week </w:t>
      </w:r>
    </w:p>
    <w:p w:rsidR="009932E2" w:rsidRDefault="009932E2" w:rsidP="009932E2">
      <w:pPr>
        <w:ind w:left="1410" w:hanging="1410"/>
        <w:jc w:val="both"/>
        <w:rPr>
          <w:lang w:val="en-GB"/>
        </w:rPr>
      </w:pPr>
      <w:r>
        <w:rPr>
          <w:lang w:val="en-GB"/>
        </w:rPr>
        <w:t>Participation:</w:t>
      </w:r>
      <w:r>
        <w:rPr>
          <w:lang w:val="en-GB"/>
        </w:rPr>
        <w:tab/>
        <w:t>Students are highly recommended to attend each seminar. Students who have missed more than 3 seminars automatically fail the course. The teachers of the subject expect a high degree of participation by all students. It is not intended, in general, to provide lectures, except where it may be helpful to do so. At each seminar discussion and interaction will be encouraged and expected. Students are required to have prepared answers to the questions asked at the end of each seminar handout. Student proving constant diligence and participation will have the benefit of recommended good mark and will not have to write the examination at the end of the course.</w:t>
      </w:r>
    </w:p>
    <w:p w:rsidR="009932E2" w:rsidRDefault="009932E2" w:rsidP="009932E2">
      <w:pPr>
        <w:ind w:left="1410" w:hanging="1410"/>
        <w:jc w:val="both"/>
        <w:rPr>
          <w:lang w:val="en-GB"/>
        </w:rPr>
      </w:pPr>
      <w:r>
        <w:rPr>
          <w:lang w:val="en-GB"/>
        </w:rPr>
        <w:t>Bibliography:</w:t>
      </w:r>
      <w:r>
        <w:rPr>
          <w:lang w:val="en-GB"/>
        </w:rPr>
        <w:tab/>
        <w:t xml:space="preserve">We will hand out workbooks for the seminars containing relevant outlines, legislation, cases and some articles. Nevertheless if you would like to take full advantage of the course you might want to buy one of the following books. (Please let us know if you would like to order any of them, so we could organise joint orders to reduce delivery costs! It is easy to buy the books on </w:t>
      </w:r>
      <w:hyperlink r:id="rId8" w:history="1">
        <w:r w:rsidRPr="00B63D7A">
          <w:rPr>
            <w:rStyle w:val="Hiperhivatkozs"/>
            <w:lang w:val="en-GB"/>
          </w:rPr>
          <w:t>www.amazon.co.uk</w:t>
        </w:r>
      </w:hyperlink>
      <w:r w:rsidR="004C0FFC">
        <w:rPr>
          <w:lang w:val="en-GB"/>
        </w:rPr>
        <w:t>.)</w:t>
      </w:r>
    </w:p>
    <w:p w:rsidR="004C0FFC" w:rsidRDefault="004C0FFC" w:rsidP="009932E2">
      <w:pPr>
        <w:ind w:left="1410" w:hanging="1410"/>
        <w:jc w:val="both"/>
        <w:rPr>
          <w:lang w:val="en-GB"/>
        </w:rPr>
      </w:pPr>
      <w:r>
        <w:rPr>
          <w:lang w:val="en-GB"/>
        </w:rPr>
        <w:tab/>
        <w:t xml:space="preserve">The readings for each seminar are divided into three groups. </w:t>
      </w:r>
      <w:r w:rsidRPr="00BF798B">
        <w:rPr>
          <w:u w:val="single"/>
          <w:lang w:val="en-GB"/>
        </w:rPr>
        <w:t>The readings called ‘Required reading’ must be read for each seminar</w:t>
      </w:r>
      <w:r>
        <w:rPr>
          <w:lang w:val="en-GB"/>
        </w:rPr>
        <w:t>. ‘Additional’ readings are provided for those who would like to explore the relevant issues more in depth. Under ‘advanced readings’ we have provided for literature that also includes several issues of economics. For each seminar you might find reference works at the Department for consultation. Below you will find some books that are often referred to.</w:t>
      </w:r>
    </w:p>
    <w:p w:rsidR="009932E2" w:rsidRDefault="004C0FFC" w:rsidP="009932E2">
      <w:pPr>
        <w:ind w:left="1410" w:hanging="1410"/>
        <w:jc w:val="both"/>
        <w:rPr>
          <w:lang w:val="en-GB"/>
        </w:rPr>
      </w:pPr>
      <w:r>
        <w:rPr>
          <w:lang w:val="en-GB"/>
        </w:rPr>
        <w:tab/>
        <w:t>Recommended books:</w:t>
      </w:r>
    </w:p>
    <w:p w:rsidR="004C0FFC" w:rsidRDefault="004C0FFC" w:rsidP="004C0FFC">
      <w:pPr>
        <w:pStyle w:val="Listaszerbekezds"/>
        <w:numPr>
          <w:ilvl w:val="0"/>
          <w:numId w:val="1"/>
        </w:numPr>
        <w:jc w:val="both"/>
        <w:rPr>
          <w:lang w:val="en-GB"/>
        </w:rPr>
      </w:pPr>
      <w:r w:rsidRPr="004C0FFC">
        <w:rPr>
          <w:lang w:val="en-GB"/>
        </w:rPr>
        <w:t>Barnard, Catherine: The Substantive Law of the EU: The Four Freedoms. (Oxford University Press, Oxford, 2010)</w:t>
      </w:r>
    </w:p>
    <w:p w:rsidR="004C0FFC" w:rsidRDefault="004C0FFC" w:rsidP="004C0FFC">
      <w:pPr>
        <w:pStyle w:val="Listaszerbekezds"/>
        <w:numPr>
          <w:ilvl w:val="0"/>
          <w:numId w:val="1"/>
        </w:numPr>
        <w:jc w:val="both"/>
        <w:rPr>
          <w:lang w:val="en-GB"/>
        </w:rPr>
      </w:pPr>
      <w:r w:rsidRPr="004C0FFC">
        <w:rPr>
          <w:lang w:val="en-GB"/>
        </w:rPr>
        <w:lastRenderedPageBreak/>
        <w:t xml:space="preserve">Chalmers, Damian, et al.: European Union </w:t>
      </w:r>
      <w:proofErr w:type="gramStart"/>
      <w:r w:rsidRPr="004C0FFC">
        <w:rPr>
          <w:lang w:val="en-GB"/>
        </w:rPr>
        <w:t>law :</w:t>
      </w:r>
      <w:proofErr w:type="gramEnd"/>
      <w:r w:rsidRPr="004C0FFC">
        <w:rPr>
          <w:lang w:val="en-GB"/>
        </w:rPr>
        <w:t xml:space="preserve"> cases and materials. (Cambridge University Press, Cambridge, 2010)</w:t>
      </w:r>
    </w:p>
    <w:p w:rsidR="004C0FFC" w:rsidRDefault="004C0FFC" w:rsidP="004C0FFC">
      <w:pPr>
        <w:pStyle w:val="Listaszerbekezds"/>
        <w:numPr>
          <w:ilvl w:val="0"/>
          <w:numId w:val="1"/>
        </w:numPr>
        <w:jc w:val="both"/>
        <w:rPr>
          <w:lang w:val="en-GB"/>
        </w:rPr>
      </w:pPr>
      <w:proofErr w:type="spellStart"/>
      <w:r w:rsidRPr="004C0FFC">
        <w:rPr>
          <w:lang w:val="en-GB"/>
        </w:rPr>
        <w:t>Kaczorowska</w:t>
      </w:r>
      <w:proofErr w:type="spellEnd"/>
      <w:r w:rsidRPr="004C0FFC">
        <w:rPr>
          <w:lang w:val="en-GB"/>
        </w:rPr>
        <w:t>, Alina: European Union law. (Routledge-Cavendish, London, 2011)</w:t>
      </w:r>
    </w:p>
    <w:p w:rsidR="004C0FFC" w:rsidRDefault="004C0FFC" w:rsidP="004C0FFC">
      <w:pPr>
        <w:ind w:left="2124" w:hanging="2124"/>
        <w:jc w:val="both"/>
        <w:rPr>
          <w:lang w:val="en-GB"/>
        </w:rPr>
      </w:pPr>
      <w:r>
        <w:rPr>
          <w:lang w:val="en-GB"/>
        </w:rPr>
        <w:t>Websites:</w:t>
      </w:r>
      <w:r>
        <w:rPr>
          <w:lang w:val="en-GB"/>
        </w:rPr>
        <w:tab/>
        <w:t>The following websites are very important for the course. Please take the necessary time to study the websites before the course. Please feel free to ask practical question from the lecturers on the use of the websites.</w:t>
      </w:r>
    </w:p>
    <w:p w:rsidR="004C0FFC" w:rsidRDefault="004C0FFC" w:rsidP="004C0FFC">
      <w:pPr>
        <w:ind w:left="2124" w:hanging="2124"/>
        <w:jc w:val="both"/>
        <w:rPr>
          <w:lang w:val="en-GB"/>
        </w:rPr>
      </w:pPr>
      <w:r>
        <w:rPr>
          <w:lang w:val="en-GB"/>
        </w:rPr>
        <w:tab/>
        <w:t xml:space="preserve">Europa – The Official Website of the European Union: </w:t>
      </w:r>
      <w:hyperlink r:id="rId9" w:history="1">
        <w:r w:rsidRPr="0070037D">
          <w:rPr>
            <w:rStyle w:val="Hiperhivatkozs"/>
            <w:lang w:val="en-GB"/>
          </w:rPr>
          <w:t>www.europa.eu</w:t>
        </w:r>
      </w:hyperlink>
    </w:p>
    <w:p w:rsidR="004C0FFC" w:rsidRDefault="004C0FFC" w:rsidP="004C0FFC">
      <w:pPr>
        <w:ind w:left="2124" w:hanging="2124"/>
        <w:jc w:val="both"/>
        <w:rPr>
          <w:lang w:val="en-GB"/>
        </w:rPr>
      </w:pPr>
      <w:r>
        <w:rPr>
          <w:lang w:val="en-GB"/>
        </w:rPr>
        <w:tab/>
        <w:t xml:space="preserve">Curia – Website of the European Union’s courts: </w:t>
      </w:r>
      <w:hyperlink r:id="rId10" w:history="1">
        <w:r w:rsidRPr="0070037D">
          <w:rPr>
            <w:rStyle w:val="Hiperhivatkozs"/>
            <w:lang w:val="en-GB"/>
          </w:rPr>
          <w:t>www.curia.eu</w:t>
        </w:r>
      </w:hyperlink>
    </w:p>
    <w:p w:rsidR="004C0FFC" w:rsidRDefault="004C0FFC" w:rsidP="004C0FFC">
      <w:pPr>
        <w:ind w:left="2124" w:hanging="2124"/>
        <w:jc w:val="both"/>
        <w:rPr>
          <w:lang w:val="en-GB"/>
        </w:rPr>
      </w:pPr>
      <w:r>
        <w:rPr>
          <w:lang w:val="en-GB"/>
        </w:rPr>
        <w:tab/>
      </w:r>
      <w:r w:rsidR="009F2952">
        <w:rPr>
          <w:lang w:val="en-GB"/>
        </w:rPr>
        <w:t xml:space="preserve">EUR-Lex – Access to EU Law: </w:t>
      </w:r>
      <w:hyperlink r:id="rId11" w:history="1">
        <w:r w:rsidR="009F2952" w:rsidRPr="0070037D">
          <w:rPr>
            <w:rStyle w:val="Hiperhivatkozs"/>
            <w:lang w:val="en-GB"/>
          </w:rPr>
          <w:t>www.eur-lex.eu</w:t>
        </w:r>
      </w:hyperlink>
    </w:p>
    <w:p w:rsidR="009F2952" w:rsidRDefault="009F2952" w:rsidP="004C0FFC">
      <w:pPr>
        <w:ind w:left="2124" w:hanging="2124"/>
        <w:jc w:val="both"/>
        <w:rPr>
          <w:lang w:val="en-GB"/>
        </w:rPr>
      </w:pPr>
      <w:r>
        <w:rPr>
          <w:lang w:val="en-GB"/>
        </w:rPr>
        <w:t>Outline of the seminars:</w:t>
      </w:r>
    </w:p>
    <w:p w:rsidR="009F2952" w:rsidRDefault="006515FD" w:rsidP="004C0FFC">
      <w:pPr>
        <w:ind w:left="2124" w:hanging="2124"/>
        <w:jc w:val="both"/>
        <w:rPr>
          <w:lang w:val="en-GB"/>
        </w:rPr>
      </w:pPr>
      <w:r>
        <w:rPr>
          <w:lang w:val="en-GB"/>
        </w:rPr>
        <w:t>Lecture</w:t>
      </w:r>
      <w:r w:rsidR="009F2952">
        <w:rPr>
          <w:lang w:val="en-GB"/>
        </w:rPr>
        <w:t xml:space="preserve"> 1 (8 February 2011)</w:t>
      </w:r>
      <w:r w:rsidR="009F2952">
        <w:rPr>
          <w:lang w:val="en-GB"/>
        </w:rPr>
        <w:tab/>
      </w:r>
      <w:r w:rsidR="009F2952">
        <w:rPr>
          <w:lang w:val="en-GB"/>
        </w:rPr>
        <w:tab/>
        <w:t>Saying hello; basic introduction</w:t>
      </w:r>
    </w:p>
    <w:p w:rsidR="009F2952" w:rsidRDefault="006515FD" w:rsidP="009F2952">
      <w:pPr>
        <w:ind w:left="3540" w:hanging="3540"/>
        <w:jc w:val="both"/>
        <w:rPr>
          <w:lang w:val="en-GB"/>
        </w:rPr>
      </w:pPr>
      <w:r>
        <w:rPr>
          <w:lang w:val="en-GB"/>
        </w:rPr>
        <w:t xml:space="preserve">Lecture </w:t>
      </w:r>
      <w:r w:rsidR="009F2952">
        <w:rPr>
          <w:lang w:val="en-GB"/>
        </w:rPr>
        <w:t>2 (15 February 2011)</w:t>
      </w:r>
      <w:r w:rsidR="009F2952">
        <w:rPr>
          <w:lang w:val="en-GB"/>
        </w:rPr>
        <w:tab/>
      </w:r>
      <w:r w:rsidR="00CA2444">
        <w:rPr>
          <w:lang w:val="en-GB"/>
        </w:rPr>
        <w:t>I</w:t>
      </w:r>
      <w:r w:rsidR="009F2952">
        <w:rPr>
          <w:lang w:val="en-GB"/>
        </w:rPr>
        <w:t>dea of the Internal Market</w:t>
      </w:r>
      <w:r w:rsidR="00CA2444">
        <w:rPr>
          <w:lang w:val="en-GB"/>
        </w:rPr>
        <w:t>.</w:t>
      </w:r>
      <w:r w:rsidR="009F2952">
        <w:rPr>
          <w:lang w:val="en-GB"/>
        </w:rPr>
        <w:t xml:space="preserve"> Introduction to the free movement provisions.</w:t>
      </w:r>
    </w:p>
    <w:p w:rsidR="009F2952" w:rsidRDefault="006515FD" w:rsidP="009F2952">
      <w:pPr>
        <w:ind w:left="3540" w:hanging="3540"/>
        <w:jc w:val="both"/>
        <w:rPr>
          <w:lang w:val="en-GB"/>
        </w:rPr>
      </w:pPr>
      <w:r>
        <w:rPr>
          <w:lang w:val="en-GB"/>
        </w:rPr>
        <w:t xml:space="preserve">Lecture </w:t>
      </w:r>
      <w:r w:rsidR="009F2952">
        <w:rPr>
          <w:lang w:val="en-GB"/>
        </w:rPr>
        <w:t>3 (22 February 2011)</w:t>
      </w:r>
      <w:r w:rsidR="009F2952">
        <w:rPr>
          <w:lang w:val="en-GB"/>
        </w:rPr>
        <w:tab/>
      </w:r>
      <w:proofErr w:type="gramStart"/>
      <w:r>
        <w:rPr>
          <w:lang w:val="en-GB"/>
        </w:rPr>
        <w:t>Free</w:t>
      </w:r>
      <w:proofErr w:type="gramEnd"/>
      <w:r>
        <w:rPr>
          <w:lang w:val="en-GB"/>
        </w:rPr>
        <w:t xml:space="preserve"> movement of goods: customs duties and charges having equivalent effect. Internal taxation.</w:t>
      </w:r>
    </w:p>
    <w:p w:rsidR="006515FD" w:rsidRDefault="006515FD" w:rsidP="009F2952">
      <w:pPr>
        <w:ind w:left="3540" w:hanging="3540"/>
        <w:jc w:val="both"/>
        <w:rPr>
          <w:lang w:val="en-GB"/>
        </w:rPr>
      </w:pPr>
      <w:r>
        <w:rPr>
          <w:lang w:val="en-GB"/>
        </w:rPr>
        <w:t>Lecture 4 (1 March 2011)</w:t>
      </w:r>
      <w:r>
        <w:rPr>
          <w:lang w:val="en-GB"/>
        </w:rPr>
        <w:tab/>
        <w:t xml:space="preserve">Free movement of goods </w:t>
      </w:r>
      <w:proofErr w:type="gramStart"/>
      <w:r>
        <w:rPr>
          <w:lang w:val="en-GB"/>
        </w:rPr>
        <w:t>II.:</w:t>
      </w:r>
      <w:proofErr w:type="gramEnd"/>
      <w:r>
        <w:rPr>
          <w:lang w:val="en-GB"/>
        </w:rPr>
        <w:t xml:space="preserve"> Quantitative restrictions and derogations.</w:t>
      </w:r>
    </w:p>
    <w:p w:rsidR="006515FD" w:rsidRDefault="006515FD" w:rsidP="009F2952">
      <w:pPr>
        <w:ind w:left="3540" w:hanging="3540"/>
        <w:jc w:val="both"/>
        <w:rPr>
          <w:lang w:val="en-GB"/>
        </w:rPr>
      </w:pPr>
      <w:r>
        <w:rPr>
          <w:lang w:val="en-GB"/>
        </w:rPr>
        <w:t>Lecture 5 (8 March 2011)</w:t>
      </w:r>
      <w:r>
        <w:rPr>
          <w:lang w:val="en-GB"/>
        </w:rPr>
        <w:tab/>
        <w:t xml:space="preserve">Free movement of goods </w:t>
      </w:r>
      <w:proofErr w:type="gramStart"/>
      <w:r>
        <w:rPr>
          <w:lang w:val="en-GB"/>
        </w:rPr>
        <w:t>III.:</w:t>
      </w:r>
      <w:proofErr w:type="gramEnd"/>
      <w:r>
        <w:rPr>
          <w:lang w:val="en-GB"/>
        </w:rPr>
        <w:t xml:space="preserve"> Measures having equivalent effect to quantitative restrictions. Derogations and certain selling arrangements.</w:t>
      </w:r>
    </w:p>
    <w:p w:rsidR="006515FD" w:rsidRDefault="00CA2444" w:rsidP="009F2952">
      <w:pPr>
        <w:ind w:left="3540" w:hanging="3540"/>
        <w:jc w:val="both"/>
        <w:rPr>
          <w:lang w:val="en-GB"/>
        </w:rPr>
      </w:pPr>
      <w:r>
        <w:rPr>
          <w:lang w:val="en-GB"/>
        </w:rPr>
        <w:t>Lecture 6 (22</w:t>
      </w:r>
      <w:r w:rsidR="006515FD">
        <w:rPr>
          <w:lang w:val="en-GB"/>
        </w:rPr>
        <w:t xml:space="preserve"> March 2011)</w:t>
      </w:r>
      <w:r w:rsidR="006515FD">
        <w:rPr>
          <w:lang w:val="en-GB"/>
        </w:rPr>
        <w:tab/>
        <w:t>Intellectual property and the free movement of goods.</w:t>
      </w:r>
    </w:p>
    <w:p w:rsidR="006515FD" w:rsidRDefault="006515FD" w:rsidP="009F2952">
      <w:pPr>
        <w:ind w:left="3540" w:hanging="3540"/>
        <w:jc w:val="both"/>
        <w:rPr>
          <w:lang w:val="en-GB"/>
        </w:rPr>
      </w:pPr>
      <w:r>
        <w:rPr>
          <w:lang w:val="en-GB"/>
        </w:rPr>
        <w:t>Lecture 7 (2</w:t>
      </w:r>
      <w:r w:rsidR="00CA2444">
        <w:rPr>
          <w:lang w:val="en-GB"/>
        </w:rPr>
        <w:t>9</w:t>
      </w:r>
      <w:r>
        <w:rPr>
          <w:lang w:val="en-GB"/>
        </w:rPr>
        <w:t xml:space="preserve"> March 2011)</w:t>
      </w:r>
      <w:r>
        <w:rPr>
          <w:lang w:val="en-GB"/>
        </w:rPr>
        <w:tab/>
      </w:r>
      <w:proofErr w:type="gramStart"/>
      <w:r w:rsidR="00CA2444">
        <w:rPr>
          <w:lang w:val="en-GB"/>
        </w:rPr>
        <w:t>Free</w:t>
      </w:r>
      <w:proofErr w:type="gramEnd"/>
      <w:r w:rsidR="00CA2444">
        <w:rPr>
          <w:lang w:val="en-GB"/>
        </w:rPr>
        <w:t xml:space="preserve"> movement of persons: workers</w:t>
      </w:r>
    </w:p>
    <w:p w:rsidR="00CA2444" w:rsidRDefault="00CA2444" w:rsidP="009F2952">
      <w:pPr>
        <w:ind w:left="3540" w:hanging="3540"/>
        <w:jc w:val="both"/>
        <w:rPr>
          <w:lang w:val="en-GB"/>
        </w:rPr>
      </w:pPr>
      <w:r>
        <w:rPr>
          <w:lang w:val="en-GB"/>
        </w:rPr>
        <w:t>Lecture 8 (5 April 2011)</w:t>
      </w:r>
      <w:r>
        <w:rPr>
          <w:lang w:val="en-GB"/>
        </w:rPr>
        <w:tab/>
      </w:r>
      <w:proofErr w:type="gramStart"/>
      <w:r>
        <w:rPr>
          <w:lang w:val="en-GB"/>
        </w:rPr>
        <w:t>Free</w:t>
      </w:r>
      <w:proofErr w:type="gramEnd"/>
      <w:r>
        <w:rPr>
          <w:lang w:val="en-GB"/>
        </w:rPr>
        <w:t xml:space="preserve"> movement of persons: EU citizenship</w:t>
      </w:r>
    </w:p>
    <w:p w:rsidR="00CA2444" w:rsidRDefault="00CA2444" w:rsidP="009F2952">
      <w:pPr>
        <w:ind w:left="3540" w:hanging="3540"/>
        <w:jc w:val="both"/>
        <w:rPr>
          <w:lang w:val="en-GB"/>
        </w:rPr>
      </w:pPr>
      <w:r>
        <w:rPr>
          <w:lang w:val="en-GB"/>
        </w:rPr>
        <w:t>Lecture 9 (12 April 2011)</w:t>
      </w:r>
      <w:r>
        <w:rPr>
          <w:lang w:val="en-GB"/>
        </w:rPr>
        <w:tab/>
      </w:r>
      <w:proofErr w:type="gramStart"/>
      <w:r>
        <w:rPr>
          <w:lang w:val="en-GB"/>
        </w:rPr>
        <w:t>Free</w:t>
      </w:r>
      <w:proofErr w:type="gramEnd"/>
      <w:r>
        <w:rPr>
          <w:lang w:val="en-GB"/>
        </w:rPr>
        <w:t xml:space="preserve"> movement of persons: companies</w:t>
      </w:r>
    </w:p>
    <w:p w:rsidR="00CA2444" w:rsidRDefault="00CA2444" w:rsidP="009F2952">
      <w:pPr>
        <w:ind w:left="3540" w:hanging="3540"/>
        <w:jc w:val="both"/>
        <w:rPr>
          <w:lang w:val="en-GB"/>
        </w:rPr>
      </w:pPr>
      <w:r>
        <w:rPr>
          <w:lang w:val="en-GB"/>
        </w:rPr>
        <w:t>Lecture 10 (3 May 2011)</w:t>
      </w:r>
      <w:r>
        <w:rPr>
          <w:lang w:val="en-GB"/>
        </w:rPr>
        <w:tab/>
      </w:r>
      <w:proofErr w:type="gramStart"/>
      <w:r>
        <w:rPr>
          <w:lang w:val="en-GB"/>
        </w:rPr>
        <w:t>Free</w:t>
      </w:r>
      <w:proofErr w:type="gramEnd"/>
      <w:r>
        <w:rPr>
          <w:lang w:val="en-GB"/>
        </w:rPr>
        <w:t xml:space="preserve"> movement of services. The Services Directive.</w:t>
      </w:r>
    </w:p>
    <w:p w:rsidR="009932E2" w:rsidRDefault="00CA2444" w:rsidP="00CA2444">
      <w:pPr>
        <w:ind w:left="3540" w:hanging="3540"/>
        <w:jc w:val="both"/>
        <w:rPr>
          <w:lang w:val="en-GB"/>
        </w:rPr>
      </w:pPr>
      <w:r>
        <w:rPr>
          <w:lang w:val="en-GB"/>
        </w:rPr>
        <w:t>Lecture 11 (10 May 2011</w:t>
      </w:r>
      <w:r>
        <w:rPr>
          <w:sz w:val="24"/>
          <w:lang w:val="en-GB"/>
        </w:rPr>
        <w:t>)</w:t>
      </w:r>
      <w:r>
        <w:rPr>
          <w:sz w:val="24"/>
          <w:lang w:val="en-GB"/>
        </w:rPr>
        <w:tab/>
      </w:r>
      <w:proofErr w:type="gramStart"/>
      <w:r w:rsidRPr="00CA2444">
        <w:rPr>
          <w:lang w:val="en-GB"/>
        </w:rPr>
        <w:t>Free</w:t>
      </w:r>
      <w:proofErr w:type="gramEnd"/>
      <w:r w:rsidRPr="00CA2444">
        <w:rPr>
          <w:lang w:val="en-GB"/>
        </w:rPr>
        <w:t xml:space="preserve"> movement of capital.</w:t>
      </w:r>
    </w:p>
    <w:p w:rsidR="00CA2444" w:rsidRPr="009932E2" w:rsidRDefault="00CA2444" w:rsidP="00CA2444">
      <w:pPr>
        <w:ind w:left="3540" w:hanging="3540"/>
        <w:jc w:val="both"/>
        <w:rPr>
          <w:lang w:val="en-GB"/>
        </w:rPr>
      </w:pPr>
      <w:r>
        <w:rPr>
          <w:lang w:val="en-GB"/>
        </w:rPr>
        <w:t>Lecture 12 (17 May 2011)</w:t>
      </w:r>
      <w:r>
        <w:rPr>
          <w:lang w:val="en-GB"/>
        </w:rPr>
        <w:tab/>
      </w:r>
      <w:proofErr w:type="gramStart"/>
      <w:r>
        <w:rPr>
          <w:lang w:val="en-GB"/>
        </w:rPr>
        <w:t>The</w:t>
      </w:r>
      <w:proofErr w:type="gramEnd"/>
      <w:r>
        <w:rPr>
          <w:lang w:val="en-GB"/>
        </w:rPr>
        <w:t xml:space="preserve"> evolution if the Internal Market. The Internal Market Act.</w:t>
      </w:r>
    </w:p>
    <w:sectPr w:rsidR="00CA2444" w:rsidRPr="009932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25F72"/>
    <w:multiLevelType w:val="hybridMultilevel"/>
    <w:tmpl w:val="C99869AE"/>
    <w:lvl w:ilvl="0" w:tplc="040E0001">
      <w:start w:val="1"/>
      <w:numFmt w:val="bullet"/>
      <w:lvlText w:val=""/>
      <w:lvlJc w:val="left"/>
      <w:pPr>
        <w:ind w:left="2128" w:hanging="360"/>
      </w:pPr>
      <w:rPr>
        <w:rFonts w:ascii="Symbol" w:hAnsi="Symbol" w:hint="default"/>
      </w:rPr>
    </w:lvl>
    <w:lvl w:ilvl="1" w:tplc="040E0003" w:tentative="1">
      <w:start w:val="1"/>
      <w:numFmt w:val="bullet"/>
      <w:lvlText w:val="o"/>
      <w:lvlJc w:val="left"/>
      <w:pPr>
        <w:ind w:left="2848" w:hanging="360"/>
      </w:pPr>
      <w:rPr>
        <w:rFonts w:ascii="Courier New" w:hAnsi="Courier New" w:cs="Courier New" w:hint="default"/>
      </w:rPr>
    </w:lvl>
    <w:lvl w:ilvl="2" w:tplc="040E0005" w:tentative="1">
      <w:start w:val="1"/>
      <w:numFmt w:val="bullet"/>
      <w:lvlText w:val=""/>
      <w:lvlJc w:val="left"/>
      <w:pPr>
        <w:ind w:left="3568" w:hanging="360"/>
      </w:pPr>
      <w:rPr>
        <w:rFonts w:ascii="Wingdings" w:hAnsi="Wingdings" w:hint="default"/>
      </w:rPr>
    </w:lvl>
    <w:lvl w:ilvl="3" w:tplc="040E0001" w:tentative="1">
      <w:start w:val="1"/>
      <w:numFmt w:val="bullet"/>
      <w:lvlText w:val=""/>
      <w:lvlJc w:val="left"/>
      <w:pPr>
        <w:ind w:left="4288" w:hanging="360"/>
      </w:pPr>
      <w:rPr>
        <w:rFonts w:ascii="Symbol" w:hAnsi="Symbol" w:hint="default"/>
      </w:rPr>
    </w:lvl>
    <w:lvl w:ilvl="4" w:tplc="040E0003" w:tentative="1">
      <w:start w:val="1"/>
      <w:numFmt w:val="bullet"/>
      <w:lvlText w:val="o"/>
      <w:lvlJc w:val="left"/>
      <w:pPr>
        <w:ind w:left="5008" w:hanging="360"/>
      </w:pPr>
      <w:rPr>
        <w:rFonts w:ascii="Courier New" w:hAnsi="Courier New" w:cs="Courier New" w:hint="default"/>
      </w:rPr>
    </w:lvl>
    <w:lvl w:ilvl="5" w:tplc="040E0005" w:tentative="1">
      <w:start w:val="1"/>
      <w:numFmt w:val="bullet"/>
      <w:lvlText w:val=""/>
      <w:lvlJc w:val="left"/>
      <w:pPr>
        <w:ind w:left="5728" w:hanging="360"/>
      </w:pPr>
      <w:rPr>
        <w:rFonts w:ascii="Wingdings" w:hAnsi="Wingdings" w:hint="default"/>
      </w:rPr>
    </w:lvl>
    <w:lvl w:ilvl="6" w:tplc="040E0001" w:tentative="1">
      <w:start w:val="1"/>
      <w:numFmt w:val="bullet"/>
      <w:lvlText w:val=""/>
      <w:lvlJc w:val="left"/>
      <w:pPr>
        <w:ind w:left="6448" w:hanging="360"/>
      </w:pPr>
      <w:rPr>
        <w:rFonts w:ascii="Symbol" w:hAnsi="Symbol" w:hint="default"/>
      </w:rPr>
    </w:lvl>
    <w:lvl w:ilvl="7" w:tplc="040E0003" w:tentative="1">
      <w:start w:val="1"/>
      <w:numFmt w:val="bullet"/>
      <w:lvlText w:val="o"/>
      <w:lvlJc w:val="left"/>
      <w:pPr>
        <w:ind w:left="7168" w:hanging="360"/>
      </w:pPr>
      <w:rPr>
        <w:rFonts w:ascii="Courier New" w:hAnsi="Courier New" w:cs="Courier New" w:hint="default"/>
      </w:rPr>
    </w:lvl>
    <w:lvl w:ilvl="8" w:tplc="040E0005" w:tentative="1">
      <w:start w:val="1"/>
      <w:numFmt w:val="bullet"/>
      <w:lvlText w:val=""/>
      <w:lvlJc w:val="left"/>
      <w:pPr>
        <w:ind w:left="78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2E2"/>
    <w:rsid w:val="003375EA"/>
    <w:rsid w:val="003B6774"/>
    <w:rsid w:val="004C0FFC"/>
    <w:rsid w:val="005A09F3"/>
    <w:rsid w:val="006515FD"/>
    <w:rsid w:val="009932E2"/>
    <w:rsid w:val="009F2952"/>
    <w:rsid w:val="00A330B3"/>
    <w:rsid w:val="00CA24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2E5993-447E-44A1-A05E-48D91224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9932E2"/>
    <w:rPr>
      <w:color w:val="0000FF" w:themeColor="hyperlink"/>
      <w:u w:val="single"/>
    </w:rPr>
  </w:style>
  <w:style w:type="paragraph" w:styleId="Listaszerbekezds">
    <w:name w:val="List Paragraph"/>
    <w:basedOn w:val="Norml"/>
    <w:uiPriority w:val="34"/>
    <w:qFormat/>
    <w:rsid w:val="004C0F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uropaijog.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zilagyi.pal@jak.ppke.hu" TargetMode="External"/><Relationship Id="rId11" Type="http://schemas.openxmlformats.org/officeDocument/2006/relationships/hyperlink" Target="http://www.eur-lex.eu" TargetMode="External"/><Relationship Id="rId5" Type="http://schemas.openxmlformats.org/officeDocument/2006/relationships/hyperlink" Target="mailto:lancos.petra.lea@jak.ppke.hu" TargetMode="External"/><Relationship Id="rId10" Type="http://schemas.openxmlformats.org/officeDocument/2006/relationships/hyperlink" Target="http://www.curia.eu" TargetMode="External"/><Relationship Id="rId4" Type="http://schemas.openxmlformats.org/officeDocument/2006/relationships/webSettings" Target="webSettings.xml"/><Relationship Id="rId9" Type="http://schemas.openxmlformats.org/officeDocument/2006/relationships/hyperlink" Target="http://www.europa.e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510</Words>
  <Characters>3520</Characters>
  <Application>Microsoft Office Word</Application>
  <DocSecurity>0</DocSecurity>
  <Lines>29</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szilagyipal</dc:creator>
  <cp:lastModifiedBy>Pollák Zsuzsanna</cp:lastModifiedBy>
  <cp:revision>3</cp:revision>
  <dcterms:created xsi:type="dcterms:W3CDTF">2015-08-26T09:24:00Z</dcterms:created>
  <dcterms:modified xsi:type="dcterms:W3CDTF">2015-08-26T14:26:00Z</dcterms:modified>
</cp:coreProperties>
</file>