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CD" w:rsidRPr="00A41727" w:rsidRDefault="00A41727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41727">
        <w:rPr>
          <w:rFonts w:ascii="Times New Roman" w:hAnsi="Times New Roman" w:cs="Times New Roman"/>
          <w:b/>
          <w:sz w:val="28"/>
          <w:szCs w:val="28"/>
          <w:lang w:val="hu-HU"/>
        </w:rPr>
        <w:t>JOKV461NA0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- </w:t>
      </w:r>
      <w:r w:rsidRPr="00A41727">
        <w:rPr>
          <w:rFonts w:ascii="Times New Roman" w:hAnsi="Times New Roman" w:cs="Times New Roman"/>
          <w:b/>
          <w:sz w:val="28"/>
          <w:szCs w:val="28"/>
          <w:lang w:val="hu-HU"/>
        </w:rPr>
        <w:t xml:space="preserve">EU </w:t>
      </w:r>
      <w:proofErr w:type="spellStart"/>
      <w:r w:rsidRPr="00A41727">
        <w:rPr>
          <w:rFonts w:ascii="Times New Roman" w:hAnsi="Times New Roman" w:cs="Times New Roman"/>
          <w:b/>
          <w:sz w:val="28"/>
          <w:szCs w:val="28"/>
          <w:lang w:val="hu-HU"/>
        </w:rPr>
        <w:t>Competition</w:t>
      </w:r>
      <w:proofErr w:type="spellEnd"/>
      <w:r w:rsidRPr="00A4172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Law </w:t>
      </w:r>
      <w:proofErr w:type="spellStart"/>
      <w:r w:rsidRPr="00A41727">
        <w:rPr>
          <w:rFonts w:ascii="Times New Roman" w:hAnsi="Times New Roman" w:cs="Times New Roman"/>
          <w:b/>
          <w:sz w:val="28"/>
          <w:szCs w:val="28"/>
          <w:lang w:val="hu-HU"/>
        </w:rPr>
        <w:t>Case</w:t>
      </w:r>
      <w:proofErr w:type="spellEnd"/>
      <w:r w:rsidRPr="00A4172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proofErr w:type="spellStart"/>
      <w:r w:rsidRPr="00A41727">
        <w:rPr>
          <w:rFonts w:ascii="Times New Roman" w:hAnsi="Times New Roman" w:cs="Times New Roman"/>
          <w:b/>
          <w:sz w:val="28"/>
          <w:szCs w:val="28"/>
          <w:lang w:val="hu-HU"/>
        </w:rPr>
        <w:t>Studies</w:t>
      </w:r>
      <w:proofErr w:type="spellEnd"/>
    </w:p>
    <w:p w:rsidR="00774463" w:rsidRDefault="00774463" w:rsidP="00C93935">
      <w:pPr>
        <w:pStyle w:val="Default"/>
        <w:jc w:val="both"/>
        <w:rPr>
          <w:b/>
          <w:color w:val="auto"/>
          <w:lang w:val="en-US"/>
        </w:rPr>
      </w:pPr>
    </w:p>
    <w:p w:rsidR="00C93935" w:rsidRDefault="00C93935" w:rsidP="00C93935">
      <w:pPr>
        <w:pStyle w:val="Default"/>
        <w:jc w:val="both"/>
        <w:rPr>
          <w:b/>
          <w:color w:val="auto"/>
          <w:lang w:val="en-US"/>
        </w:rPr>
      </w:pPr>
      <w:r w:rsidRPr="005C08C7">
        <w:rPr>
          <w:b/>
          <w:color w:val="auto"/>
          <w:lang w:val="en-US"/>
        </w:rPr>
        <w:t>Summary</w:t>
      </w:r>
    </w:p>
    <w:p w:rsidR="00774463" w:rsidRPr="005C08C7" w:rsidRDefault="00774463" w:rsidP="00C93935">
      <w:pPr>
        <w:pStyle w:val="Default"/>
        <w:jc w:val="both"/>
        <w:rPr>
          <w:b/>
          <w:color w:val="auto"/>
          <w:lang w:val="en-US"/>
        </w:rPr>
      </w:pPr>
    </w:p>
    <w:p w:rsidR="00C93935" w:rsidRPr="005C08C7" w:rsidRDefault="00C93935" w:rsidP="00C93935">
      <w:pPr>
        <w:pStyle w:val="Default"/>
        <w:jc w:val="both"/>
        <w:rPr>
          <w:color w:val="auto"/>
          <w:lang w:val="en-US"/>
        </w:rPr>
      </w:pPr>
      <w:r w:rsidRPr="005C08C7">
        <w:rPr>
          <w:color w:val="auto"/>
          <w:lang w:val="en-US"/>
        </w:rPr>
        <w:t xml:space="preserve">The seminar introduces students to the most important rules and relevant case law in the field of </w:t>
      </w:r>
      <w:r>
        <w:rPr>
          <w:color w:val="auto"/>
          <w:lang w:val="en-US"/>
        </w:rPr>
        <w:t>EU competition law</w:t>
      </w:r>
      <w:r w:rsidRPr="005C08C7">
        <w:rPr>
          <w:color w:val="auto"/>
          <w:lang w:val="en-US"/>
        </w:rPr>
        <w:t xml:space="preserve">. Specifically, the course will open with an overview of </w:t>
      </w:r>
      <w:r>
        <w:rPr>
          <w:color w:val="auto"/>
          <w:lang w:val="en-US"/>
        </w:rPr>
        <w:t xml:space="preserve">the most important concepts of competition law and EU institutions playing a role in decision making. </w:t>
      </w:r>
      <w:r w:rsidRPr="005C08C7">
        <w:rPr>
          <w:color w:val="auto"/>
          <w:lang w:val="en-US"/>
        </w:rPr>
        <w:t xml:space="preserve">We will analyze </w:t>
      </w:r>
      <w:r>
        <w:rPr>
          <w:color w:val="auto"/>
          <w:lang w:val="en-US"/>
        </w:rPr>
        <w:t>relevant</w:t>
      </w:r>
      <w:r w:rsidRPr="005C08C7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principles of </w:t>
      </w:r>
      <w:r w:rsidRPr="005C08C7">
        <w:rPr>
          <w:color w:val="auto"/>
          <w:lang w:val="en-US"/>
        </w:rPr>
        <w:t xml:space="preserve">European </w:t>
      </w:r>
      <w:r>
        <w:rPr>
          <w:color w:val="auto"/>
          <w:lang w:val="en-US"/>
        </w:rPr>
        <w:t>law, how to read EU Court cases, an</w:t>
      </w:r>
      <w:r w:rsidR="007D2BAA">
        <w:rPr>
          <w:color w:val="auto"/>
          <w:lang w:val="en-US"/>
        </w:rPr>
        <w:t>d</w:t>
      </w:r>
      <w:r>
        <w:rPr>
          <w:color w:val="auto"/>
          <w:lang w:val="en-US"/>
        </w:rPr>
        <w:t xml:space="preserve"> EU Commission decisions. We will select both old and new cases that set precedent. </w:t>
      </w:r>
      <w:r w:rsidRPr="005C08C7">
        <w:rPr>
          <w:color w:val="auto"/>
          <w:lang w:val="en-US"/>
        </w:rPr>
        <w:t xml:space="preserve">Topics to be addressed include </w:t>
      </w:r>
      <w:r>
        <w:rPr>
          <w:color w:val="auto"/>
          <w:lang w:val="en-US"/>
        </w:rPr>
        <w:t xml:space="preserve">cartels, the role of human rights, sanctions, abuse of dominance, merger rules, state monopolies and state aid. There is no prerequisite to this course beyond a good working knowledge of English, but those will benefit the most, who have learnt about EU law and/or competition law. </w:t>
      </w:r>
    </w:p>
    <w:p w:rsidR="00C93935" w:rsidRPr="00967492" w:rsidRDefault="00774463" w:rsidP="00C93935">
      <w:pPr>
        <w:pStyle w:val="wTex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br/>
      </w:r>
      <w:r w:rsidR="00C93935" w:rsidRPr="005C08C7">
        <w:rPr>
          <w:rFonts w:cs="Times New Roman"/>
          <w:b/>
          <w:bCs/>
          <w:szCs w:val="24"/>
        </w:rPr>
        <w:t xml:space="preserve">Office Hours: </w:t>
      </w:r>
      <w:r w:rsidR="00C93935" w:rsidRPr="005C08C7">
        <w:rPr>
          <w:rFonts w:cs="Times New Roman"/>
          <w:szCs w:val="24"/>
        </w:rPr>
        <w:t>by appointment</w:t>
      </w:r>
      <w:r w:rsidR="00C93935">
        <w:rPr>
          <w:rFonts w:cs="Times New Roman"/>
          <w:szCs w:val="24"/>
        </w:rPr>
        <w:t>, you can reach me</w:t>
      </w:r>
      <w:r w:rsidR="00C93935" w:rsidRPr="005C08C7">
        <w:rPr>
          <w:rFonts w:cs="Times New Roman"/>
          <w:szCs w:val="24"/>
        </w:rPr>
        <w:t xml:space="preserve"> at </w:t>
      </w:r>
      <w:r w:rsidR="00C93935">
        <w:rPr>
          <w:rFonts w:cs="Times New Roman"/>
          <w:szCs w:val="24"/>
        </w:rPr>
        <w:t>toth.tihamer@jak.ppke.hu.</w:t>
      </w:r>
    </w:p>
    <w:p w:rsidR="00C93935" w:rsidRDefault="00C93935" w:rsidP="00C93935">
      <w:pPr>
        <w:pStyle w:val="wText"/>
        <w:rPr>
          <w:rFonts w:cs="Times New Roman"/>
          <w:szCs w:val="24"/>
        </w:rPr>
      </w:pPr>
      <w:r w:rsidRPr="005C08C7">
        <w:rPr>
          <w:rFonts w:cs="Times New Roman"/>
          <w:b/>
          <w:bCs/>
          <w:szCs w:val="24"/>
        </w:rPr>
        <w:t xml:space="preserve">Materials: </w:t>
      </w:r>
      <w:r>
        <w:rPr>
          <w:rFonts w:cs="Times New Roman"/>
          <w:szCs w:val="24"/>
        </w:rPr>
        <w:t>EU competition law cases that will be studied during</w:t>
      </w:r>
      <w:r w:rsidRPr="005C08C7">
        <w:rPr>
          <w:rFonts w:cs="Times New Roman"/>
          <w:szCs w:val="24"/>
        </w:rPr>
        <w:t xml:space="preserve"> the seminar</w:t>
      </w:r>
      <w:r>
        <w:rPr>
          <w:rFonts w:cs="Times New Roman"/>
          <w:szCs w:val="24"/>
        </w:rPr>
        <w:t>s</w:t>
      </w:r>
      <w:r w:rsidRPr="005C08C7">
        <w:rPr>
          <w:rFonts w:cs="Times New Roman"/>
          <w:szCs w:val="24"/>
        </w:rPr>
        <w:t xml:space="preserve">. </w:t>
      </w:r>
    </w:p>
    <w:p w:rsidR="00774463" w:rsidRDefault="00C93935" w:rsidP="00C93935">
      <w:pPr>
        <w:pStyle w:val="Default"/>
        <w:jc w:val="both"/>
        <w:rPr>
          <w:b/>
          <w:bCs/>
          <w:color w:val="auto"/>
          <w:lang w:val="en-US"/>
        </w:rPr>
      </w:pPr>
      <w:r w:rsidRPr="005C08C7">
        <w:rPr>
          <w:b/>
          <w:bCs/>
          <w:color w:val="auto"/>
          <w:lang w:val="en-US"/>
        </w:rPr>
        <w:t xml:space="preserve">Requirements and Grading: </w:t>
      </w:r>
    </w:p>
    <w:p w:rsidR="00774463" w:rsidRDefault="00774463" w:rsidP="00C93935">
      <w:pPr>
        <w:pStyle w:val="Default"/>
        <w:jc w:val="both"/>
        <w:rPr>
          <w:b/>
          <w:bCs/>
          <w:color w:val="auto"/>
          <w:lang w:val="en-US"/>
        </w:rPr>
      </w:pPr>
    </w:p>
    <w:p w:rsidR="00C93935" w:rsidRPr="005C08C7" w:rsidRDefault="00C93935" w:rsidP="00C93935">
      <w:pPr>
        <w:pStyle w:val="Default"/>
        <w:jc w:val="both"/>
        <w:rPr>
          <w:color w:val="auto"/>
          <w:lang w:val="en-US"/>
        </w:rPr>
      </w:pPr>
      <w:bookmarkStart w:id="0" w:name="_GoBack"/>
      <w:bookmarkEnd w:id="0"/>
      <w:r w:rsidRPr="005C08C7">
        <w:rPr>
          <w:color w:val="auto"/>
          <w:lang w:val="en-US"/>
        </w:rPr>
        <w:t xml:space="preserve">This seminar meets once each week for 90 minutes. It is therefore important that you attend every meeting and </w:t>
      </w:r>
      <w:r w:rsidRPr="001161D7">
        <w:rPr>
          <w:color w:val="auto"/>
          <w:u w:val="single"/>
          <w:lang w:val="en-US"/>
        </w:rPr>
        <w:t>come prepared to discuss the cases</w:t>
      </w:r>
      <w:r w:rsidR="001161D7">
        <w:rPr>
          <w:color w:val="auto"/>
          <w:lang w:val="en-US"/>
        </w:rPr>
        <w:t xml:space="preserve"> (i.e. reading the assigned materials in advance)</w:t>
      </w:r>
      <w:r w:rsidRPr="005C08C7">
        <w:rPr>
          <w:color w:val="auto"/>
          <w:lang w:val="en-US"/>
        </w:rPr>
        <w:t xml:space="preserve">. </w:t>
      </w:r>
      <w:r w:rsidR="007D2BAA">
        <w:rPr>
          <w:color w:val="auto"/>
          <w:lang w:val="en-US"/>
        </w:rPr>
        <w:t>Students are not expected to read the whole text of the cases, but only the relevant paragraphs advised by the lecturer.</w:t>
      </w:r>
    </w:p>
    <w:p w:rsidR="00C93935" w:rsidRPr="005C08C7" w:rsidRDefault="00C93935" w:rsidP="00C93935">
      <w:pPr>
        <w:pStyle w:val="Default"/>
        <w:jc w:val="both"/>
        <w:rPr>
          <w:color w:val="auto"/>
          <w:lang w:val="en-US"/>
        </w:rPr>
      </w:pPr>
      <w:r w:rsidRPr="005C08C7">
        <w:rPr>
          <w:color w:val="auto"/>
          <w:lang w:val="en-US"/>
        </w:rPr>
        <w:t>Your final grade in this course will be comprised of your contributions to our meetings</w:t>
      </w:r>
      <w:r>
        <w:rPr>
          <w:color w:val="auto"/>
          <w:lang w:val="en-US"/>
        </w:rPr>
        <w:t xml:space="preserve"> and your work with assignments </w:t>
      </w:r>
      <w:r w:rsidRPr="005C08C7">
        <w:rPr>
          <w:color w:val="auto"/>
          <w:lang w:val="en-US"/>
        </w:rPr>
        <w:t>(</w:t>
      </w:r>
      <w:r>
        <w:rPr>
          <w:color w:val="auto"/>
          <w:lang w:val="en-US"/>
        </w:rPr>
        <w:t>60</w:t>
      </w:r>
      <w:r w:rsidRPr="005C08C7">
        <w:rPr>
          <w:color w:val="auto"/>
          <w:lang w:val="en-US"/>
        </w:rPr>
        <w:t>%)</w:t>
      </w:r>
      <w:r>
        <w:rPr>
          <w:color w:val="auto"/>
          <w:lang w:val="en-US"/>
        </w:rPr>
        <w:t>, and</w:t>
      </w:r>
      <w:r w:rsidRPr="005C08C7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the result of an interim test (40%)</w:t>
      </w:r>
      <w:r w:rsidRPr="005C08C7">
        <w:rPr>
          <w:color w:val="auto"/>
          <w:lang w:val="en-US"/>
        </w:rPr>
        <w:t xml:space="preserve">. </w:t>
      </w:r>
    </w:p>
    <w:p w:rsidR="00C93935" w:rsidRDefault="00C93935" w:rsidP="00C93935">
      <w:pPr>
        <w:pStyle w:val="Default"/>
        <w:jc w:val="both"/>
        <w:rPr>
          <w:color w:val="auto"/>
          <w:lang w:val="en-US"/>
        </w:rPr>
      </w:pPr>
      <w:r w:rsidRPr="005C08C7">
        <w:rPr>
          <w:color w:val="auto"/>
          <w:lang w:val="en-US"/>
        </w:rPr>
        <w:t xml:space="preserve">With respect to </w:t>
      </w:r>
      <w:r>
        <w:rPr>
          <w:color w:val="auto"/>
          <w:lang w:val="en-US"/>
        </w:rPr>
        <w:t>the first item</w:t>
      </w:r>
      <w:r w:rsidRPr="005C08C7">
        <w:rPr>
          <w:color w:val="auto"/>
          <w:lang w:val="en-US"/>
        </w:rPr>
        <w:t xml:space="preserve">, your grade will be based on attendance, participation and presentation. </w:t>
      </w:r>
      <w:r>
        <w:rPr>
          <w:color w:val="auto"/>
          <w:lang w:val="en-US"/>
        </w:rPr>
        <w:t>Depending upon the size of the class, s</w:t>
      </w:r>
      <w:r w:rsidRPr="005C08C7">
        <w:rPr>
          <w:color w:val="auto"/>
          <w:lang w:val="en-US"/>
        </w:rPr>
        <w:t>tudent</w:t>
      </w:r>
      <w:r>
        <w:rPr>
          <w:color w:val="auto"/>
          <w:lang w:val="en-US"/>
        </w:rPr>
        <w:t>s</w:t>
      </w:r>
      <w:r w:rsidRPr="005C08C7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can give</w:t>
      </w:r>
      <w:r w:rsidRPr="005C08C7">
        <w:rPr>
          <w:color w:val="auto"/>
          <w:lang w:val="en-US"/>
        </w:rPr>
        <w:t xml:space="preserve"> a 15-</w:t>
      </w:r>
      <w:r>
        <w:rPr>
          <w:color w:val="auto"/>
          <w:lang w:val="en-US"/>
        </w:rPr>
        <w:t xml:space="preserve">20 </w:t>
      </w:r>
      <w:r w:rsidRPr="005C08C7">
        <w:rPr>
          <w:color w:val="auto"/>
          <w:lang w:val="en-US"/>
        </w:rPr>
        <w:t>minute in-class presentation</w:t>
      </w:r>
      <w:r w:rsidRPr="002527C0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based on the assigned materials</w:t>
      </w:r>
      <w:r w:rsidRPr="005C08C7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(</w:t>
      </w:r>
      <w:r w:rsidRPr="005C08C7">
        <w:rPr>
          <w:color w:val="auto"/>
          <w:lang w:val="en-US"/>
        </w:rPr>
        <w:t>during meetings #3-</w:t>
      </w:r>
      <w:r>
        <w:rPr>
          <w:color w:val="auto"/>
          <w:lang w:val="en-US"/>
        </w:rPr>
        <w:t>11</w:t>
      </w:r>
      <w:r w:rsidRPr="005C08C7">
        <w:rPr>
          <w:color w:val="auto"/>
          <w:lang w:val="en-US"/>
        </w:rPr>
        <w:t>).</w:t>
      </w:r>
      <w:r>
        <w:rPr>
          <w:color w:val="auto"/>
          <w:lang w:val="en-US"/>
        </w:rPr>
        <w:t xml:space="preserve"> E</w:t>
      </w:r>
      <w:r w:rsidRPr="005C08C7">
        <w:rPr>
          <w:bCs/>
          <w:color w:val="auto"/>
          <w:lang w:val="en-US"/>
        </w:rPr>
        <w:t>ach of you is expected to be in a position</w:t>
      </w:r>
      <w:r>
        <w:rPr>
          <w:bCs/>
          <w:color w:val="auto"/>
          <w:lang w:val="en-US"/>
        </w:rPr>
        <w:t xml:space="preserve"> each week</w:t>
      </w:r>
      <w:r w:rsidRPr="005C08C7">
        <w:rPr>
          <w:bCs/>
          <w:color w:val="auto"/>
          <w:lang w:val="en-US"/>
        </w:rPr>
        <w:t xml:space="preserve"> to contribute to the discussions of the readings</w:t>
      </w:r>
      <w:r w:rsidRPr="005C08C7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 xml:space="preserve">Some home assignments will require that you answer a couple of questions </w:t>
      </w:r>
      <w:r w:rsidR="001161D7">
        <w:rPr>
          <w:color w:val="auto"/>
          <w:lang w:val="en-US"/>
        </w:rPr>
        <w:t>until</w:t>
      </w:r>
      <w:r>
        <w:rPr>
          <w:color w:val="auto"/>
          <w:lang w:val="en-US"/>
        </w:rPr>
        <w:t xml:space="preserve"> the day before the forthcoming lecture.</w:t>
      </w:r>
    </w:p>
    <w:p w:rsidR="00C93935" w:rsidRDefault="001161D7" w:rsidP="00C9393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The interim test will be an open book exercise, where you will be expected to read and understand an EU Court judgment, and answer some questions relating to the text. </w:t>
      </w:r>
      <w:r w:rsidR="00C93935">
        <w:rPr>
          <w:color w:val="auto"/>
          <w:lang w:val="en-US"/>
        </w:rPr>
        <w:t xml:space="preserve">This test is planned for the </w:t>
      </w:r>
      <w:r>
        <w:rPr>
          <w:color w:val="auto"/>
          <w:lang w:val="en-US"/>
        </w:rPr>
        <w:t>8-10</w:t>
      </w:r>
      <w:r w:rsidR="00C93935">
        <w:rPr>
          <w:color w:val="auto"/>
          <w:lang w:val="en-US"/>
        </w:rPr>
        <w:t>th meeting</w:t>
      </w:r>
      <w:r>
        <w:rPr>
          <w:color w:val="auto"/>
          <w:lang w:val="en-US"/>
        </w:rPr>
        <w:t>s</w:t>
      </w:r>
      <w:r w:rsidR="00C93935">
        <w:rPr>
          <w:color w:val="auto"/>
          <w:lang w:val="en-US"/>
        </w:rPr>
        <w:t>.</w:t>
      </w:r>
    </w:p>
    <w:p w:rsidR="00C93935" w:rsidRDefault="00C93935" w:rsidP="00C93935">
      <w:pPr>
        <w:pStyle w:val="Default"/>
        <w:jc w:val="both"/>
        <w:rPr>
          <w:color w:val="auto"/>
          <w:lang w:val="en-US"/>
        </w:rPr>
      </w:pPr>
    </w:p>
    <w:p w:rsidR="00C93935" w:rsidRDefault="00C93935" w:rsidP="00C93935">
      <w:pPr>
        <w:pStyle w:val="Default"/>
        <w:jc w:val="both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Attendance</w:t>
      </w:r>
    </w:p>
    <w:p w:rsidR="00774463" w:rsidRDefault="00774463" w:rsidP="00C93935">
      <w:pPr>
        <w:pStyle w:val="Default"/>
        <w:jc w:val="both"/>
        <w:rPr>
          <w:b/>
          <w:color w:val="auto"/>
          <w:lang w:val="en-US"/>
        </w:rPr>
      </w:pPr>
    </w:p>
    <w:p w:rsidR="00C93935" w:rsidRPr="00967492" w:rsidRDefault="00C93935" w:rsidP="00C93935">
      <w:pPr>
        <w:pStyle w:val="Default"/>
        <w:jc w:val="both"/>
        <w:rPr>
          <w:color w:val="auto"/>
          <w:lang w:val="en-US"/>
        </w:rPr>
      </w:pPr>
      <w:r w:rsidRPr="00967492">
        <w:rPr>
          <w:color w:val="auto"/>
          <w:lang w:val="en-US"/>
        </w:rPr>
        <w:t>Students are expected to attend all seminars. Students may be excused from class in the event of illness, family emergency, or a university-excused absence</w:t>
      </w:r>
      <w:r>
        <w:rPr>
          <w:color w:val="auto"/>
          <w:lang w:val="en-US"/>
        </w:rPr>
        <w:t>. After two unexcused absences, I will lower your course grade by one grade point for each additional absence.</w:t>
      </w:r>
    </w:p>
    <w:p w:rsidR="00C93935" w:rsidRDefault="00C93935" w:rsidP="00C93935">
      <w:pPr>
        <w:pStyle w:val="Default"/>
        <w:jc w:val="both"/>
        <w:rPr>
          <w:color w:val="auto"/>
          <w:lang w:val="en-US"/>
        </w:rPr>
      </w:pPr>
    </w:p>
    <w:p w:rsidR="00C93935" w:rsidRDefault="00C93935" w:rsidP="00C93935">
      <w:pPr>
        <w:pStyle w:val="wText"/>
        <w:rPr>
          <w:rFonts w:cs="Times New Roman"/>
          <w:b/>
          <w:szCs w:val="24"/>
          <w:u w:val="single"/>
        </w:rPr>
      </w:pPr>
      <w:r w:rsidRPr="005C08C7">
        <w:rPr>
          <w:rFonts w:cs="Times New Roman"/>
          <w:b/>
          <w:szCs w:val="24"/>
          <w:u w:val="single"/>
        </w:rPr>
        <w:t xml:space="preserve">Course plan </w:t>
      </w:r>
      <w:r w:rsidR="001161D7">
        <w:rPr>
          <w:rFonts w:cs="Times New Roman"/>
          <w:b/>
          <w:szCs w:val="24"/>
          <w:u w:val="single"/>
        </w:rPr>
        <w:t>–</w:t>
      </w:r>
      <w:r w:rsidRPr="005C08C7">
        <w:rPr>
          <w:rFonts w:cs="Times New Roman"/>
          <w:b/>
          <w:szCs w:val="24"/>
          <w:u w:val="single"/>
        </w:rPr>
        <w:t xml:space="preserve"> </w:t>
      </w:r>
      <w:r w:rsidR="001161D7">
        <w:rPr>
          <w:rFonts w:cs="Times New Roman"/>
          <w:b/>
          <w:szCs w:val="24"/>
          <w:u w:val="single"/>
        </w:rPr>
        <w:t>EU competition law cases</w:t>
      </w:r>
    </w:p>
    <w:p w:rsidR="001161D7" w:rsidRPr="001161D7" w:rsidRDefault="001161D7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 w:rsidRPr="001161D7">
        <w:rPr>
          <w:rFonts w:cs="Times New Roman"/>
          <w:b/>
          <w:szCs w:val="24"/>
        </w:rPr>
        <w:t>EU competition rules: aims, sources of law, most important prohibitions</w:t>
      </w:r>
    </w:p>
    <w:p w:rsidR="001161D7" w:rsidRPr="001161D7" w:rsidRDefault="001161D7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 w:rsidRPr="001161D7">
        <w:rPr>
          <w:rFonts w:cs="Times New Roman"/>
          <w:b/>
          <w:szCs w:val="24"/>
        </w:rPr>
        <w:t>EU institutions applying the rules: EU Commission, EU Courts, national authorities and courts</w:t>
      </w:r>
    </w:p>
    <w:p w:rsidR="001161D7" w:rsidRDefault="001161D7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 w:rsidRPr="001161D7">
        <w:rPr>
          <w:rFonts w:cs="Times New Roman"/>
          <w:b/>
          <w:szCs w:val="24"/>
        </w:rPr>
        <w:lastRenderedPageBreak/>
        <w:t xml:space="preserve"> </w:t>
      </w:r>
      <w:r>
        <w:rPr>
          <w:rFonts w:cs="Times New Roman"/>
          <w:b/>
          <w:szCs w:val="24"/>
        </w:rPr>
        <w:t>Dyestuffs:  territorial scope of antitrust rules, concerted practices</w:t>
      </w:r>
    </w:p>
    <w:p w:rsidR="001161D7" w:rsidRDefault="007D2BAA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1161D7">
        <w:rPr>
          <w:rFonts w:cs="Times New Roman"/>
          <w:b/>
          <w:szCs w:val="24"/>
        </w:rPr>
        <w:t>“modern cartel cases”: leniency, settlement, fines review</w:t>
      </w:r>
    </w:p>
    <w:p w:rsidR="001161D7" w:rsidRDefault="001161D7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Irish beef: restrictions by object, exemption, state support</w:t>
      </w:r>
    </w:p>
    <w:p w:rsidR="001161D7" w:rsidRDefault="001161D7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VW Italy: vertical restrictions, parallel trade, export prohibition, fines</w:t>
      </w:r>
    </w:p>
    <w:p w:rsidR="007D2BAA" w:rsidRDefault="007D2BAA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Höfner</w:t>
      </w:r>
      <w:proofErr w:type="spellEnd"/>
      <w:r>
        <w:rPr>
          <w:rFonts w:cs="Times New Roman"/>
          <w:b/>
          <w:szCs w:val="24"/>
        </w:rPr>
        <w:t xml:space="preserve"> &amp; </w:t>
      </w:r>
      <w:proofErr w:type="spellStart"/>
      <w:r>
        <w:rPr>
          <w:rFonts w:cs="Times New Roman"/>
          <w:b/>
          <w:szCs w:val="24"/>
        </w:rPr>
        <w:t>Elser</w:t>
      </w:r>
      <w:proofErr w:type="spellEnd"/>
      <w:r>
        <w:rPr>
          <w:rFonts w:cs="Times New Roman"/>
          <w:b/>
          <w:szCs w:val="24"/>
        </w:rPr>
        <w:t xml:space="preserve"> v. </w:t>
      </w:r>
      <w:proofErr w:type="spellStart"/>
      <w:r>
        <w:rPr>
          <w:rFonts w:cs="Times New Roman"/>
          <w:b/>
          <w:szCs w:val="24"/>
        </w:rPr>
        <w:t>Macrotron</w:t>
      </w:r>
      <w:proofErr w:type="spellEnd"/>
      <w:r>
        <w:rPr>
          <w:rFonts w:cs="Times New Roman"/>
          <w:b/>
          <w:szCs w:val="24"/>
        </w:rPr>
        <w:t>: state monopolies, concept of undertakings</w:t>
      </w:r>
    </w:p>
    <w:p w:rsidR="001161D7" w:rsidRDefault="007D2BAA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Intel: abuse of dominance, protecting the structure of the market, fines</w:t>
      </w:r>
    </w:p>
    <w:p w:rsidR="00E4389B" w:rsidRPr="001161D7" w:rsidRDefault="00E4389B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Ryanair/Air Lingus: </w:t>
      </w:r>
      <w:proofErr w:type="spellStart"/>
      <w:r>
        <w:rPr>
          <w:rFonts w:cs="Times New Roman"/>
          <w:b/>
          <w:szCs w:val="24"/>
        </w:rPr>
        <w:t>felvásárlások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engedélyezése</w:t>
      </w:r>
      <w:proofErr w:type="spellEnd"/>
      <w:r>
        <w:rPr>
          <w:rFonts w:cs="Times New Roman"/>
          <w:b/>
          <w:szCs w:val="24"/>
        </w:rPr>
        <w:t xml:space="preserve"> (</w:t>
      </w:r>
      <w:proofErr w:type="spellStart"/>
      <w:r>
        <w:rPr>
          <w:rFonts w:cs="Times New Roman"/>
          <w:b/>
          <w:szCs w:val="24"/>
        </w:rPr>
        <w:t>tiltása</w:t>
      </w:r>
      <w:proofErr w:type="spellEnd"/>
      <w:r>
        <w:rPr>
          <w:rFonts w:cs="Times New Roman"/>
          <w:b/>
          <w:szCs w:val="24"/>
        </w:rPr>
        <w:t xml:space="preserve">), </w:t>
      </w:r>
      <w:proofErr w:type="spellStart"/>
      <w:r>
        <w:rPr>
          <w:rFonts w:cs="Times New Roman"/>
          <w:b/>
          <w:szCs w:val="24"/>
        </w:rPr>
        <w:t>horizontális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átfedés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piacdefiníció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feltételek</w:t>
      </w:r>
      <w:proofErr w:type="spellEnd"/>
      <w:r>
        <w:rPr>
          <w:rFonts w:cs="Times New Roman"/>
          <w:b/>
          <w:szCs w:val="24"/>
        </w:rPr>
        <w:t>/</w:t>
      </w:r>
      <w:proofErr w:type="spellStart"/>
      <w:r>
        <w:rPr>
          <w:rFonts w:cs="Times New Roman"/>
          <w:b/>
          <w:szCs w:val="24"/>
        </w:rPr>
        <w:t>kötelezettségek</w:t>
      </w:r>
      <w:proofErr w:type="spellEnd"/>
    </w:p>
    <w:p w:rsidR="00E4389B" w:rsidRPr="00E4389B" w:rsidRDefault="007D2BAA" w:rsidP="00774463">
      <w:pPr>
        <w:pStyle w:val="wText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Van der </w:t>
      </w:r>
      <w:proofErr w:type="spellStart"/>
      <w:r>
        <w:rPr>
          <w:rFonts w:cs="Times New Roman"/>
          <w:b/>
          <w:szCs w:val="24"/>
        </w:rPr>
        <w:t>Kooy</w:t>
      </w:r>
      <w:proofErr w:type="spellEnd"/>
      <w:r>
        <w:rPr>
          <w:rFonts w:cs="Times New Roman"/>
          <w:b/>
          <w:szCs w:val="24"/>
        </w:rPr>
        <w:t xml:space="preserve">: </w:t>
      </w:r>
      <w:proofErr w:type="spellStart"/>
      <w:r>
        <w:rPr>
          <w:rFonts w:cs="Times New Roman"/>
          <w:b/>
          <w:szCs w:val="24"/>
        </w:rPr>
        <w:t>állami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támogatás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fogalma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állami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forrás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versenytorzulás</w:t>
      </w:r>
      <w:proofErr w:type="spellEnd"/>
      <w:r w:rsidR="00E4389B">
        <w:rPr>
          <w:rFonts w:cs="Times New Roman"/>
          <w:b/>
          <w:szCs w:val="24"/>
        </w:rPr>
        <w:t xml:space="preserve">, </w:t>
      </w:r>
      <w:proofErr w:type="spellStart"/>
      <w:r w:rsidR="00E4389B">
        <w:rPr>
          <w:rFonts w:cs="Times New Roman"/>
          <w:b/>
          <w:szCs w:val="24"/>
        </w:rPr>
        <w:t>piaci</w:t>
      </w:r>
      <w:proofErr w:type="spellEnd"/>
      <w:r w:rsidR="00E4389B">
        <w:rPr>
          <w:rFonts w:cs="Times New Roman"/>
          <w:b/>
          <w:szCs w:val="24"/>
        </w:rPr>
        <w:t xml:space="preserve"> </w:t>
      </w:r>
      <w:proofErr w:type="spellStart"/>
      <w:r w:rsidR="00E4389B">
        <w:rPr>
          <w:rFonts w:cs="Times New Roman"/>
          <w:b/>
          <w:szCs w:val="24"/>
        </w:rPr>
        <w:t>befektető</w:t>
      </w:r>
      <w:proofErr w:type="spellEnd"/>
      <w:r w:rsidR="00E4389B">
        <w:rPr>
          <w:rFonts w:cs="Times New Roman"/>
          <w:b/>
          <w:szCs w:val="24"/>
        </w:rPr>
        <w:t xml:space="preserve"> </w:t>
      </w:r>
      <w:proofErr w:type="spellStart"/>
      <w:r w:rsidR="00E4389B">
        <w:rPr>
          <w:rFonts w:cs="Times New Roman"/>
          <w:b/>
          <w:szCs w:val="24"/>
        </w:rPr>
        <w:t>elve</w:t>
      </w:r>
      <w:proofErr w:type="spellEnd"/>
    </w:p>
    <w:sectPr w:rsidR="00E4389B" w:rsidRPr="00E438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97CA4"/>
    <w:multiLevelType w:val="hybridMultilevel"/>
    <w:tmpl w:val="A7285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35"/>
    <w:rsid w:val="001161D7"/>
    <w:rsid w:val="005A7816"/>
    <w:rsid w:val="00774463"/>
    <w:rsid w:val="007D2BAA"/>
    <w:rsid w:val="00955AD4"/>
    <w:rsid w:val="00A41727"/>
    <w:rsid w:val="00B57ECD"/>
    <w:rsid w:val="00C93935"/>
    <w:rsid w:val="00CF1AF8"/>
    <w:rsid w:val="00E4389B"/>
    <w:rsid w:val="00E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3865-0848-47A2-BA84-9B52C30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Cmsor2"/>
    <w:link w:val="Cmsor1Char"/>
    <w:uiPriority w:val="9"/>
    <w:unhideWhenUsed/>
    <w:qFormat/>
    <w:rsid w:val="00C93935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3935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customStyle="1" w:styleId="wText">
    <w:name w:val="wText"/>
    <w:basedOn w:val="Norml"/>
    <w:uiPriority w:val="2"/>
    <w:qFormat/>
    <w:rsid w:val="00C93935"/>
    <w:pPr>
      <w:spacing w:after="240" w:line="240" w:lineRule="auto"/>
      <w:jc w:val="both"/>
    </w:pPr>
    <w:rPr>
      <w:rFonts w:ascii="Times New Roman" w:eastAsia="MS Mincho" w:hAnsi="Times New Roman"/>
      <w:sz w:val="24"/>
    </w:rPr>
  </w:style>
  <w:style w:type="paragraph" w:styleId="NormlWeb">
    <w:name w:val="Normal (Web)"/>
    <w:basedOn w:val="Norml"/>
    <w:uiPriority w:val="99"/>
    <w:unhideWhenUsed/>
    <w:rsid w:val="00C9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8"/>
    <w:unhideWhenUsed/>
    <w:rsid w:val="00C93935"/>
    <w:rPr>
      <w:color w:val="0000FF" w:themeColor="hyperlink"/>
      <w:u w:val="single"/>
    </w:rPr>
  </w:style>
  <w:style w:type="paragraph" w:customStyle="1" w:styleId="Default">
    <w:name w:val="Default"/>
    <w:rsid w:val="00C9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Tihamer Toth</dc:creator>
  <cp:lastModifiedBy>Pollák Zsuzsanna</cp:lastModifiedBy>
  <cp:revision>3</cp:revision>
  <dcterms:created xsi:type="dcterms:W3CDTF">2016-01-27T09:16:00Z</dcterms:created>
  <dcterms:modified xsi:type="dcterms:W3CDTF">2016-01-27T09:18:00Z</dcterms:modified>
</cp:coreProperties>
</file>